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rFonts w:ascii="Arial" w:cs="Arial" w:eastAsia="Arial" w:hAnsi="Arial"/>
          <w:b/>
          <w:bCs/>
          <w:color w:val="1E3A5F"/>
          <w:sz w:val="96"/>
          <w:szCs w:val="96"/>
        </w:rPr>
        <w:t xml:space="preserve">LBRO</w:t>
      </w:r>
    </w:p>
    <w:p>
      <w:r>
        <w:rPr>
          <w:rFonts w:ascii="Arial" w:cs="Arial" w:eastAsia="Arial" w:hAnsi="Arial"/>
          <w:color w:val="6B7280"/>
          <w:sz w:val="40"/>
          <w:szCs w:val="40"/>
        </w:rPr>
        <w:t xml:space="preserve">Law-Breach Response Orchestrator</w:t>
      </w:r>
    </w:p>
    <w:p>
      <w:pPr>
        <w:spacing w:after="320"/>
      </w:pPr>
      <w:r>
        <w:rPr>
          <w:rFonts w:ascii="Arial" w:cs="Arial" w:eastAsia="Arial" w:hAnsi="Arial"/>
          <w:sz w:val="22"/>
          <w:szCs w:val="22"/>
        </w:rPr>
        <w:t xml:space="preserve"/>
      </w:r>
    </w:p>
    <w:p>
      <w:r>
        <w:rPr>
          <w:rFonts w:ascii="Arial" w:cs="Arial" w:eastAsia="Arial" w:hAnsi="Arial"/>
          <w:b/>
          <w:bCs/>
          <w:color w:val="1E3A5F"/>
          <w:sz w:val="64"/>
          <w:szCs w:val="64"/>
        </w:rPr>
        <w:t xml:space="preserve">v2 Engineering Roadmap</w:t>
      </w:r>
    </w:p>
    <w:p>
      <w:pPr>
        <w:spacing w:before="160"/>
      </w:pPr>
      <w:r>
        <w:rPr>
          <w:rFonts w:ascii="Arial" w:cs="Arial" w:eastAsia="Arial" w:hAnsi="Arial"/>
          <w:color w:val="6B7280"/>
          <w:sz w:val="30"/>
          <w:szCs w:val="30"/>
        </w:rPr>
        <w:t xml:space="preserve">12-Month Product &amp; Architecture Plan  |  2026 - 2027</w:t>
      </w:r>
    </w:p>
    <w:p>
      <w:pPr>
        <w:spacing w:after="4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5 Pillars</w:t>
            </w:r>
          </w:p>
        </w:tc>
        <w:tc>
          <w:tcPr>
            <w:tcW w:type="dxa" w:w="2340"/>
            <w:tcBorders>
              <w:top w:val="single" w:color="DCFCE7" w:sz="1"/>
              <w:left w:val="single" w:color="DCFCE7" w:sz="1"/>
              <w:bottom w:val="single" w:color="DCFCE7" w:sz="1"/>
              <w:right w:val="single" w:color="DCFCE7"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28 Features</w:t>
            </w:r>
          </w:p>
        </w:tc>
        <w:tc>
          <w:tcPr>
            <w:tcW w:type="dxa" w:w="2340"/>
            <w:tcBorders>
              <w:top w:val="single" w:color="FEF3C7" w:sz="1"/>
              <w:left w:val="single" w:color="FEF3C7" w:sz="1"/>
              <w:bottom w:val="single" w:color="FEF3C7" w:sz="1"/>
              <w:right w:val="single" w:color="FEF3C7"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12 Months</w:t>
            </w:r>
          </w:p>
        </w:tc>
        <w:tc>
          <w:tcPr>
            <w:tcW w:type="dxa" w:w="2340"/>
            <w:tcBorders>
              <w:top w:val="single" w:color="EDE9FE" w:sz="1"/>
              <w:left w:val="single" w:color="EDE9FE" w:sz="1"/>
              <w:bottom w:val="single" w:color="EDE9FE" w:sz="1"/>
              <w:right w:val="single" w:color="EDE9FE" w:sz="1"/>
            </w:tcBorders>
            <w:shd w:fill="EDE9FE" w:val="clear"/>
            <w:tcMar>
              <w:top w:type="dxa" w:w="80"/>
              <w:left w:type="dxa" w:w="120"/>
              <w:bottom w:type="dxa" w:w="80"/>
              <w:right w:type="dxa" w:w="120"/>
            </w:tcMar>
          </w:tcPr>
          <w:p>
            <w:pPr>
              <w:jc w:val="center"/>
            </w:pPr>
            <w:r>
              <w:rPr>
                <w:rFonts w:ascii="Arial" w:cs="Arial" w:eastAsia="Arial" w:hAnsi="Arial"/>
                <w:b/>
                <w:bCs/>
                <w:color w:val="5B21B6"/>
                <w:sz w:val="20"/>
                <w:szCs w:val="20"/>
              </w:rPr>
              <w:t xml:space="preserve">Enterprise Ready</w:t>
            </w:r>
          </w:p>
        </w:tc>
      </w:tr>
    </w:tbl>
    <w:p>
      <w:r>
        <w:br w:type="page"/>
      </w:r>
    </w:p>
    <w:p>
      <w:pPr>
        <w:pStyle w:val="Heading1"/>
        <w:pBdr>
          <w:bottom w:val="single" w:color="1E3A5F" w:sz="4"/>
        </w:pBdr>
        <w:spacing w:after="160" w:before="400"/>
      </w:pPr>
      <w:r>
        <w:rPr>
          <w:rFonts w:ascii="Arial" w:cs="Arial" w:eastAsia="Arial" w:hAnsi="Arial"/>
          <w:b/>
          <w:bCs/>
          <w:color w:val="1E3A5F"/>
          <w:sz w:val="40"/>
          <w:szCs w:val="40"/>
        </w:rPr>
        <w:t xml:space="preserve">1. Executive Summary</w:t>
      </w:r>
    </w:p>
    <w:p>
      <w:pPr>
        <w:spacing w:after="120"/>
      </w:pPr>
      <w:r>
        <w:rPr>
          <w:rFonts w:ascii="Arial" w:cs="Arial" w:eastAsia="Arial" w:hAnsi="Arial"/>
          <w:sz w:val="22"/>
          <w:szCs w:val="22"/>
        </w:rPr>
        <w:t xml:space="preserve">LBRO v1 delivered a production-grade security incident response platform with FastAPI, React, JWT + RBAC, ML-based traffic classification, evidence vault, compliance engine, and 197 passing integration tests. v2 transforms LBRO from a single-tenant tool into a multi-tenant SaaS platform with deep third-party integrations, advanced ML, enterprise compliance certifications, cloud-native infrastructure, and a viable commercial business model.</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The roadmap is structured across four quarterly themes and five capability pillars:</w:t>
      </w:r>
    </w:p>
    <w:p>
      <w:pPr>
        <w:pStyle w:val="ListParagraph"/>
        <w:numPr>
          <w:ilvl w:val="0"/>
          <w:numId w:val="2"/>
        </w:numPr>
        <w:spacing w:after="80"/>
      </w:pPr>
      <w:r>
        <w:rPr>
          <w:rFonts w:ascii="Arial" w:cs="Arial" w:eastAsia="Arial" w:hAnsi="Arial"/>
          <w:color w:val="374151"/>
          <w:sz w:val="22"/>
          <w:szCs w:val="22"/>
        </w:rPr>
        <w:t xml:space="preserve">Q1 (Months 1-3): Foundation — Multi-tenancy, Organizations, Team Management, API Tokens, Webhooks</w:t>
      </w:r>
    </w:p>
    <w:p>
      <w:pPr>
        <w:pStyle w:val="ListParagraph"/>
        <w:numPr>
          <w:ilvl w:val="0"/>
          <w:numId w:val="2"/>
        </w:numPr>
        <w:spacing w:after="80"/>
      </w:pPr>
      <w:r>
        <w:rPr>
          <w:rFonts w:ascii="Arial" w:cs="Arial" w:eastAsia="Arial" w:hAnsi="Arial"/>
          <w:color w:val="374151"/>
          <w:sz w:val="22"/>
          <w:szCs w:val="22"/>
        </w:rPr>
        <w:t xml:space="preserve">Q2 (Months 4-6): Integrations — Notification channels, cloud connectors, SIEM platforms</w:t>
      </w:r>
    </w:p>
    <w:p>
      <w:pPr>
        <w:pStyle w:val="ListParagraph"/>
        <w:numPr>
          <w:ilvl w:val="0"/>
          <w:numId w:val="2"/>
        </w:numPr>
        <w:spacing w:after="80"/>
      </w:pPr>
      <w:r>
        <w:rPr>
          <w:rFonts w:ascii="Arial" w:cs="Arial" w:eastAsia="Arial" w:hAnsi="Arial"/>
          <w:color w:val="374151"/>
          <w:sz w:val="22"/>
          <w:szCs w:val="22"/>
        </w:rPr>
        <w:t xml:space="preserve">Q3 (Months 7-9): Intelligence — Advanced ML ensemble, Threat Intel, Live Attack Map, Compliance certs</w:t>
      </w:r>
    </w:p>
    <w:p>
      <w:pPr>
        <w:pStyle w:val="ListParagraph"/>
        <w:numPr>
          <w:ilvl w:val="0"/>
          <w:numId w:val="2"/>
        </w:numPr>
        <w:spacing w:after="80"/>
      </w:pPr>
      <w:r>
        <w:rPr>
          <w:rFonts w:ascii="Arial" w:cs="Arial" w:eastAsia="Arial" w:hAnsi="Arial"/>
          <w:color w:val="374151"/>
          <w:sz w:val="22"/>
          <w:szCs w:val="22"/>
        </w:rPr>
        <w:t xml:space="preserve">Q4 (Months 10-12): Scale — Kubernetes, Redis/Celery/RabbitMQ, Observability stack, HA/DR, SOAR</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Projected outcomes by end of v2: ARR of $800K-$4M, 50-150 enterprise customers, SOC2 Type II certification, and a platform capable of ingesting 100,000+ events/second.</w:t>
      </w:r>
    </w:p>
    <w:p>
      <w:r>
        <w:br w:type="page"/>
      </w:r>
    </w:p>
    <w:p>
      <w:pPr>
        <w:pStyle w:val="Heading1"/>
        <w:pBdr>
          <w:bottom w:val="single" w:color="1E3A5F" w:sz="4"/>
        </w:pBdr>
        <w:spacing w:after="160" w:before="400"/>
      </w:pPr>
      <w:r>
        <w:rPr>
          <w:rFonts w:ascii="Arial" w:cs="Arial" w:eastAsia="Arial" w:hAnsi="Arial"/>
          <w:b/>
          <w:bCs/>
          <w:color w:val="1E3A5F"/>
          <w:sz w:val="40"/>
          <w:szCs w:val="40"/>
        </w:rPr>
        <w:t xml:space="preserve">2. v1 Baseline</w:t>
      </w:r>
    </w:p>
    <w:p>
      <w:pPr>
        <w:spacing w:after="120"/>
      </w:pPr>
      <w:r>
        <w:rPr>
          <w:rFonts w:ascii="Arial" w:cs="Arial" w:eastAsia="Arial" w:hAnsi="Arial"/>
          <w:sz w:val="22"/>
          <w:szCs w:val="22"/>
        </w:rPr>
        <w:t xml:space="preserve">v1 (completed July 2026) established the following capabilities that v2 builds upon: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w:t>
            </w:r>
          </w:p>
        </w:tc>
        <w:tc>
          <w:tcPr>
            <w:tcW w:type="dxa" w:w="6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v1 Capability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Authentication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JWT HS256 + jti revocation, refresh tokens, login lockout (configurable MAX_LOGIN_ATTEMPTS)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RBAC</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3-tier: viewer / analyst / admin with 20+ explicit permissions in ROLE_PERMISSIONS map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Projects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Full CRUD, project-scoped isolation for incidents, evidence, and compliance records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Incidents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CRUD + status FSM: new -&gt; triaging -&gt; contained -&gt; eradicating -&gt; recovering -&gt; closed -&gt; reopened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Evidence Vault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SHA-256 integrity, chain-of-custody, content-type allowlist, dangerous file signature rejection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ML Pipeline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CICIDS2017 RandomForest classifier, confidence scoring, heuristic fallback, async-safe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Compliance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GDPR, HIPAA, DPDPA obligations persisted to DB; PDF and Word report generation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API</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REST API with OpenAPI spec, pagination, project-scoped filters, rate limiting stub</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DevOps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GitHub Actions CI: lint, typecheck, 197 integration tests, Docker multi-stage, Terraform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Database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PostgreSQL (SQLAlchemy async), Alembic migrations 001-009, missing indexes added</w:t>
            </w:r>
          </w:p>
        </w:tc>
      </w:tr>
    </w:tbl>
    <w:p>
      <w:r>
        <w:br w:type="page"/>
      </w:r>
    </w:p>
    <w:p>
      <w:pPr>
        <w:pStyle w:val="Heading1"/>
        <w:pBdr>
          <w:bottom w:val="single" w:color="1E3A5F" w:sz="4"/>
        </w:pBdr>
        <w:spacing w:after="160" w:before="400"/>
      </w:pPr>
      <w:r>
        <w:rPr>
          <w:rFonts w:ascii="Arial" w:cs="Arial" w:eastAsia="Arial" w:hAnsi="Arial"/>
          <w:b/>
          <w:bCs/>
          <w:color w:val="1E3A5F"/>
          <w:sz w:val="40"/>
          <w:szCs w:val="40"/>
        </w:rPr>
        <w:t xml:space="preserve">3. v2 Architecture Overview</w:t>
      </w:r>
    </w:p>
    <w:p>
      <w:pPr>
        <w:spacing w:after="120"/>
      </w:pPr>
      <w:r>
        <w:rPr>
          <w:rFonts w:ascii="Arial" w:cs="Arial" w:eastAsia="Arial" w:hAnsi="Arial"/>
          <w:sz w:val="22"/>
          <w:szCs w:val="22"/>
        </w:rPr>
        <w:t xml:space="preserve">v2 evolves from a monolithic FastAPI application backed by a single PostgreSQL database into a modular, event-driven platform deployed on Kubernetes with horizontal autoscaling.</w:t>
      </w:r>
    </w:p>
    <w:p>
      <w:pPr>
        <w:pStyle w:val="Heading2"/>
        <w:spacing w:after="100" w:before="280"/>
      </w:pPr>
      <w:r>
        <w:rPr>
          <w:rFonts w:ascii="Arial" w:cs="Arial" w:eastAsia="Arial" w:hAnsi="Arial"/>
          <w:b/>
          <w:bCs/>
          <w:color w:val="1E3A5F"/>
          <w:sz w:val="30"/>
          <w:szCs w:val="30"/>
        </w:rPr>
        <w:t xml:space="preserve">3.1 Multi-Tenancy Model</w:t>
      </w:r>
    </w:p>
    <w:p>
      <w:pPr>
        <w:spacing w:after="120"/>
      </w:pPr>
      <w:r>
        <w:rPr>
          <w:rFonts w:ascii="Arial" w:cs="Arial" w:eastAsia="Arial" w:hAnsi="Arial"/>
          <w:sz w:val="22"/>
          <w:szCs w:val="22"/>
        </w:rPr>
        <w:t xml:space="preserve">Row-Level Security (RLS) is the default isolation layer. An OrganizationMiddleware injects org_id into every SQLAlchemy session via PostgreSQL SET LOCAL app.current_org_id, and RLS policies on every tenant table enforce the filter transparently. Enterprise customers can optionally use schema-per-tenant isolation.</w:t>
      </w:r>
    </w:p>
    <w:p>
      <w:pPr>
        <w:pStyle w:val="ListParagraph"/>
        <w:numPr>
          <w:ilvl w:val="0"/>
          <w:numId w:val="2"/>
        </w:numPr>
        <w:spacing w:after="80"/>
      </w:pPr>
      <w:r>
        <w:rPr>
          <w:rFonts w:ascii="Arial" w:cs="Arial" w:eastAsia="Arial" w:hAnsi="Arial"/>
          <w:color w:val="374151"/>
          <w:sz w:val="22"/>
          <w:szCs w:val="22"/>
        </w:rPr>
        <w:t xml:space="preserve">Shared schema (default): org_id FK on all tenant rows, RLS policies on PostgreSQL 17</w:t>
      </w:r>
    </w:p>
    <w:p>
      <w:pPr>
        <w:pStyle w:val="ListParagraph"/>
        <w:numPr>
          <w:ilvl w:val="0"/>
          <w:numId w:val="2"/>
        </w:numPr>
        <w:spacing w:after="80"/>
      </w:pPr>
      <w:r>
        <w:rPr>
          <w:rFonts w:ascii="Arial" w:cs="Arial" w:eastAsia="Arial" w:hAnsi="Arial"/>
          <w:color w:val="374151"/>
          <w:sz w:val="22"/>
          <w:szCs w:val="22"/>
        </w:rPr>
        <w:t xml:space="preserve">Schema-per-tenant (Enterprise): separate pg_schema per org, Alembic multi-tenant migration runner</w:t>
      </w:r>
    </w:p>
    <w:p>
      <w:pPr>
        <w:pStyle w:val="ListParagraph"/>
        <w:numPr>
          <w:ilvl w:val="0"/>
          <w:numId w:val="2"/>
        </w:numPr>
        <w:spacing w:after="80"/>
      </w:pPr>
      <w:r>
        <w:rPr>
          <w:rFonts w:ascii="Arial" w:cs="Arial" w:eastAsia="Arial" w:hAnsi="Arial"/>
          <w:color w:val="374151"/>
          <w:sz w:val="22"/>
          <w:szCs w:val="22"/>
        </w:rPr>
        <w:t xml:space="preserve">Migration path: Alembic migration 010 adds organization_id (nullable), backfills, then applies NOT NULL constraint</w:t>
      </w:r>
    </w:p>
    <w:p>
      <w:pPr>
        <w:pStyle w:val="Heading2"/>
        <w:spacing w:after="100" w:before="280"/>
      </w:pPr>
      <w:r>
        <w:rPr>
          <w:rFonts w:ascii="Arial" w:cs="Arial" w:eastAsia="Arial" w:hAnsi="Arial"/>
          <w:b/>
          <w:bCs/>
          <w:color w:val="1E3A5F"/>
          <w:sz w:val="30"/>
          <w:szCs w:val="30"/>
        </w:rPr>
        <w:t xml:space="preserve">3.2 Event-Driven Core</w:t>
      </w:r>
    </w:p>
    <w:p>
      <w:pPr>
        <w:spacing w:after="120"/>
      </w:pPr>
      <w:r>
        <w:rPr>
          <w:rFonts w:ascii="Arial" w:cs="Arial" w:eastAsia="Arial" w:hAnsi="Arial"/>
          <w:sz w:val="22"/>
          <w:szCs w:val="22"/>
        </w:rPr>
        <w:t xml:space="preserve">A RabbitMQ message broker with Celery workers replaces synchronous in-process calls for ML inference, notification dispatch, webhook delivery, report generation, threat feed ingestion, and SIEM forwarding. This decouples API latency from background work and enables per-worker-type horizontal scaling.</w:t>
      </w:r>
    </w:p>
    <w:p>
      <w:pPr>
        <w:pStyle w:val="Heading2"/>
        <w:spacing w:after="100" w:before="280"/>
      </w:pPr>
      <w:r>
        <w:rPr>
          <w:rFonts w:ascii="Arial" w:cs="Arial" w:eastAsia="Arial" w:hAnsi="Arial"/>
          <w:b/>
          <w:bCs/>
          <w:color w:val="1E3A5F"/>
          <w:sz w:val="30"/>
          <w:szCs w:val="30"/>
        </w:rPr>
        <w:t xml:space="preserve">3.3 Caching Layer</w:t>
      </w:r>
    </w:p>
    <w:p>
      <w:pPr>
        <w:spacing w:after="120"/>
      </w:pPr>
      <w:r>
        <w:rPr>
          <w:rFonts w:ascii="Arial" w:cs="Arial" w:eastAsia="Arial" w:hAnsi="Arial"/>
          <w:sz w:val="22"/>
          <w:szCs w:val="22"/>
        </w:rPr>
        <w:t xml:space="preserve">Redis 7 (Sentinel HA) is introduced for: JWT blocklist (O(1) revocation check replacing DB query), token bucket rate limiting per user+org, ML prediction caching (TTL=5 min for identical flow features), and dashboard metric caching (TTL=30s).</w:t>
      </w:r>
    </w:p>
    <w:p>
      <w:pPr>
        <w:pStyle w:val="Heading2"/>
        <w:spacing w:after="100" w:before="280"/>
      </w:pPr>
      <w:r>
        <w:rPr>
          <w:rFonts w:ascii="Arial" w:cs="Arial" w:eastAsia="Arial" w:hAnsi="Arial"/>
          <w:b/>
          <w:bCs/>
          <w:color w:val="1E3A5F"/>
          <w:sz w:val="30"/>
          <w:szCs w:val="30"/>
        </w:rPr>
        <w:t xml:space="preserve">3.4 Observability Stack</w:t>
      </w:r>
    </w:p>
    <w:p>
      <w:pPr>
        <w:spacing w:after="120"/>
      </w:pPr>
      <w:r>
        <w:rPr>
          <w:rFonts w:ascii="Arial" w:cs="Arial" w:eastAsia="Arial" w:hAnsi="Arial"/>
          <w:sz w:val="22"/>
          <w:szCs w:val="22"/>
        </w:rPr>
        <w:t xml:space="preserve">OpenTelemetry SDK auto-instruments FastAPI, SQLAlchemy, Celery, and httpx. Traces export to Jaeger, metrics to Prometheus, logs to Loki. Grafana dashboards cover API SLOs, ML inference latency, queue depth, and per-tenant throughput.</w:t>
      </w:r>
    </w:p>
    <w:p>
      <w:r>
        <w:br w:type="page"/>
      </w:r>
    </w:p>
    <w:p>
      <w:pPr>
        <w:pStyle w:val="Heading1"/>
        <w:pBdr>
          <w:bottom w:val="single" w:color="1E3A5F" w:sz="4"/>
        </w:pBdr>
        <w:spacing w:after="160" w:before="400"/>
      </w:pPr>
      <w:r>
        <w:rPr>
          <w:rFonts w:ascii="Arial" w:cs="Arial" w:eastAsia="Arial" w:hAnsi="Arial"/>
          <w:b/>
          <w:bCs/>
          <w:color w:val="1E3A5F"/>
          <w:sz w:val="40"/>
          <w:szCs w:val="40"/>
        </w:rPr>
        <w:t xml:space="preserve">4. Quarterly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E3A5F" w:val="clear"/>
          </w:tcPr>
          <w:p>
            <w:pPr>
              <w:spacing w:before="60"/>
              <w:jc w:val="center"/>
            </w:pPr>
            <w:r>
              <w:rPr>
                <w:rFonts w:ascii="Arial" w:cs="Arial" w:eastAsia="Arial" w:hAnsi="Arial"/>
                <w:b/>
                <w:bCs/>
                <w:color w:val="FFFFFF"/>
                <w:sz w:val="40"/>
                <w:szCs w:val="40"/>
              </w:rPr>
              <w:t xml:space="preserve">Q1</w:t>
            </w:r>
          </w:p>
          <w:p>
            <w:pPr>
              <w:jc w:val="center"/>
            </w:pPr>
            <w:r>
              <w:rPr>
                <w:rFonts w:ascii="Arial" w:cs="Arial" w:eastAsia="Arial" w:hAnsi="Arial"/>
                <w:color w:val="FFFFFF"/>
                <w:sz w:val="20"/>
                <w:szCs w:val="20"/>
              </w:rPr>
              <w:t xml:space="preserve">Months 1-3</w:t>
            </w:r>
          </w:p>
        </w:tc>
        <w:tc>
          <w:tcPr>
            <w:tcW w:type="dxa" w:w="7360"/>
            <w:tcBorders>
              <w:top w:val="none" w:color="FFFFFF" w:sz="0"/>
              <w:left w:val="none" w:color="FFFFFF" w:sz="0"/>
              <w:bottom w:val="none" w:color="FFFFFF" w:sz="0"/>
              <w:right w:val="none" w:color="FFFFFF" w:sz="0"/>
            </w:tcBorders>
            <w:shd w:fill="F8FAFC" w:val="clear"/>
          </w:tcPr>
          <w:p>
            <w:pPr>
              <w:spacing w:before="60"/>
            </w:pPr>
            <w:r>
              <w:rPr>
                <w:rFonts w:ascii="Arial" w:cs="Arial" w:eastAsia="Arial" w:hAnsi="Arial"/>
                <w:b/>
                <w:bCs/>
                <w:color w:val="1E3A5F"/>
                <w:sz w:val="28"/>
                <w:szCs w:val="28"/>
              </w:rPr>
              <w:t xml:space="preserve">Foundation: Multi-Tenancy, Organizations &amp; Developer Platform</w:t>
            </w:r>
          </w:p>
        </w:tc>
      </w:tr>
    </w:tbl>
    <w:p>
      <w:pPr>
        <w:spacing w:after="80"/>
      </w:pPr>
      <w:r>
        <w:rPr>
          <w:rFonts w:ascii="Arial" w:cs="Arial" w:eastAsia="Arial" w:hAnsi="Arial"/>
          <w:sz w:val="22"/>
          <w:szCs w:val="22"/>
        </w:rPr>
        <w:t xml:space="preserve"/>
      </w:r>
    </w:p>
    <w:p>
      <w:pPr>
        <w:pStyle w:val="Heading2"/>
        <w:spacing w:after="100" w:before="280"/>
      </w:pPr>
      <w:r>
        <w:rPr>
          <w:rFonts w:ascii="Arial" w:cs="Arial" w:eastAsia="Arial" w:hAnsi="Arial"/>
          <w:b/>
          <w:bCs/>
          <w:color w:val="1E3A5F"/>
          <w:sz w:val="30"/>
          <w:szCs w:val="30"/>
        </w:rPr>
        <w:t xml:space="preserve">4.1 Organizations &amp; Multi-Tenancy</w:t>
      </w:r>
    </w:p>
    <w:p>
      <w:pPr>
        <w:spacing w:after="120"/>
      </w:pPr>
      <w:r>
        <w:rPr>
          <w:rFonts w:ascii="Arial" w:cs="Arial" w:eastAsia="Arial" w:hAnsi="Arial"/>
          <w:sz w:val="22"/>
          <w:szCs w:val="22"/>
        </w:rPr>
        <w:t xml:space="preserve">The Organization is the top-level billing and isolation unit. Every tenant-scoped resource gains an organization_id FK. Existing v1 data migrates into a 'Personal' organization per user.</w:t>
      </w:r>
    </w:p>
    <w:p>
      <w:pPr>
        <w:pStyle w:val="ListParagraph"/>
        <w:numPr>
          <w:ilvl w:val="0"/>
          <w:numId w:val="2"/>
        </w:numPr>
        <w:spacing w:after="80"/>
      </w:pPr>
      <w:r>
        <w:rPr>
          <w:rFonts w:ascii="Arial" w:cs="Arial" w:eastAsia="Arial" w:hAnsi="Arial"/>
          <w:color w:val="374151"/>
          <w:sz w:val="22"/>
          <w:szCs w:val="22"/>
        </w:rPr>
        <w:t xml:space="preserve">New model: Organization (id, name, slug, plan, max_users, max_projects, billing_email, created_at)</w:t>
      </w:r>
    </w:p>
    <w:p>
      <w:pPr>
        <w:pStyle w:val="ListParagraph"/>
        <w:numPr>
          <w:ilvl w:val="0"/>
          <w:numId w:val="2"/>
        </w:numPr>
        <w:spacing w:after="80"/>
      </w:pPr>
      <w:r>
        <w:rPr>
          <w:rFonts w:ascii="Arial" w:cs="Arial" w:eastAsia="Arial" w:hAnsi="Arial"/>
          <w:color w:val="374151"/>
          <w:sz w:val="22"/>
          <w:szCs w:val="22"/>
        </w:rPr>
        <w:t xml:space="preserve">New model: OrganizationMember (org_id, user_id, role: owner/admin/member/viewer, invited_at, joined_at)</w:t>
      </w:r>
    </w:p>
    <w:p>
      <w:pPr>
        <w:pStyle w:val="ListParagraph"/>
        <w:numPr>
          <w:ilvl w:val="0"/>
          <w:numId w:val="2"/>
        </w:numPr>
        <w:spacing w:after="80"/>
      </w:pPr>
      <w:r>
        <w:rPr>
          <w:rFonts w:ascii="Arial" w:cs="Arial" w:eastAsia="Arial" w:hAnsi="Arial"/>
          <w:color w:val="374151"/>
          <w:sz w:val="22"/>
          <w:szCs w:val="22"/>
        </w:rPr>
        <w:t xml:space="preserve">Middleware: OrganizationContext — resolves org from subdomain (acme.lbro.io) or X-Organization-ID header</w:t>
      </w:r>
    </w:p>
    <w:p>
      <w:pPr>
        <w:pStyle w:val="ListParagraph"/>
        <w:numPr>
          <w:ilvl w:val="0"/>
          <w:numId w:val="2"/>
        </w:numPr>
        <w:spacing w:after="80"/>
      </w:pPr>
      <w:r>
        <w:rPr>
          <w:rFonts w:ascii="Arial" w:cs="Arial" w:eastAsia="Arial" w:hAnsi="Arial"/>
          <w:color w:val="374151"/>
          <w:sz w:val="22"/>
          <w:szCs w:val="22"/>
        </w:rPr>
        <w:t xml:space="preserve">PostgreSQL RLS: policies on all tenant tables enforce org_id filter at DB level</w:t>
      </w:r>
    </w:p>
    <w:p>
      <w:pPr>
        <w:pStyle w:val="ListParagraph"/>
        <w:numPr>
          <w:ilvl w:val="0"/>
          <w:numId w:val="2"/>
        </w:numPr>
        <w:spacing w:after="80"/>
      </w:pPr>
      <w:r>
        <w:rPr>
          <w:rFonts w:ascii="Arial" w:cs="Arial" w:eastAsia="Arial" w:hAnsi="Arial"/>
          <w:color w:val="374151"/>
          <w:sz w:val="22"/>
          <w:szCs w:val="22"/>
        </w:rPr>
        <w:t xml:space="preserve">Plan gating: feature flags and resource limits (max_users, max_projects) enforced at middleware level</w:t>
      </w:r>
    </w:p>
    <w:p>
      <w:pPr>
        <w:pStyle w:val="ListParagraph"/>
        <w:numPr>
          <w:ilvl w:val="0"/>
          <w:numId w:val="2"/>
        </w:numPr>
        <w:spacing w:after="80"/>
      </w:pPr>
      <w:r>
        <w:rPr>
          <w:rFonts w:ascii="Arial" w:cs="Arial" w:eastAsia="Arial" w:hAnsi="Arial"/>
          <w:color w:val="374151"/>
          <w:sz w:val="22"/>
          <w:szCs w:val="22"/>
        </w:rPr>
        <w:t xml:space="preserve">New router: /api/v2/organizations — CRUD, member management, usage stats, billing portal redirect</w:t>
      </w:r>
    </w:p>
    <w:p>
      <w:pPr>
        <w:pStyle w:val="Heading2"/>
        <w:spacing w:after="100" w:before="280"/>
      </w:pPr>
      <w:r>
        <w:rPr>
          <w:rFonts w:ascii="Arial" w:cs="Arial" w:eastAsia="Arial" w:hAnsi="Arial"/>
          <w:b/>
          <w:bCs/>
          <w:color w:val="1E3A5F"/>
          <w:sz w:val="30"/>
          <w:szCs w:val="30"/>
        </w:rPr>
        <w:t xml:space="preserve">4.2 Team Management</w:t>
      </w:r>
    </w:p>
    <w:p>
      <w:pPr>
        <w:spacing w:after="120"/>
      </w:pPr>
      <w:r>
        <w:rPr>
          <w:rFonts w:ascii="Arial" w:cs="Arial" w:eastAsia="Arial" w:hAnsi="Arial"/>
          <w:sz w:val="22"/>
          <w:szCs w:val="22"/>
        </w:rPr>
        <w:t xml:space="preserve">Teams allow fine-grained project assignment within an organization without granting org-wide admin access.</w:t>
      </w:r>
    </w:p>
    <w:p>
      <w:pPr>
        <w:pStyle w:val="ListParagraph"/>
        <w:numPr>
          <w:ilvl w:val="0"/>
          <w:numId w:val="2"/>
        </w:numPr>
        <w:spacing w:after="80"/>
      </w:pPr>
      <w:r>
        <w:rPr>
          <w:rFonts w:ascii="Arial" w:cs="Arial" w:eastAsia="Arial" w:hAnsi="Arial"/>
          <w:color w:val="374151"/>
          <w:sz w:val="22"/>
          <w:szCs w:val="22"/>
        </w:rPr>
        <w:t xml:space="preserve">New model: Team (org_id, name, description) + TeamMember (team_id, user_id, role)</w:t>
      </w:r>
    </w:p>
    <w:p>
      <w:pPr>
        <w:pStyle w:val="ListParagraph"/>
        <w:numPr>
          <w:ilvl w:val="0"/>
          <w:numId w:val="2"/>
        </w:numPr>
        <w:spacing w:after="80"/>
      </w:pPr>
      <w:r>
        <w:rPr>
          <w:rFonts w:ascii="Arial" w:cs="Arial" w:eastAsia="Arial" w:hAnsi="Arial"/>
          <w:color w:val="374151"/>
          <w:sz w:val="22"/>
          <w:szCs w:val="22"/>
        </w:rPr>
        <w:t xml:space="preserve">New model: ProjectTeam — many-to-many between Project and Team</w:t>
      </w:r>
    </w:p>
    <w:p>
      <w:pPr>
        <w:pStyle w:val="ListParagraph"/>
        <w:numPr>
          <w:ilvl w:val="0"/>
          <w:numId w:val="2"/>
        </w:numPr>
        <w:spacing w:after="80"/>
      </w:pPr>
      <w:r>
        <w:rPr>
          <w:rFonts w:ascii="Arial" w:cs="Arial" w:eastAsia="Arial" w:hAnsi="Arial"/>
          <w:color w:val="374151"/>
          <w:sz w:val="22"/>
          <w:szCs w:val="22"/>
        </w:rPr>
        <w:t xml:space="preserve">Team-scoped RBAC: TeamMember.role overrides OrganizationMember.role for project-scoped actions</w:t>
      </w:r>
    </w:p>
    <w:p>
      <w:pPr>
        <w:pStyle w:val="ListParagraph"/>
        <w:numPr>
          <w:ilvl w:val="0"/>
          <w:numId w:val="2"/>
        </w:numPr>
        <w:spacing w:after="80"/>
      </w:pPr>
      <w:r>
        <w:rPr>
          <w:rFonts w:ascii="Arial" w:cs="Arial" w:eastAsia="Arial" w:hAnsi="Arial"/>
          <w:color w:val="374151"/>
          <w:sz w:val="22"/>
          <w:szCs w:val="22"/>
        </w:rPr>
        <w:t xml:space="preserve">API: /api/v2/teams — CRUD, member add/remove, project assignment</w:t>
      </w:r>
    </w:p>
    <w:p>
      <w:pPr>
        <w:pStyle w:val="Heading2"/>
        <w:spacing w:after="100" w:before="280"/>
      </w:pPr>
      <w:r>
        <w:rPr>
          <w:rFonts w:ascii="Arial" w:cs="Arial" w:eastAsia="Arial" w:hAnsi="Arial"/>
          <w:b/>
          <w:bCs/>
          <w:color w:val="1E3A5F"/>
          <w:sz w:val="30"/>
          <w:szCs w:val="30"/>
        </w:rPr>
        <w:t xml:space="preserve">4.3 Project Invitations</w:t>
      </w:r>
    </w:p>
    <w:p>
      <w:pPr>
        <w:spacing w:after="120"/>
      </w:pPr>
      <w:r>
        <w:rPr>
          <w:rFonts w:ascii="Arial" w:cs="Arial" w:eastAsia="Arial" w:hAnsi="Arial"/>
          <w:sz w:val="22"/>
          <w:szCs w:val="22"/>
        </w:rPr>
        <w:t xml:space="preserve">Invite users to an organization or project via signed email link. Invited users register with pre-filled email and land directly in the correct org.</w:t>
      </w:r>
    </w:p>
    <w:p>
      <w:pPr>
        <w:pStyle w:val="ListParagraph"/>
        <w:numPr>
          <w:ilvl w:val="0"/>
          <w:numId w:val="2"/>
        </w:numPr>
        <w:spacing w:after="80"/>
      </w:pPr>
      <w:r>
        <w:rPr>
          <w:rFonts w:ascii="Arial" w:cs="Arial" w:eastAsia="Arial" w:hAnsi="Arial"/>
          <w:color w:val="374151"/>
          <w:sz w:val="22"/>
          <w:szCs w:val="22"/>
        </w:rPr>
        <w:t xml:space="preserve">New model: Invitation (org_id, project_id?, email, role, token_hash, expires_at, accepted_at)</w:t>
      </w:r>
    </w:p>
    <w:p>
      <w:pPr>
        <w:pStyle w:val="ListParagraph"/>
        <w:numPr>
          <w:ilvl w:val="0"/>
          <w:numId w:val="2"/>
        </w:numPr>
        <w:spacing w:after="80"/>
      </w:pPr>
      <w:r>
        <w:rPr>
          <w:rFonts w:ascii="Arial" w:cs="Arial" w:eastAsia="Arial" w:hAnsi="Arial"/>
          <w:color w:val="374151"/>
          <w:sz w:val="22"/>
          <w:szCs w:val="22"/>
        </w:rPr>
        <w:t xml:space="preserve">Flow: Admin sends invite -&gt; email with signed link -&gt; recipient registers -&gt; auto-joins org/team</w:t>
      </w:r>
    </w:p>
    <w:p>
      <w:pPr>
        <w:pStyle w:val="ListParagraph"/>
        <w:numPr>
          <w:ilvl w:val="0"/>
          <w:numId w:val="2"/>
        </w:numPr>
        <w:spacing w:after="80"/>
      </w:pPr>
      <w:r>
        <w:rPr>
          <w:rFonts w:ascii="Arial" w:cs="Arial" w:eastAsia="Arial" w:hAnsi="Arial"/>
          <w:color w:val="374151"/>
          <w:sz w:val="22"/>
          <w:szCs w:val="22"/>
        </w:rPr>
        <w:t xml:space="preserve">Token: HMAC-SHA256(invitation_id + secret), 48h TTL, single-use, invalidated after acceptance</w:t>
      </w:r>
    </w:p>
    <w:p>
      <w:pPr>
        <w:pStyle w:val="ListParagraph"/>
        <w:numPr>
          <w:ilvl w:val="0"/>
          <w:numId w:val="2"/>
        </w:numPr>
        <w:spacing w:after="80"/>
      </w:pPr>
      <w:r>
        <w:rPr>
          <w:rFonts w:ascii="Arial" w:cs="Arial" w:eastAsia="Arial" w:hAnsi="Arial"/>
          <w:color w:val="374151"/>
          <w:sz w:val="22"/>
          <w:szCs w:val="22"/>
        </w:rPr>
        <w:t xml:space="preserve">API: POST /api/v2/invitations, GET /api/v2/invitations/{token}/preview, POST /api/v2/invitations/{token}/accept</w:t>
      </w:r>
    </w:p>
    <w:p>
      <w:pPr>
        <w:pStyle w:val="Heading2"/>
        <w:spacing w:after="100" w:before="280"/>
      </w:pPr>
      <w:r>
        <w:rPr>
          <w:rFonts w:ascii="Arial" w:cs="Arial" w:eastAsia="Arial" w:hAnsi="Arial"/>
          <w:b/>
          <w:bCs/>
          <w:color w:val="1E3A5F"/>
          <w:sz w:val="30"/>
          <w:szCs w:val="30"/>
        </w:rPr>
        <w:t xml:space="preserve">4.4 API Tokens v2</w:t>
      </w:r>
    </w:p>
    <w:p>
      <w:pPr>
        <w:spacing w:after="120"/>
      </w:pPr>
      <w:r>
        <w:rPr>
          <w:rFonts w:ascii="Arial" w:cs="Arial" w:eastAsia="Arial" w:hAnsi="Arial"/>
          <w:sz w:val="22"/>
          <w:szCs w:val="22"/>
        </w:rPr>
        <w:t xml:space="preserve">v1 API keys replaced with scoped, rotatable tokens supporting fine-grained permission scopes.</w:t>
      </w:r>
    </w:p>
    <w:p>
      <w:pPr>
        <w:pStyle w:val="ListParagraph"/>
        <w:numPr>
          <w:ilvl w:val="0"/>
          <w:numId w:val="2"/>
        </w:numPr>
        <w:spacing w:after="80"/>
      </w:pPr>
      <w:r>
        <w:rPr>
          <w:rFonts w:ascii="Arial" w:cs="Arial" w:eastAsia="Arial" w:hAnsi="Arial"/>
          <w:color w:val="374151"/>
          <w:sz w:val="22"/>
          <w:szCs w:val="22"/>
        </w:rPr>
        <w:t xml:space="preserve">New model: APIToken (org_id, user_id, name, prefix, token_hash, scopes[], expires_at, last_used_at)</w:t>
      </w:r>
    </w:p>
    <w:p>
      <w:pPr>
        <w:pStyle w:val="ListParagraph"/>
        <w:numPr>
          <w:ilvl w:val="0"/>
          <w:numId w:val="2"/>
        </w:numPr>
        <w:spacing w:after="80"/>
      </w:pPr>
      <w:r>
        <w:rPr>
          <w:rFonts w:ascii="Arial" w:cs="Arial" w:eastAsia="Arial" w:hAnsi="Arial"/>
          <w:color w:val="374151"/>
          <w:sz w:val="22"/>
          <w:szCs w:val="22"/>
        </w:rPr>
        <w:t xml:space="preserve">Format: lbro_&lt;prefix8&gt;_&lt;random48&gt; — prefix visible for identification, full token shown once at creation</w:t>
      </w:r>
    </w:p>
    <w:p>
      <w:pPr>
        <w:pStyle w:val="ListParagraph"/>
        <w:numPr>
          <w:ilvl w:val="0"/>
          <w:numId w:val="2"/>
        </w:numPr>
        <w:spacing w:after="80"/>
      </w:pPr>
      <w:r>
        <w:rPr>
          <w:rFonts w:ascii="Arial" w:cs="Arial" w:eastAsia="Arial" w:hAnsi="Arial"/>
          <w:color w:val="374151"/>
          <w:sz w:val="22"/>
          <w:szCs w:val="22"/>
        </w:rPr>
        <w:t xml:space="preserve">Scopes: incidents:read, incidents:write, evidence:read, evidence:write, ml:classify, reports:read, webhooks:manage</w:t>
      </w:r>
    </w:p>
    <w:p>
      <w:pPr>
        <w:pStyle w:val="ListParagraph"/>
        <w:numPr>
          <w:ilvl w:val="0"/>
          <w:numId w:val="2"/>
        </w:numPr>
        <w:spacing w:after="80"/>
      </w:pPr>
      <w:r>
        <w:rPr>
          <w:rFonts w:ascii="Arial" w:cs="Arial" w:eastAsia="Arial" w:hAnsi="Arial"/>
          <w:color w:val="374151"/>
          <w:sz w:val="22"/>
          <w:szCs w:val="22"/>
        </w:rPr>
        <w:t xml:space="preserve">Rotation: POST /api/v2/tokens/{id}/rotate — new token issued; old token valid for 24h grace period</w:t>
      </w:r>
    </w:p>
    <w:p>
      <w:pPr>
        <w:pStyle w:val="Heading2"/>
        <w:spacing w:after="100" w:before="280"/>
      </w:pPr>
      <w:r>
        <w:rPr>
          <w:rFonts w:ascii="Arial" w:cs="Arial" w:eastAsia="Arial" w:hAnsi="Arial"/>
          <w:b/>
          <w:bCs/>
          <w:color w:val="1E3A5F"/>
          <w:sz w:val="30"/>
          <w:szCs w:val="30"/>
        </w:rPr>
        <w:t xml:space="preserve">4.5 Webhook Framework</w:t>
      </w:r>
    </w:p>
    <w:p>
      <w:pPr>
        <w:spacing w:after="120"/>
      </w:pPr>
      <w:r>
        <w:rPr>
          <w:rFonts w:ascii="Arial" w:cs="Arial" w:eastAsia="Arial" w:hAnsi="Arial"/>
          <w:sz w:val="22"/>
          <w:szCs w:val="22"/>
        </w:rPr>
        <w:t xml:space="preserve">Generic webhook delivery system with retry logic, HMAC signing, and per-event filtering.</w:t>
      </w:r>
    </w:p>
    <w:p>
      <w:pPr>
        <w:pStyle w:val="ListParagraph"/>
        <w:numPr>
          <w:ilvl w:val="0"/>
          <w:numId w:val="2"/>
        </w:numPr>
        <w:spacing w:after="80"/>
      </w:pPr>
      <w:r>
        <w:rPr>
          <w:rFonts w:ascii="Arial" w:cs="Arial" w:eastAsia="Arial" w:hAnsi="Arial"/>
          <w:color w:val="374151"/>
          <w:sz w:val="22"/>
          <w:szCs w:val="22"/>
        </w:rPr>
        <w:t xml:space="preserve">New model: WebhookEndpoint (org_id, url, secret_hash, events[], enabled)</w:t>
      </w:r>
    </w:p>
    <w:p>
      <w:pPr>
        <w:pStyle w:val="ListParagraph"/>
        <w:numPr>
          <w:ilvl w:val="0"/>
          <w:numId w:val="2"/>
        </w:numPr>
        <w:spacing w:after="80"/>
      </w:pPr>
      <w:r>
        <w:rPr>
          <w:rFonts w:ascii="Arial" w:cs="Arial" w:eastAsia="Arial" w:hAnsi="Arial"/>
          <w:color w:val="374151"/>
          <w:sz w:val="22"/>
          <w:szCs w:val="22"/>
        </w:rPr>
        <w:t xml:space="preserve">New model: WebhookDelivery (endpoint_id, event_type, status, attempts, next_retry_at, response_status)</w:t>
      </w:r>
    </w:p>
    <w:p>
      <w:pPr>
        <w:pStyle w:val="ListParagraph"/>
        <w:numPr>
          <w:ilvl w:val="0"/>
          <w:numId w:val="2"/>
        </w:numPr>
        <w:spacing w:after="80"/>
      </w:pPr>
      <w:r>
        <w:rPr>
          <w:rFonts w:ascii="Arial" w:cs="Arial" w:eastAsia="Arial" w:hAnsi="Arial"/>
          <w:color w:val="374151"/>
          <w:sz w:val="22"/>
          <w:szCs w:val="22"/>
        </w:rPr>
        <w:t xml:space="preserve">Signing: X-LBRO-Signature-256: hmac-sha256(secret, body) — same pattern as GitHub webhooks</w:t>
      </w:r>
    </w:p>
    <w:p>
      <w:pPr>
        <w:pStyle w:val="ListParagraph"/>
        <w:numPr>
          <w:ilvl w:val="0"/>
          <w:numId w:val="2"/>
        </w:numPr>
        <w:spacing w:after="80"/>
      </w:pPr>
      <w:r>
        <w:rPr>
          <w:rFonts w:ascii="Arial" w:cs="Arial" w:eastAsia="Arial" w:hAnsi="Arial"/>
          <w:color w:val="374151"/>
          <w:sz w:val="22"/>
          <w:szCs w:val="22"/>
        </w:rPr>
        <w:t xml:space="preserve">Events: incident.created, incident.status_changed, evidence.uploaded, alert.triggered, ml.classification_complete</w:t>
      </w:r>
    </w:p>
    <w:p>
      <w:pPr>
        <w:pStyle w:val="ListParagraph"/>
        <w:numPr>
          <w:ilvl w:val="0"/>
          <w:numId w:val="2"/>
        </w:numPr>
        <w:spacing w:after="80"/>
      </w:pPr>
      <w:r>
        <w:rPr>
          <w:rFonts w:ascii="Arial" w:cs="Arial" w:eastAsia="Arial" w:hAnsi="Arial"/>
          <w:color w:val="374151"/>
          <w:sz w:val="22"/>
          <w:szCs w:val="22"/>
        </w:rPr>
        <w:t xml:space="preserve">Delivery: Celery task with exponential backoff (1s, 5s, 30s, 5m, 30m) — max 5 attempts, then DLX</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2563EB" w:val="clear"/>
          </w:tcPr>
          <w:p>
            <w:pPr>
              <w:spacing w:before="60"/>
              <w:jc w:val="center"/>
            </w:pPr>
            <w:r>
              <w:rPr>
                <w:rFonts w:ascii="Arial" w:cs="Arial" w:eastAsia="Arial" w:hAnsi="Arial"/>
                <w:b/>
                <w:bCs/>
                <w:color w:val="FFFFFF"/>
                <w:sz w:val="40"/>
                <w:szCs w:val="40"/>
              </w:rPr>
              <w:t xml:space="preserve">Q2</w:t>
            </w:r>
          </w:p>
          <w:p>
            <w:pPr>
              <w:jc w:val="center"/>
            </w:pPr>
            <w:r>
              <w:rPr>
                <w:rFonts w:ascii="Arial" w:cs="Arial" w:eastAsia="Arial" w:hAnsi="Arial"/>
                <w:color w:val="FFFFFF"/>
                <w:sz w:val="20"/>
                <w:szCs w:val="20"/>
              </w:rPr>
              <w:t xml:space="preserve">Months 4-6</w:t>
            </w:r>
          </w:p>
        </w:tc>
        <w:tc>
          <w:tcPr>
            <w:tcW w:type="dxa" w:w="7360"/>
            <w:tcBorders>
              <w:top w:val="none" w:color="FFFFFF" w:sz="0"/>
              <w:left w:val="none" w:color="FFFFFF" w:sz="0"/>
              <w:bottom w:val="none" w:color="FFFFFF" w:sz="0"/>
              <w:right w:val="none" w:color="FFFFFF" w:sz="0"/>
            </w:tcBorders>
            <w:shd w:fill="F8FAFC" w:val="clear"/>
          </w:tcPr>
          <w:p>
            <w:pPr>
              <w:spacing w:before="60"/>
            </w:pPr>
            <w:r>
              <w:rPr>
                <w:rFonts w:ascii="Arial" w:cs="Arial" w:eastAsia="Arial" w:hAnsi="Arial"/>
                <w:b/>
                <w:bCs/>
                <w:color w:val="1E3A5F"/>
                <w:sz w:val="28"/>
                <w:szCs w:val="28"/>
              </w:rPr>
              <w:t xml:space="preserve">Integrations: Notifications, Cloud Connectors &amp; SIEM Platforms</w:t>
            </w:r>
          </w:p>
        </w:tc>
      </w:tr>
    </w:tbl>
    <w:p>
      <w:pPr>
        <w:spacing w:after="80"/>
      </w:pPr>
      <w:r>
        <w:rPr>
          <w:rFonts w:ascii="Arial" w:cs="Arial" w:eastAsia="Arial" w:hAnsi="Arial"/>
          <w:sz w:val="22"/>
          <w:szCs w:val="22"/>
        </w:rPr>
        <w:t xml:space="preserve"/>
      </w:r>
    </w:p>
    <w:p>
      <w:pPr>
        <w:pStyle w:val="Heading2"/>
        <w:spacing w:after="100" w:before="280"/>
      </w:pPr>
      <w:r>
        <w:rPr>
          <w:rFonts w:ascii="Arial" w:cs="Arial" w:eastAsia="Arial" w:hAnsi="Arial"/>
          <w:b/>
          <w:bCs/>
          <w:color w:val="1E3A5F"/>
          <w:sz w:val="30"/>
          <w:szCs w:val="30"/>
        </w:rPr>
        <w:t xml:space="preserve">4.6 Notification System</w:t>
      </w:r>
    </w:p>
    <w:p>
      <w:pPr>
        <w:spacing w:after="120"/>
      </w:pPr>
      <w:r>
        <w:rPr>
          <w:rFonts w:ascii="Arial" w:cs="Arial" w:eastAsia="Arial" w:hAnsi="Arial"/>
          <w:sz w:val="22"/>
          <w:szCs w:val="22"/>
        </w:rPr>
        <w:t xml:space="preserve">Unified notification engine dispatches alerts across all channels with per-user preference management and alert deduplication.</w:t>
      </w:r>
    </w:p>
    <w:p>
      <w:pPr>
        <w:pStyle w:val="ListParagraph"/>
        <w:numPr>
          <w:ilvl w:val="0"/>
          <w:numId w:val="2"/>
        </w:numPr>
        <w:spacing w:after="80"/>
      </w:pPr>
      <w:r>
        <w:rPr>
          <w:rFonts w:ascii="Arial" w:cs="Arial" w:eastAsia="Arial" w:hAnsi="Arial"/>
          <w:color w:val="374151"/>
          <w:sz w:val="22"/>
          <w:szCs w:val="22"/>
        </w:rPr>
        <w:t xml:space="preserve">New model: NotificationRule (org_id, name, event_filter, severity_filter, channel, config, enabled)</w:t>
      </w:r>
    </w:p>
    <w:p>
      <w:pPr>
        <w:pStyle w:val="ListParagraph"/>
        <w:numPr>
          <w:ilvl w:val="0"/>
          <w:numId w:val="2"/>
        </w:numPr>
        <w:spacing w:after="80"/>
      </w:pPr>
      <w:r>
        <w:rPr>
          <w:rFonts w:ascii="Arial" w:cs="Arial" w:eastAsia="Arial" w:hAnsi="Arial"/>
          <w:color w:val="374151"/>
          <w:sz w:val="22"/>
          <w:szCs w:val="22"/>
        </w:rPr>
        <w:t xml:space="preserve">Deduplication: SHA-256 of (org_id + event_type + entity_id + time_bucket) -&gt; Redis SETNX TTL=15min</w:t>
      </w:r>
    </w:p>
    <w:p>
      <w:pPr>
        <w:pStyle w:val="Heading3"/>
        <w:spacing w:after="80" w:before="200"/>
      </w:pPr>
      <w:r>
        <w:rPr>
          <w:rFonts w:ascii="Arial" w:cs="Arial" w:eastAsia="Arial" w:hAnsi="Arial"/>
          <w:b/>
          <w:bCs/>
          <w:color w:val="2563EB"/>
          <w:sz w:val="26"/>
          <w:szCs w:val="26"/>
        </w:rPr>
        <w:t xml:space="preserve">Email Alerts</w:t>
      </w:r>
    </w:p>
    <w:p>
      <w:pPr>
        <w:pStyle w:val="ListParagraph"/>
        <w:numPr>
          <w:ilvl w:val="0"/>
          <w:numId w:val="2"/>
        </w:numPr>
        <w:spacing w:after="80"/>
      </w:pPr>
      <w:r>
        <w:rPr>
          <w:rFonts w:ascii="Arial" w:cs="Arial" w:eastAsia="Arial" w:hAnsi="Arial"/>
          <w:color w:val="374151"/>
          <w:sz w:val="22"/>
          <w:szCs w:val="22"/>
        </w:rPr>
        <w:t xml:space="preserve">Provider: AWS SES (primary) + SendGrid (fallback); Jinja2 HTML templates with per-org branding</w:t>
      </w:r>
    </w:p>
    <w:p>
      <w:pPr>
        <w:pStyle w:val="ListParagraph"/>
        <w:numPr>
          <w:ilvl w:val="0"/>
          <w:numId w:val="2"/>
        </w:numPr>
        <w:spacing w:after="80"/>
      </w:pPr>
      <w:r>
        <w:rPr>
          <w:rFonts w:ascii="Arial" w:cs="Arial" w:eastAsia="Arial" w:hAnsi="Arial"/>
          <w:color w:val="374151"/>
          <w:sz w:val="22"/>
          <w:szCs w:val="22"/>
        </w:rPr>
        <w:t xml:space="preserve">Digest mode: hourly/daily digest for low-severity alerts to prevent inbox flooding</w:t>
      </w:r>
    </w:p>
    <w:p>
      <w:pPr>
        <w:pStyle w:val="Heading3"/>
        <w:spacing w:after="80" w:before="200"/>
      </w:pPr>
      <w:r>
        <w:rPr>
          <w:rFonts w:ascii="Arial" w:cs="Arial" w:eastAsia="Arial" w:hAnsi="Arial"/>
          <w:b/>
          <w:bCs/>
          <w:color w:val="2563EB"/>
          <w:sz w:val="26"/>
          <w:szCs w:val="26"/>
        </w:rPr>
        <w:t xml:space="preserve">SMS</w:t>
      </w:r>
    </w:p>
    <w:p>
      <w:pPr>
        <w:pStyle w:val="ListParagraph"/>
        <w:numPr>
          <w:ilvl w:val="0"/>
          <w:numId w:val="2"/>
        </w:numPr>
        <w:spacing w:after="80"/>
      </w:pPr>
      <w:r>
        <w:rPr>
          <w:rFonts w:ascii="Arial" w:cs="Arial" w:eastAsia="Arial" w:hAnsi="Arial"/>
          <w:color w:val="374151"/>
          <w:sz w:val="22"/>
          <w:szCs w:val="22"/>
        </w:rPr>
        <w:t xml:space="preserve">Provider: Twilio (primary), AWS SNS (fallback); opt-in required; STOP/HELP compliance</w:t>
      </w:r>
    </w:p>
    <w:p>
      <w:pPr>
        <w:pStyle w:val="ListParagraph"/>
        <w:numPr>
          <w:ilvl w:val="0"/>
          <w:numId w:val="2"/>
        </w:numPr>
        <w:spacing w:after="80"/>
      </w:pPr>
      <w:r>
        <w:rPr>
          <w:rFonts w:ascii="Arial" w:cs="Arial" w:eastAsia="Arial" w:hAnsi="Arial"/>
          <w:color w:val="374151"/>
          <w:sz w:val="22"/>
          <w:szCs w:val="22"/>
        </w:rPr>
        <w:t xml:space="preserve">Use case: critical/high severity escalation when email is unread for more than 30 minutes</w:t>
      </w:r>
    </w:p>
    <w:p>
      <w:pPr>
        <w:pStyle w:val="Heading3"/>
        <w:spacing w:after="80" w:before="200"/>
      </w:pPr>
      <w:r>
        <w:rPr>
          <w:rFonts w:ascii="Arial" w:cs="Arial" w:eastAsia="Arial" w:hAnsi="Arial"/>
          <w:b/>
          <w:bCs/>
          <w:color w:val="2563EB"/>
          <w:sz w:val="26"/>
          <w:szCs w:val="26"/>
        </w:rPr>
        <w:t xml:space="preserve">Push Notifications</w:t>
      </w:r>
    </w:p>
    <w:p>
      <w:pPr>
        <w:pStyle w:val="ListParagraph"/>
        <w:numPr>
          <w:ilvl w:val="0"/>
          <w:numId w:val="2"/>
        </w:numPr>
        <w:spacing w:after="80"/>
      </w:pPr>
      <w:r>
        <w:rPr>
          <w:rFonts w:ascii="Arial" w:cs="Arial" w:eastAsia="Arial" w:hAnsi="Arial"/>
          <w:color w:val="374151"/>
          <w:sz w:val="22"/>
          <w:szCs w:val="22"/>
        </w:rPr>
        <w:t xml:space="preserve">FCM for Android/iOS mobile app; VAPID Web Push for browser notifications</w:t>
      </w:r>
    </w:p>
    <w:p>
      <w:pPr>
        <w:pStyle w:val="ListParagraph"/>
        <w:numPr>
          <w:ilvl w:val="0"/>
          <w:numId w:val="2"/>
        </w:numPr>
        <w:spacing w:after="80"/>
      </w:pPr>
      <w:r>
        <w:rPr>
          <w:rFonts w:ascii="Arial" w:cs="Arial" w:eastAsia="Arial" w:hAnsi="Arial"/>
          <w:color w:val="374151"/>
          <w:sz w:val="22"/>
          <w:szCs w:val="22"/>
        </w:rPr>
        <w:t xml:space="preserve">Critical alerts bypass Do Not Disturb on mobile</w:t>
      </w:r>
    </w:p>
    <w:p>
      <w:pPr>
        <w:pStyle w:val="Heading3"/>
        <w:spacing w:after="80" w:before="200"/>
      </w:pPr>
      <w:r>
        <w:rPr>
          <w:rFonts w:ascii="Arial" w:cs="Arial" w:eastAsia="Arial" w:hAnsi="Arial"/>
          <w:b/>
          <w:bCs/>
          <w:color w:val="2563EB"/>
          <w:sz w:val="26"/>
          <w:szCs w:val="26"/>
        </w:rPr>
        <w:t xml:space="preserve">Slack Integration</w:t>
      </w:r>
    </w:p>
    <w:p>
      <w:pPr>
        <w:pStyle w:val="ListParagraph"/>
        <w:numPr>
          <w:ilvl w:val="0"/>
          <w:numId w:val="2"/>
        </w:numPr>
        <w:spacing w:after="80"/>
      </w:pPr>
      <w:r>
        <w:rPr>
          <w:rFonts w:ascii="Arial" w:cs="Arial" w:eastAsia="Arial" w:hAnsi="Arial"/>
          <w:color w:val="374151"/>
          <w:sz w:val="22"/>
          <w:szCs w:val="22"/>
        </w:rPr>
        <w:t xml:space="preserve">OAuth2 bot installation per workspace; slash commands: /lbro status, /lbro incident, /lbro classify</w:t>
      </w:r>
    </w:p>
    <w:p>
      <w:pPr>
        <w:pStyle w:val="ListParagraph"/>
        <w:numPr>
          <w:ilvl w:val="0"/>
          <w:numId w:val="2"/>
        </w:numPr>
        <w:spacing w:after="80"/>
      </w:pPr>
      <w:r>
        <w:rPr>
          <w:rFonts w:ascii="Arial" w:cs="Arial" w:eastAsia="Arial" w:hAnsi="Arial"/>
          <w:color w:val="374151"/>
          <w:sz w:val="22"/>
          <w:szCs w:val="22"/>
        </w:rPr>
        <w:t xml:space="preserve">Block Kit messages: incident cards, severity badges, action buttons (Acknowledge / Escalate / Close)</w:t>
      </w:r>
    </w:p>
    <w:p>
      <w:pPr>
        <w:pStyle w:val="ListParagraph"/>
        <w:numPr>
          <w:ilvl w:val="0"/>
          <w:numId w:val="2"/>
        </w:numPr>
        <w:spacing w:after="80"/>
      </w:pPr>
      <w:r>
        <w:rPr>
          <w:rFonts w:ascii="Arial" w:cs="Arial" w:eastAsia="Arial" w:hAnsi="Arial"/>
          <w:color w:val="374151"/>
          <w:sz w:val="22"/>
          <w:szCs w:val="22"/>
        </w:rPr>
        <w:t xml:space="preserve">Interactive modals: status transitions directly from Slack without leaving the channel</w:t>
      </w:r>
    </w:p>
    <w:p>
      <w:pPr>
        <w:pStyle w:val="Heading3"/>
        <w:spacing w:after="80" w:before="200"/>
      </w:pPr>
      <w:r>
        <w:rPr>
          <w:rFonts w:ascii="Arial" w:cs="Arial" w:eastAsia="Arial" w:hAnsi="Arial"/>
          <w:b/>
          <w:bCs/>
          <w:color w:val="2563EB"/>
          <w:sz w:val="26"/>
          <w:szCs w:val="26"/>
        </w:rPr>
        <w:t xml:space="preserve">Discord Integration</w:t>
      </w:r>
    </w:p>
    <w:p>
      <w:pPr>
        <w:pStyle w:val="ListParagraph"/>
        <w:numPr>
          <w:ilvl w:val="0"/>
          <w:numId w:val="2"/>
        </w:numPr>
        <w:spacing w:after="80"/>
      </w:pPr>
      <w:r>
        <w:rPr>
          <w:rFonts w:ascii="Arial" w:cs="Arial" w:eastAsia="Arial" w:hAnsi="Arial"/>
          <w:color w:val="374151"/>
          <w:sz w:val="22"/>
          <w:szCs w:val="22"/>
        </w:rPr>
        <w:t xml:space="preserve">Discord bot via OAuth2; embed cards with color-coded severity; role mentions for critical incidents</w:t>
      </w:r>
    </w:p>
    <w:p>
      <w:pPr>
        <w:pStyle w:val="Heading3"/>
        <w:spacing w:after="80" w:before="200"/>
      </w:pPr>
      <w:r>
        <w:rPr>
          <w:rFonts w:ascii="Arial" w:cs="Arial" w:eastAsia="Arial" w:hAnsi="Arial"/>
          <w:b/>
          <w:bCs/>
          <w:color w:val="2563EB"/>
          <w:sz w:val="26"/>
          <w:szCs w:val="26"/>
        </w:rPr>
        <w:t xml:space="preserve">Microsoft Teams</w:t>
      </w:r>
    </w:p>
    <w:p>
      <w:pPr>
        <w:pStyle w:val="ListParagraph"/>
        <w:numPr>
          <w:ilvl w:val="0"/>
          <w:numId w:val="2"/>
        </w:numPr>
        <w:spacing w:after="80"/>
      </w:pPr>
      <w:r>
        <w:rPr>
          <w:rFonts w:ascii="Arial" w:cs="Arial" w:eastAsia="Arial" w:hAnsi="Arial"/>
          <w:color w:val="374151"/>
          <w:sz w:val="22"/>
          <w:szCs w:val="22"/>
        </w:rPr>
        <w:t xml:space="preserve">Adaptive Cards for incident notifications with deep links back to LBRO</w:t>
      </w:r>
    </w:p>
    <w:p>
      <w:pPr>
        <w:pStyle w:val="ListParagraph"/>
        <w:numPr>
          <w:ilvl w:val="0"/>
          <w:numId w:val="2"/>
        </w:numPr>
        <w:spacing w:after="80"/>
      </w:pPr>
      <w:r>
        <w:rPr>
          <w:rFonts w:ascii="Arial" w:cs="Arial" w:eastAsia="Arial" w:hAnsi="Arial"/>
          <w:color w:val="374151"/>
          <w:sz w:val="22"/>
          <w:szCs w:val="22"/>
        </w:rPr>
        <w:t xml:space="preserve">Teams App via Azure Bot Service; Connector webhook fallback for orgs without full bot</w:t>
      </w:r>
    </w:p>
    <w:p>
      <w:pPr>
        <w:pStyle w:val="Heading2"/>
        <w:spacing w:after="100" w:before="280"/>
      </w:pPr>
      <w:r>
        <w:rPr>
          <w:rFonts w:ascii="Arial" w:cs="Arial" w:eastAsia="Arial" w:hAnsi="Arial"/>
          <w:b/>
          <w:bCs/>
          <w:color w:val="1E3A5F"/>
          <w:sz w:val="30"/>
          <w:szCs w:val="30"/>
        </w:rPr>
        <w:t xml:space="preserve">4.7 Cloud Provider Connectors</w:t>
      </w:r>
    </w:p>
    <w:p>
      <w:pPr>
        <w:spacing w:after="120"/>
      </w:pPr>
      <w:r>
        <w:rPr>
          <w:rFonts w:ascii="Arial" w:cs="Arial" w:eastAsia="Arial" w:hAnsi="Arial"/>
          <w:sz w:val="22"/>
          <w:szCs w:val="22"/>
        </w:rPr>
        <w:t xml:space="preserve">Pull-based connectors poll cloud security APIs on a configurable schedule (default 5 minutes). All findings normalize to the LBRO IncidentCreate schema.</w:t>
      </w:r>
    </w:p>
    <w:p>
      <w:pPr>
        <w:pStyle w:val="Heading3"/>
        <w:spacing w:after="80" w:before="200"/>
      </w:pPr>
      <w:r>
        <w:rPr>
          <w:rFonts w:ascii="Arial" w:cs="Arial" w:eastAsia="Arial" w:hAnsi="Arial"/>
          <w:b/>
          <w:bCs/>
          <w:color w:val="2563EB"/>
          <w:sz w:val="26"/>
          <w:szCs w:val="26"/>
        </w:rPr>
        <w:t xml:space="preserve">AWS CloudWatch + AWS WAF</w:t>
      </w:r>
    </w:p>
    <w:p>
      <w:pPr>
        <w:pStyle w:val="ListParagraph"/>
        <w:numPr>
          <w:ilvl w:val="0"/>
          <w:numId w:val="2"/>
        </w:numPr>
        <w:spacing w:after="80"/>
      </w:pPr>
      <w:r>
        <w:rPr>
          <w:rFonts w:ascii="Arial" w:cs="Arial" w:eastAsia="Arial" w:hAnsi="Arial"/>
          <w:color w:val="374151"/>
          <w:sz w:val="22"/>
          <w:szCs w:val="22"/>
        </w:rPr>
        <w:t xml:space="preserve">CloudWatch Logs Insights: VPC Flow Logs, CloudTrail, WAF logs queried via Celery beat</w:t>
      </w:r>
    </w:p>
    <w:p>
      <w:pPr>
        <w:pStyle w:val="ListParagraph"/>
        <w:numPr>
          <w:ilvl w:val="0"/>
          <w:numId w:val="2"/>
        </w:numPr>
        <w:spacing w:after="80"/>
      </w:pPr>
      <w:r>
        <w:rPr>
          <w:rFonts w:ascii="Arial" w:cs="Arial" w:eastAsia="Arial" w:hAnsi="Arial"/>
          <w:color w:val="374151"/>
          <w:sz w:val="22"/>
          <w:szCs w:val="22"/>
        </w:rPr>
        <w:t xml:space="preserve">WAF blocked requests auto-create LBRO incidents when rate-exceeded rules trigger</w:t>
      </w:r>
    </w:p>
    <w:p>
      <w:pPr>
        <w:pStyle w:val="ListParagraph"/>
        <w:numPr>
          <w:ilvl w:val="0"/>
          <w:numId w:val="2"/>
        </w:numPr>
        <w:spacing w:after="80"/>
      </w:pPr>
      <w:r>
        <w:rPr>
          <w:rFonts w:ascii="Arial" w:cs="Arial" w:eastAsia="Arial" w:hAnsi="Arial"/>
          <w:color w:val="374151"/>
          <w:sz w:val="22"/>
          <w:szCs w:val="22"/>
        </w:rPr>
        <w:t xml:space="preserve">Auth: STS AssumeRole with ExternalId per org — no long-lived credentials stored in LBRO DB</w:t>
      </w:r>
    </w:p>
    <w:p>
      <w:pPr>
        <w:pStyle w:val="Heading3"/>
        <w:spacing w:after="80" w:before="200"/>
      </w:pPr>
      <w:r>
        <w:rPr>
          <w:rFonts w:ascii="Arial" w:cs="Arial" w:eastAsia="Arial" w:hAnsi="Arial"/>
          <w:b/>
          <w:bCs/>
          <w:color w:val="2563EB"/>
          <w:sz w:val="26"/>
          <w:szCs w:val="26"/>
        </w:rPr>
        <w:t xml:space="preserve">Cloudflare</w:t>
      </w:r>
    </w:p>
    <w:p>
      <w:pPr>
        <w:pStyle w:val="ListParagraph"/>
        <w:numPr>
          <w:ilvl w:val="0"/>
          <w:numId w:val="2"/>
        </w:numPr>
        <w:spacing w:after="80"/>
      </w:pPr>
      <w:r>
        <w:rPr>
          <w:rFonts w:ascii="Arial" w:cs="Arial" w:eastAsia="Arial" w:hAnsi="Arial"/>
          <w:color w:val="374151"/>
          <w:sz w:val="22"/>
          <w:szCs w:val="22"/>
        </w:rPr>
        <w:t xml:space="preserve">Cloudflare Logs API: firewall events, DDoS mitigation events, bot scores</w:t>
      </w:r>
    </w:p>
    <w:p>
      <w:pPr>
        <w:pStyle w:val="ListParagraph"/>
        <w:numPr>
          <w:ilvl w:val="0"/>
          <w:numId w:val="2"/>
        </w:numPr>
        <w:spacing w:after="80"/>
      </w:pPr>
      <w:r>
        <w:rPr>
          <w:rFonts w:ascii="Arial" w:cs="Arial" w:eastAsia="Arial" w:hAnsi="Arial"/>
          <w:color w:val="374151"/>
          <w:sz w:val="22"/>
          <w:szCs w:val="22"/>
        </w:rPr>
        <w:t xml:space="preserve">Auth: Cloudflare API Token with Zone.Read + Logs.Read scopes</w:t>
      </w:r>
    </w:p>
    <w:p>
      <w:pPr>
        <w:pStyle w:val="Heading3"/>
        <w:spacing w:after="80" w:before="200"/>
      </w:pPr>
      <w:r>
        <w:rPr>
          <w:rFonts w:ascii="Arial" w:cs="Arial" w:eastAsia="Arial" w:hAnsi="Arial"/>
          <w:b/>
          <w:bCs/>
          <w:color w:val="2563EB"/>
          <w:sz w:val="26"/>
          <w:szCs w:val="26"/>
        </w:rPr>
        <w:t xml:space="preserve">Azure Defender for Cloud</w:t>
      </w:r>
    </w:p>
    <w:p>
      <w:pPr>
        <w:pStyle w:val="ListParagraph"/>
        <w:numPr>
          <w:ilvl w:val="0"/>
          <w:numId w:val="2"/>
        </w:numPr>
        <w:spacing w:after="80"/>
      </w:pPr>
      <w:r>
        <w:rPr>
          <w:rFonts w:ascii="Arial" w:cs="Arial" w:eastAsia="Arial" w:hAnsi="Arial"/>
          <w:color w:val="374151"/>
          <w:sz w:val="22"/>
          <w:szCs w:val="22"/>
        </w:rPr>
        <w:t xml:space="preserve">Microsoft Graph Security API: pull alerts from Azure Defender, Sentinel, Purview</w:t>
      </w:r>
    </w:p>
    <w:p>
      <w:pPr>
        <w:pStyle w:val="ListParagraph"/>
        <w:numPr>
          <w:ilvl w:val="0"/>
          <w:numId w:val="2"/>
        </w:numPr>
        <w:spacing w:after="80"/>
      </w:pPr>
      <w:r>
        <w:rPr>
          <w:rFonts w:ascii="Arial" w:cs="Arial" w:eastAsia="Arial" w:hAnsi="Arial"/>
          <w:color w:val="374151"/>
          <w:sz w:val="22"/>
          <w:szCs w:val="22"/>
        </w:rPr>
        <w:t xml:space="preserve">Event Grid subscription for real-time push; Auth: Azure AD service principal</w:t>
      </w:r>
    </w:p>
    <w:p>
      <w:pPr>
        <w:pStyle w:val="Heading3"/>
        <w:spacing w:after="80" w:before="200"/>
      </w:pPr>
      <w:r>
        <w:rPr>
          <w:rFonts w:ascii="Arial" w:cs="Arial" w:eastAsia="Arial" w:hAnsi="Arial"/>
          <w:b/>
          <w:bCs/>
          <w:color w:val="2563EB"/>
          <w:sz w:val="26"/>
          <w:szCs w:val="26"/>
        </w:rPr>
        <w:t xml:space="preserve">GCP Security Command Center</w:t>
      </w:r>
    </w:p>
    <w:p>
      <w:pPr>
        <w:pStyle w:val="ListParagraph"/>
        <w:numPr>
          <w:ilvl w:val="0"/>
          <w:numId w:val="2"/>
        </w:numPr>
        <w:spacing w:after="80"/>
      </w:pPr>
      <w:r>
        <w:rPr>
          <w:rFonts w:ascii="Arial" w:cs="Arial" w:eastAsia="Arial" w:hAnsi="Arial"/>
          <w:color w:val="374151"/>
          <w:sz w:val="22"/>
          <w:szCs w:val="22"/>
        </w:rPr>
        <w:t xml:space="preserve">SCC Findings API: high/critical findings from Security Health Analytics, Event Threat Detection</w:t>
      </w:r>
    </w:p>
    <w:p>
      <w:pPr>
        <w:pStyle w:val="ListParagraph"/>
        <w:numPr>
          <w:ilvl w:val="0"/>
          <w:numId w:val="2"/>
        </w:numPr>
        <w:spacing w:after="80"/>
      </w:pPr>
      <w:r>
        <w:rPr>
          <w:rFonts w:ascii="Arial" w:cs="Arial" w:eastAsia="Arial" w:hAnsi="Arial"/>
          <w:color w:val="374151"/>
          <w:sz w:val="22"/>
          <w:szCs w:val="22"/>
        </w:rPr>
        <w:t xml:space="preserve">Pub/Sub push subscription for real-time delivery; Auth: GCP service account</w:t>
      </w:r>
    </w:p>
    <w:p>
      <w:pPr>
        <w:pStyle w:val="Heading2"/>
        <w:spacing w:after="100" w:before="280"/>
      </w:pPr>
      <w:r>
        <w:rPr>
          <w:rFonts w:ascii="Arial" w:cs="Arial" w:eastAsia="Arial" w:hAnsi="Arial"/>
          <w:b/>
          <w:bCs/>
          <w:color w:val="1E3A5F"/>
          <w:sz w:val="30"/>
          <w:szCs w:val="30"/>
        </w:rPr>
        <w:t xml:space="preserve">4.8 SIEM Integrations</w:t>
      </w:r>
    </w:p>
    <w:p>
      <w:pPr>
        <w:spacing w:after="120"/>
      </w:pPr>
      <w:r>
        <w:rPr>
          <w:rFonts w:ascii="Arial" w:cs="Arial" w:eastAsia="Arial" w:hAnsi="Arial"/>
          <w:sz w:val="22"/>
          <w:szCs w:val="22"/>
        </w:rPr>
        <w:t xml:space="preserve">LBRO both ingests from and exports to SIEM platforms. Ingestion normalizes SIEM events to LBRO incidents; export sends LBRO data to SIEM for correlation.</w:t>
      </w:r>
    </w:p>
    <w:p>
      <w:pPr>
        <w:pStyle w:val="Heading3"/>
        <w:spacing w:after="80" w:before="200"/>
      </w:pPr>
      <w:r>
        <w:rPr>
          <w:rFonts w:ascii="Arial" w:cs="Arial" w:eastAsia="Arial" w:hAnsi="Arial"/>
          <w:b/>
          <w:bCs/>
          <w:color w:val="2563EB"/>
          <w:sz w:val="26"/>
          <w:szCs w:val="26"/>
        </w:rPr>
        <w:t xml:space="preserve">Splunk</w:t>
      </w:r>
    </w:p>
    <w:p>
      <w:pPr>
        <w:pStyle w:val="ListParagraph"/>
        <w:numPr>
          <w:ilvl w:val="0"/>
          <w:numId w:val="2"/>
        </w:numPr>
        <w:spacing w:after="80"/>
      </w:pPr>
      <w:r>
        <w:rPr>
          <w:rFonts w:ascii="Arial" w:cs="Arial" w:eastAsia="Arial" w:hAnsi="Arial"/>
          <w:color w:val="374151"/>
          <w:sz w:val="22"/>
          <w:szCs w:val="22"/>
        </w:rPr>
        <w:t xml:space="preserve">Ingest: LBRO exposes an HEC-compatible receiver endpoint for Splunk forwarders</w:t>
      </w:r>
    </w:p>
    <w:p>
      <w:pPr>
        <w:pStyle w:val="ListParagraph"/>
        <w:numPr>
          <w:ilvl w:val="0"/>
          <w:numId w:val="2"/>
        </w:numPr>
        <w:spacing w:after="80"/>
      </w:pPr>
      <w:r>
        <w:rPr>
          <w:rFonts w:ascii="Arial" w:cs="Arial" w:eastAsia="Arial" w:hAnsi="Arial"/>
          <w:color w:val="374151"/>
          <w:sz w:val="22"/>
          <w:szCs w:val="22"/>
        </w:rPr>
        <w:t xml:space="preserve">Export: Splunk REST API pushes LBRO incidents as Notable Events</w:t>
      </w:r>
    </w:p>
    <w:p>
      <w:pPr>
        <w:pStyle w:val="ListParagraph"/>
        <w:numPr>
          <w:ilvl w:val="0"/>
          <w:numId w:val="2"/>
        </w:numPr>
        <w:spacing w:after="80"/>
      </w:pPr>
      <w:r>
        <w:rPr>
          <w:rFonts w:ascii="Arial" w:cs="Arial" w:eastAsia="Arial" w:hAnsi="Arial"/>
          <w:color w:val="374151"/>
          <w:sz w:val="22"/>
          <w:szCs w:val="22"/>
        </w:rPr>
        <w:t xml:space="preserve">Splunk Add-on: pre-built dashboards and saved searches for LBRO data</w:t>
      </w:r>
    </w:p>
    <w:p>
      <w:pPr>
        <w:pStyle w:val="Heading3"/>
        <w:spacing w:after="80" w:before="200"/>
      </w:pPr>
      <w:r>
        <w:rPr>
          <w:rFonts w:ascii="Arial" w:cs="Arial" w:eastAsia="Arial" w:hAnsi="Arial"/>
          <w:b/>
          <w:bCs/>
          <w:color w:val="2563EB"/>
          <w:sz w:val="26"/>
          <w:szCs w:val="26"/>
        </w:rPr>
        <w:t xml:space="preserve">Elastic SIEM</w:t>
      </w:r>
    </w:p>
    <w:p>
      <w:pPr>
        <w:pStyle w:val="ListParagraph"/>
        <w:numPr>
          <w:ilvl w:val="0"/>
          <w:numId w:val="2"/>
        </w:numPr>
        <w:spacing w:after="80"/>
      </w:pPr>
      <w:r>
        <w:rPr>
          <w:rFonts w:ascii="Arial" w:cs="Arial" w:eastAsia="Arial" w:hAnsi="Arial"/>
          <w:color w:val="374151"/>
          <w:sz w:val="22"/>
          <w:szCs w:val="22"/>
        </w:rPr>
        <w:t xml:space="preserve">Ingest: pull security signals from .alerts-security.alerts index via Elasticsearch API</w:t>
      </w:r>
    </w:p>
    <w:p>
      <w:pPr>
        <w:pStyle w:val="ListParagraph"/>
        <w:numPr>
          <w:ilvl w:val="0"/>
          <w:numId w:val="2"/>
        </w:numPr>
        <w:spacing w:after="80"/>
      </w:pPr>
      <w:r>
        <w:rPr>
          <w:rFonts w:ascii="Arial" w:cs="Arial" w:eastAsia="Arial" w:hAnsi="Arial"/>
          <w:color w:val="374151"/>
          <w:sz w:val="22"/>
          <w:szCs w:val="22"/>
        </w:rPr>
        <w:t xml:space="preserve">Export: Filebeat-compatible ndjson log stream; LBRO-trained detection rules for Elastic Security</w:t>
      </w:r>
    </w:p>
    <w:p>
      <w:pPr>
        <w:pStyle w:val="Heading3"/>
        <w:spacing w:after="80" w:before="200"/>
      </w:pPr>
      <w:r>
        <w:rPr>
          <w:rFonts w:ascii="Arial" w:cs="Arial" w:eastAsia="Arial" w:hAnsi="Arial"/>
          <w:b/>
          <w:bCs/>
          <w:color w:val="2563EB"/>
          <w:sz w:val="26"/>
          <w:szCs w:val="26"/>
        </w:rPr>
        <w:t xml:space="preserve">Wazuh</w:t>
      </w:r>
    </w:p>
    <w:p>
      <w:pPr>
        <w:pStyle w:val="ListParagraph"/>
        <w:numPr>
          <w:ilvl w:val="0"/>
          <w:numId w:val="2"/>
        </w:numPr>
        <w:spacing w:after="80"/>
      </w:pPr>
      <w:r>
        <w:rPr>
          <w:rFonts w:ascii="Arial" w:cs="Arial" w:eastAsia="Arial" w:hAnsi="Arial"/>
          <w:color w:val="374151"/>
          <w:sz w:val="22"/>
          <w:szCs w:val="22"/>
        </w:rPr>
        <w:t xml:space="preserve">Ingest: Wazuh API pulls active alerts from wazuh-alerts index</w:t>
      </w:r>
    </w:p>
    <w:p>
      <w:pPr>
        <w:pStyle w:val="ListParagraph"/>
        <w:numPr>
          <w:ilvl w:val="0"/>
          <w:numId w:val="2"/>
        </w:numPr>
        <w:spacing w:after="80"/>
      </w:pPr>
      <w:r>
        <w:rPr>
          <w:rFonts w:ascii="Arial" w:cs="Arial" w:eastAsia="Arial" w:hAnsi="Arial"/>
          <w:color w:val="374151"/>
          <w:sz w:val="22"/>
          <w:szCs w:val="22"/>
        </w:rPr>
        <w:t xml:space="preserve">Export: Wazuh Active Response triggers containment scripts when LBRO marks incident 'contained'</w:t>
      </w:r>
    </w:p>
    <w:p>
      <w:pPr>
        <w:pStyle w:val="Heading3"/>
        <w:spacing w:after="80" w:before="200"/>
      </w:pPr>
      <w:r>
        <w:rPr>
          <w:rFonts w:ascii="Arial" w:cs="Arial" w:eastAsia="Arial" w:hAnsi="Arial"/>
          <w:b/>
          <w:bCs/>
          <w:color w:val="2563EB"/>
          <w:sz w:val="26"/>
          <w:szCs w:val="26"/>
        </w:rPr>
        <w:t xml:space="preserve">IBM QRadar</w:t>
      </w:r>
    </w:p>
    <w:p>
      <w:pPr>
        <w:pStyle w:val="ListParagraph"/>
        <w:numPr>
          <w:ilvl w:val="0"/>
          <w:numId w:val="2"/>
        </w:numPr>
        <w:spacing w:after="80"/>
      </w:pPr>
      <w:r>
        <w:rPr>
          <w:rFonts w:ascii="Arial" w:cs="Arial" w:eastAsia="Arial" w:hAnsi="Arial"/>
          <w:color w:val="374151"/>
          <w:sz w:val="22"/>
          <w:szCs w:val="22"/>
        </w:rPr>
        <w:t xml:space="preserve">Ingest: QRadar REST API pulls offenses (correlated incidents)</w:t>
      </w:r>
    </w:p>
    <w:p>
      <w:pPr>
        <w:pStyle w:val="ListParagraph"/>
        <w:numPr>
          <w:ilvl w:val="0"/>
          <w:numId w:val="2"/>
        </w:numPr>
        <w:spacing w:after="80"/>
      </w:pPr>
      <w:r>
        <w:rPr>
          <w:rFonts w:ascii="Arial" w:cs="Arial" w:eastAsia="Arial" w:hAnsi="Arial"/>
          <w:color w:val="374151"/>
          <w:sz w:val="22"/>
          <w:szCs w:val="22"/>
        </w:rPr>
        <w:t xml:space="preserve">Export: QRadar Custom Event Collector via structured syslog</w:t>
      </w:r>
    </w:p>
    <w:p>
      <w:pPr>
        <w:pStyle w:val="Heading3"/>
        <w:spacing w:after="80" w:before="200"/>
      </w:pPr>
      <w:r>
        <w:rPr>
          <w:rFonts w:ascii="Arial" w:cs="Arial" w:eastAsia="Arial" w:hAnsi="Arial"/>
          <w:b/>
          <w:bCs/>
          <w:color w:val="2563EB"/>
          <w:sz w:val="26"/>
          <w:szCs w:val="26"/>
        </w:rPr>
        <w:t xml:space="preserve">Microsoft Sentinel</w:t>
      </w:r>
    </w:p>
    <w:p>
      <w:pPr>
        <w:pStyle w:val="ListParagraph"/>
        <w:numPr>
          <w:ilvl w:val="0"/>
          <w:numId w:val="2"/>
        </w:numPr>
        <w:spacing w:after="80"/>
      </w:pPr>
      <w:r>
        <w:rPr>
          <w:rFonts w:ascii="Arial" w:cs="Arial" w:eastAsia="Arial" w:hAnsi="Arial"/>
          <w:color w:val="374151"/>
          <w:sz w:val="22"/>
          <w:szCs w:val="22"/>
        </w:rPr>
        <w:t xml:space="preserve">Ingest: Log Analytics REST API queries SecurityIncident and SecurityAlert tables</w:t>
      </w:r>
    </w:p>
    <w:p>
      <w:pPr>
        <w:pStyle w:val="ListParagraph"/>
        <w:numPr>
          <w:ilvl w:val="0"/>
          <w:numId w:val="2"/>
        </w:numPr>
        <w:spacing w:after="80"/>
      </w:pPr>
      <w:r>
        <w:rPr>
          <w:rFonts w:ascii="Arial" w:cs="Arial" w:eastAsia="Arial" w:hAnsi="Arial"/>
          <w:color w:val="374151"/>
          <w:sz w:val="22"/>
          <w:szCs w:val="22"/>
        </w:rPr>
        <w:t xml:space="preserve">Export: Sentinel Data Connector via Azure Function relay; Logic App playbook triggers LBRO webhook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92400E" w:val="clear"/>
          </w:tcPr>
          <w:p>
            <w:pPr>
              <w:spacing w:before="60"/>
              <w:jc w:val="center"/>
            </w:pPr>
            <w:r>
              <w:rPr>
                <w:rFonts w:ascii="Arial" w:cs="Arial" w:eastAsia="Arial" w:hAnsi="Arial"/>
                <w:b/>
                <w:bCs/>
                <w:color w:val="FFFFFF"/>
                <w:sz w:val="40"/>
                <w:szCs w:val="40"/>
              </w:rPr>
              <w:t xml:space="preserve">Q3</w:t>
            </w:r>
          </w:p>
          <w:p>
            <w:pPr>
              <w:jc w:val="center"/>
            </w:pPr>
            <w:r>
              <w:rPr>
                <w:rFonts w:ascii="Arial" w:cs="Arial" w:eastAsia="Arial" w:hAnsi="Arial"/>
                <w:color w:val="FFFFFF"/>
                <w:sz w:val="20"/>
                <w:szCs w:val="20"/>
              </w:rPr>
              <w:t xml:space="preserve">Months 7-9</w:t>
            </w:r>
          </w:p>
        </w:tc>
        <w:tc>
          <w:tcPr>
            <w:tcW w:type="dxa" w:w="7360"/>
            <w:tcBorders>
              <w:top w:val="none" w:color="FFFFFF" w:sz="0"/>
              <w:left w:val="none" w:color="FFFFFF" w:sz="0"/>
              <w:bottom w:val="none" w:color="FFFFFF" w:sz="0"/>
              <w:right w:val="none" w:color="FFFFFF" w:sz="0"/>
            </w:tcBorders>
            <w:shd w:fill="F8FAFC" w:val="clear"/>
          </w:tcPr>
          <w:p>
            <w:pPr>
              <w:spacing w:before="60"/>
            </w:pPr>
            <w:r>
              <w:rPr>
                <w:rFonts w:ascii="Arial" w:cs="Arial" w:eastAsia="Arial" w:hAnsi="Arial"/>
                <w:b/>
                <w:bCs/>
                <w:color w:val="1E3A5F"/>
                <w:sz w:val="28"/>
                <w:szCs w:val="28"/>
              </w:rPr>
              <w:t xml:space="preserve">Intelligence: Advanced ML, Threat Intelligence &amp; Compliance Certs</w:t>
            </w:r>
          </w:p>
        </w:tc>
      </w:tr>
    </w:tbl>
    <w:p>
      <w:pPr>
        <w:spacing w:after="80"/>
      </w:pPr>
      <w:r>
        <w:rPr>
          <w:rFonts w:ascii="Arial" w:cs="Arial" w:eastAsia="Arial" w:hAnsi="Arial"/>
          <w:sz w:val="22"/>
          <w:szCs w:val="22"/>
        </w:rPr>
        <w:t xml:space="preserve"/>
      </w:r>
    </w:p>
    <w:p>
      <w:pPr>
        <w:pStyle w:val="Heading2"/>
        <w:spacing w:after="100" w:before="280"/>
      </w:pPr>
      <w:r>
        <w:rPr>
          <w:rFonts w:ascii="Arial" w:cs="Arial" w:eastAsia="Arial" w:hAnsi="Arial"/>
          <w:b/>
          <w:bCs/>
          <w:color w:val="1E3A5F"/>
          <w:sz w:val="30"/>
          <w:szCs w:val="30"/>
        </w:rPr>
        <w:t xml:space="preserve">4.9 Advanced ML Pipeline</w:t>
      </w:r>
    </w:p>
    <w:p>
      <w:pPr>
        <w:spacing w:after="120"/>
      </w:pPr>
      <w:r>
        <w:rPr>
          <w:rFonts w:ascii="Arial" w:cs="Arial" w:eastAsia="Arial" w:hAnsi="Arial"/>
          <w:sz w:val="22"/>
          <w:szCs w:val="22"/>
        </w:rPr>
        <w:t xml:space="preserve">The v1 RandomForest CICIDS2017 model is replaced by a gradient boosting ensemble with online learning and a versioned model registry.</w:t>
      </w:r>
    </w:p>
    <w:p>
      <w:pPr>
        <w:pStyle w:val="Heading3"/>
        <w:spacing w:after="80" w:before="200"/>
      </w:pPr>
      <w:r>
        <w:rPr>
          <w:rFonts w:ascii="Arial" w:cs="Arial" w:eastAsia="Arial" w:hAnsi="Arial"/>
          <w:b/>
          <w:bCs/>
          <w:color w:val="2563EB"/>
          <w:sz w:val="26"/>
          <w:szCs w:val="26"/>
        </w:rPr>
        <w:t xml:space="preserve">Gradient Boosting Ensemble</w:t>
      </w:r>
    </w:p>
    <w:p>
      <w:pPr>
        <w:pStyle w:val="ListParagraph"/>
        <w:numPr>
          <w:ilvl w:val="0"/>
          <w:numId w:val="2"/>
        </w:numPr>
        <w:spacing w:after="80"/>
      </w:pPr>
      <w:r>
        <w:rPr>
          <w:rFonts w:ascii="Arial" w:cs="Arial" w:eastAsia="Arial" w:hAnsi="Arial"/>
          <w:color w:val="374151"/>
          <w:sz w:val="22"/>
          <w:szCs w:val="22"/>
        </w:rPr>
        <w:t xml:space="preserve">XGBoost: primary classifier — fastest inference, best accuracy on tabular network flow data</w:t>
      </w:r>
    </w:p>
    <w:p>
      <w:pPr>
        <w:pStyle w:val="ListParagraph"/>
        <w:numPr>
          <w:ilvl w:val="0"/>
          <w:numId w:val="2"/>
        </w:numPr>
        <w:spacing w:after="80"/>
      </w:pPr>
      <w:r>
        <w:rPr>
          <w:rFonts w:ascii="Arial" w:cs="Arial" w:eastAsia="Arial" w:hAnsi="Arial"/>
          <w:color w:val="374151"/>
          <w:sz w:val="22"/>
          <w:szCs w:val="22"/>
        </w:rPr>
        <w:t xml:space="preserve">LightGBM: secondary — handles high-cardinality categorical features (ASN, geo country, protocol)</w:t>
      </w:r>
    </w:p>
    <w:p>
      <w:pPr>
        <w:pStyle w:val="ListParagraph"/>
        <w:numPr>
          <w:ilvl w:val="0"/>
          <w:numId w:val="2"/>
        </w:numPr>
        <w:spacing w:after="80"/>
      </w:pPr>
      <w:r>
        <w:rPr>
          <w:rFonts w:ascii="Arial" w:cs="Arial" w:eastAsia="Arial" w:hAnsi="Arial"/>
          <w:color w:val="374151"/>
          <w:sz w:val="22"/>
          <w:szCs w:val="22"/>
        </w:rPr>
        <w:t xml:space="preserve">CatBoost: tertiary — robust to missing values in partial flow records (edge sensor telemetry)</w:t>
      </w:r>
    </w:p>
    <w:p>
      <w:pPr>
        <w:pStyle w:val="ListParagraph"/>
        <w:numPr>
          <w:ilvl w:val="0"/>
          <w:numId w:val="2"/>
        </w:numPr>
        <w:spacing w:after="80"/>
      </w:pPr>
      <w:r>
        <w:rPr>
          <w:rFonts w:ascii="Arial" w:cs="Arial" w:eastAsia="Arial" w:hAnsi="Arial"/>
          <w:color w:val="374151"/>
          <w:sz w:val="22"/>
          <w:szCs w:val="22"/>
        </w:rPr>
        <w:t xml:space="preserve">Ensemble: soft-voting (average predict_proba across all three) with configurable model weights</w:t>
      </w:r>
    </w:p>
    <w:p>
      <w:pPr>
        <w:pStyle w:val="ListParagraph"/>
        <w:numPr>
          <w:ilvl w:val="0"/>
          <w:numId w:val="2"/>
        </w:numPr>
        <w:spacing w:after="80"/>
      </w:pPr>
      <w:r>
        <w:rPr>
          <w:rFonts w:ascii="Arial" w:cs="Arial" w:eastAsia="Arial" w:hAnsi="Arial"/>
          <w:color w:val="374151"/>
          <w:sz w:val="22"/>
          <w:szCs w:val="22"/>
        </w:rPr>
        <w:t xml:space="preserve">Features expanded from 78 to 120: CICIDS2017 base + GeoIP fields + protocol semantics + ASN reputation</w:t>
      </w:r>
    </w:p>
    <w:p>
      <w:pPr>
        <w:pStyle w:val="Heading3"/>
        <w:spacing w:after="80" w:before="200"/>
      </w:pPr>
      <w:r>
        <w:rPr>
          <w:rFonts w:ascii="Arial" w:cs="Arial" w:eastAsia="Arial" w:hAnsi="Arial"/>
          <w:b/>
          <w:bCs/>
          <w:color w:val="2563EB"/>
          <w:sz w:val="26"/>
          <w:szCs w:val="26"/>
        </w:rPr>
        <w:t xml:space="preserve">Online Learning</w:t>
      </w:r>
    </w:p>
    <w:p>
      <w:pPr>
        <w:pStyle w:val="ListParagraph"/>
        <w:numPr>
          <w:ilvl w:val="0"/>
          <w:numId w:val="2"/>
        </w:numPr>
        <w:spacing w:after="80"/>
      </w:pPr>
      <w:r>
        <w:rPr>
          <w:rFonts w:ascii="Arial" w:cs="Arial" w:eastAsia="Arial" w:hAnsi="Arial"/>
          <w:color w:val="374151"/>
          <w:sz w:val="22"/>
          <w:szCs w:val="22"/>
        </w:rPr>
        <w:t xml:space="preserve">River library: incremental Hoeffding Tree running alongside the ensemble in shadow mode</w:t>
      </w:r>
    </w:p>
    <w:p>
      <w:pPr>
        <w:pStyle w:val="ListParagraph"/>
        <w:numPr>
          <w:ilvl w:val="0"/>
          <w:numId w:val="2"/>
        </w:numPr>
        <w:spacing w:after="80"/>
      </w:pPr>
      <w:r>
        <w:rPr>
          <w:rFonts w:ascii="Arial" w:cs="Arial" w:eastAsia="Arial" w:hAnsi="Arial"/>
          <w:color w:val="374151"/>
          <w:sz w:val="22"/>
          <w:szCs w:val="22"/>
        </w:rPr>
        <w:t xml:space="preserve">ADWIN drift detector: triggers model retraining when concept drift detected (p&lt;0.05)</w:t>
      </w:r>
    </w:p>
    <w:p>
      <w:pPr>
        <w:pStyle w:val="ListParagraph"/>
        <w:numPr>
          <w:ilvl w:val="0"/>
          <w:numId w:val="2"/>
        </w:numPr>
        <w:spacing w:after="80"/>
      </w:pPr>
      <w:r>
        <w:rPr>
          <w:rFonts w:ascii="Arial" w:cs="Arial" w:eastAsia="Arial" w:hAnsi="Arial"/>
          <w:color w:val="374151"/>
          <w:sz w:val="22"/>
          <w:szCs w:val="22"/>
        </w:rPr>
        <w:t xml:space="preserve">Feedback loop: analyst TP/FP/FN corrections from the UI feed the online update queue in real time</w:t>
      </w:r>
    </w:p>
    <w:p>
      <w:pPr>
        <w:pStyle w:val="ListParagraph"/>
        <w:numPr>
          <w:ilvl w:val="0"/>
          <w:numId w:val="2"/>
        </w:numPr>
        <w:spacing w:after="80"/>
      </w:pPr>
      <w:r>
        <w:rPr>
          <w:rFonts w:ascii="Arial" w:cs="Arial" w:eastAsia="Arial" w:hAnsi="Arial"/>
          <w:color w:val="374151"/>
          <w:sz w:val="22"/>
          <w:szCs w:val="22"/>
        </w:rPr>
        <w:t xml:space="preserve">Promotion: shadow model replaces ensemble component only after F1 improvement &gt; 2%</w:t>
      </w:r>
    </w:p>
    <w:p>
      <w:pPr>
        <w:pStyle w:val="Heading3"/>
        <w:spacing w:after="80" w:before="200"/>
      </w:pPr>
      <w:r>
        <w:rPr>
          <w:rFonts w:ascii="Arial" w:cs="Arial" w:eastAsia="Arial" w:hAnsi="Arial"/>
          <w:b/>
          <w:bCs/>
          <w:color w:val="2563EB"/>
          <w:sz w:val="26"/>
          <w:szCs w:val="26"/>
        </w:rPr>
        <w:t xml:space="preserve">Model Registry</w:t>
      </w:r>
    </w:p>
    <w:p>
      <w:pPr>
        <w:pStyle w:val="ListParagraph"/>
        <w:numPr>
          <w:ilvl w:val="0"/>
          <w:numId w:val="2"/>
        </w:numPr>
        <w:spacing w:after="80"/>
      </w:pPr>
      <w:r>
        <w:rPr>
          <w:rFonts w:ascii="Arial" w:cs="Arial" w:eastAsia="Arial" w:hAnsi="Arial"/>
          <w:color w:val="374151"/>
          <w:sz w:val="22"/>
          <w:szCs w:val="22"/>
        </w:rPr>
        <w:t xml:space="preserve">New model: MLModel (org_id, name, version, algorithm, dataset_hash, accuracy, f1, deployed_at, status)</w:t>
      </w:r>
    </w:p>
    <w:p>
      <w:pPr>
        <w:pStyle w:val="ListParagraph"/>
        <w:numPr>
          <w:ilvl w:val="0"/>
          <w:numId w:val="2"/>
        </w:numPr>
        <w:spacing w:after="80"/>
      </w:pPr>
      <w:r>
        <w:rPr>
          <w:rFonts w:ascii="Arial" w:cs="Arial" w:eastAsia="Arial" w:hAnsi="Arial"/>
          <w:color w:val="374151"/>
          <w:sz w:val="22"/>
          <w:szCs w:val="22"/>
        </w:rPr>
        <w:t xml:space="preserve">Artifact storage: model files stored in S3 (or local MinIO for OSS); DB stores metadata and metrics</w:t>
      </w:r>
    </w:p>
    <w:p>
      <w:pPr>
        <w:pStyle w:val="ListParagraph"/>
        <w:numPr>
          <w:ilvl w:val="0"/>
          <w:numId w:val="2"/>
        </w:numPr>
        <w:spacing w:after="80"/>
      </w:pPr>
      <w:r>
        <w:rPr>
          <w:rFonts w:ascii="Arial" w:cs="Arial" w:eastAsia="Arial" w:hAnsi="Arial"/>
          <w:color w:val="374151"/>
          <w:sz w:val="22"/>
          <w:szCs w:val="22"/>
        </w:rPr>
        <w:t xml:space="preserve">Promotion gate: minimum F1 &gt;= 0.85 and accuracy &gt;= 0.90 required for production promotion</w:t>
      </w:r>
    </w:p>
    <w:p>
      <w:pPr>
        <w:pStyle w:val="ListParagraph"/>
        <w:numPr>
          <w:ilvl w:val="0"/>
          <w:numId w:val="2"/>
        </w:numPr>
        <w:spacing w:after="80"/>
      </w:pPr>
      <w:r>
        <w:rPr>
          <w:rFonts w:ascii="Arial" w:cs="Arial" w:eastAsia="Arial" w:hAnsi="Arial"/>
          <w:color w:val="374151"/>
          <w:sz w:val="22"/>
          <w:szCs w:val="22"/>
        </w:rPr>
        <w:t xml:space="preserve">API: GET /api/v2/ml/models — list, compare metrics, promote, rollback, download artifact</w:t>
      </w:r>
    </w:p>
    <w:p>
      <w:pPr>
        <w:pStyle w:val="Heading3"/>
        <w:spacing w:after="80" w:before="200"/>
      </w:pPr>
      <w:r>
        <w:rPr>
          <w:rFonts w:ascii="Arial" w:cs="Arial" w:eastAsia="Arial" w:hAnsi="Arial"/>
          <w:b/>
          <w:bCs/>
          <w:color w:val="2563EB"/>
          <w:sz w:val="26"/>
          <w:szCs w:val="26"/>
        </w:rPr>
        <w:t xml:space="preserve">Automatic Retraining</w:t>
      </w:r>
    </w:p>
    <w:p>
      <w:pPr>
        <w:pStyle w:val="ListParagraph"/>
        <w:numPr>
          <w:ilvl w:val="0"/>
          <w:numId w:val="2"/>
        </w:numPr>
        <w:spacing w:after="80"/>
      </w:pPr>
      <w:r>
        <w:rPr>
          <w:rFonts w:ascii="Arial" w:cs="Arial" w:eastAsia="Arial" w:hAnsi="Arial"/>
          <w:color w:val="374151"/>
          <w:sz w:val="22"/>
          <w:szCs w:val="22"/>
        </w:rPr>
        <w:t xml:space="preserve">Triggers: (a) ADWIN drift signal, (b) scheduled weekly Celery beat, (c) manual admin trigger</w:t>
      </w:r>
    </w:p>
    <w:p>
      <w:pPr>
        <w:pStyle w:val="ListParagraph"/>
        <w:numPr>
          <w:ilvl w:val="0"/>
          <w:numId w:val="2"/>
        </w:numPr>
        <w:spacing w:after="80"/>
      </w:pPr>
      <w:r>
        <w:rPr>
          <w:rFonts w:ascii="Arial" w:cs="Arial" w:eastAsia="Arial" w:hAnsi="Arial"/>
          <w:color w:val="374151"/>
          <w:sz w:val="22"/>
          <w:szCs w:val="22"/>
        </w:rPr>
        <w:t xml:space="preserve">Pipeline: fetch labeled data (last 90 days) -&gt; retrain ensemble -&gt; evaluate -&gt; push to registry</w:t>
      </w:r>
    </w:p>
    <w:p>
      <w:pPr>
        <w:pStyle w:val="ListParagraph"/>
        <w:numPr>
          <w:ilvl w:val="0"/>
          <w:numId w:val="2"/>
        </w:numPr>
        <w:spacing w:after="80"/>
      </w:pPr>
      <w:r>
        <w:rPr>
          <w:rFonts w:ascii="Arial" w:cs="Arial" w:eastAsia="Arial" w:hAnsi="Arial"/>
          <w:color w:val="374151"/>
          <w:sz w:val="22"/>
          <w:szCs w:val="22"/>
        </w:rPr>
        <w:t xml:space="preserve">Hyperparameter tuning: Optuna study (50 trials) on each retrain cycle; best params stored in registry</w:t>
      </w:r>
    </w:p>
    <w:p>
      <w:pPr>
        <w:pStyle w:val="Heading2"/>
        <w:spacing w:after="100" w:before="280"/>
      </w:pPr>
      <w:r>
        <w:rPr>
          <w:rFonts w:ascii="Arial" w:cs="Arial" w:eastAsia="Arial" w:hAnsi="Arial"/>
          <w:b/>
          <w:bCs/>
          <w:color w:val="1E3A5F"/>
          <w:sz w:val="30"/>
          <w:szCs w:val="30"/>
        </w:rPr>
        <w:t xml:space="preserve">4.10 Threat Intelligence</w:t>
      </w:r>
    </w:p>
    <w:p>
      <w:pPr>
        <w:pStyle w:val="Heading3"/>
        <w:spacing w:after="80" w:before="200"/>
      </w:pPr>
      <w:r>
        <w:rPr>
          <w:rFonts w:ascii="Arial" w:cs="Arial" w:eastAsia="Arial" w:hAnsi="Arial"/>
          <w:b/>
          <w:bCs/>
          <w:color w:val="2563EB"/>
          <w:sz w:val="26"/>
          <w:szCs w:val="26"/>
        </w:rPr>
        <w:t xml:space="preserve">MITRE ATT&amp;CK Mapping</w:t>
      </w:r>
    </w:p>
    <w:p>
      <w:pPr>
        <w:pStyle w:val="ListParagraph"/>
        <w:numPr>
          <w:ilvl w:val="0"/>
          <w:numId w:val="2"/>
        </w:numPr>
        <w:spacing w:after="80"/>
      </w:pPr>
      <w:r>
        <w:rPr>
          <w:rFonts w:ascii="Arial" w:cs="Arial" w:eastAsia="Arial" w:hAnsi="Arial"/>
          <w:color w:val="374151"/>
          <w:sz w:val="22"/>
          <w:szCs w:val="22"/>
        </w:rPr>
        <w:t xml:space="preserve">MITRE ATT&amp;CK STIX 2.1 bundle (Enterprise Matrix v14) embedded in LBRO database</w:t>
      </w:r>
    </w:p>
    <w:p>
      <w:pPr>
        <w:pStyle w:val="ListParagraph"/>
        <w:numPr>
          <w:ilvl w:val="0"/>
          <w:numId w:val="2"/>
        </w:numPr>
        <w:spacing w:after="80"/>
      </w:pPr>
      <w:r>
        <w:rPr>
          <w:rFonts w:ascii="Arial" w:cs="Arial" w:eastAsia="Arial" w:hAnsi="Arial"/>
          <w:color w:val="374151"/>
          <w:sz w:val="22"/>
          <w:szCs w:val="22"/>
        </w:rPr>
        <w:t xml:space="preserve">ML classifier output mapped to ATT&amp;CK Technique ID (e.g., DDoS -&gt; T1498.001)</w:t>
      </w:r>
    </w:p>
    <w:p>
      <w:pPr>
        <w:pStyle w:val="ListParagraph"/>
        <w:numPr>
          <w:ilvl w:val="0"/>
          <w:numId w:val="2"/>
        </w:numPr>
        <w:spacing w:after="80"/>
      </w:pPr>
      <w:r>
        <w:rPr>
          <w:rFonts w:ascii="Arial" w:cs="Arial" w:eastAsia="Arial" w:hAnsi="Arial"/>
          <w:color w:val="374151"/>
          <w:sz w:val="22"/>
          <w:szCs w:val="22"/>
        </w:rPr>
        <w:t xml:space="preserve">Incident detail shows ATT&amp;CK technique card: tactic, sub-technique, description, mitigations</w:t>
      </w:r>
    </w:p>
    <w:p>
      <w:pPr>
        <w:pStyle w:val="ListParagraph"/>
        <w:numPr>
          <w:ilvl w:val="0"/>
          <w:numId w:val="2"/>
        </w:numPr>
        <w:spacing w:after="80"/>
      </w:pPr>
      <w:r>
        <w:rPr>
          <w:rFonts w:ascii="Arial" w:cs="Arial" w:eastAsia="Arial" w:hAnsi="Arial"/>
          <w:color w:val="374151"/>
          <w:sz w:val="22"/>
          <w:szCs w:val="22"/>
        </w:rPr>
        <w:t xml:space="preserve">ATT&amp;CK Navigator export: per-org heatmap of observed techniques over selectable time range</w:t>
      </w:r>
    </w:p>
    <w:p>
      <w:pPr>
        <w:pStyle w:val="Heading3"/>
        <w:spacing w:after="80" w:before="200"/>
      </w:pPr>
      <w:r>
        <w:rPr>
          <w:rFonts w:ascii="Arial" w:cs="Arial" w:eastAsia="Arial" w:hAnsi="Arial"/>
          <w:b/>
          <w:bCs/>
          <w:color w:val="2563EB"/>
          <w:sz w:val="26"/>
          <w:szCs w:val="26"/>
        </w:rPr>
        <w:t xml:space="preserve">CVE Integration</w:t>
      </w:r>
    </w:p>
    <w:p>
      <w:pPr>
        <w:pStyle w:val="ListParagraph"/>
        <w:numPr>
          <w:ilvl w:val="0"/>
          <w:numId w:val="2"/>
        </w:numPr>
        <w:spacing w:after="80"/>
      </w:pPr>
      <w:r>
        <w:rPr>
          <w:rFonts w:ascii="Arial" w:cs="Arial" w:eastAsia="Arial" w:hAnsi="Arial"/>
          <w:color w:val="374151"/>
          <w:sz w:val="22"/>
          <w:szCs w:val="22"/>
        </w:rPr>
        <w:t xml:space="preserve">NIST NVD API v2: daily sync of CVE records; CVSS v3 scores stored in CVE table</w:t>
      </w:r>
    </w:p>
    <w:p>
      <w:pPr>
        <w:pStyle w:val="ListParagraph"/>
        <w:numPr>
          <w:ilvl w:val="0"/>
          <w:numId w:val="2"/>
        </w:numPr>
        <w:spacing w:after="80"/>
      </w:pPr>
      <w:r>
        <w:rPr>
          <w:rFonts w:ascii="Arial" w:cs="Arial" w:eastAsia="Arial" w:hAnsi="Arial"/>
          <w:color w:val="374151"/>
          <w:sz w:val="22"/>
          <w:szCs w:val="22"/>
        </w:rPr>
        <w:t xml:space="preserve">Asset inventory: AssetTag (org_id, software, version) linked to incidents</w:t>
      </w:r>
    </w:p>
    <w:p>
      <w:pPr>
        <w:pStyle w:val="ListParagraph"/>
        <w:numPr>
          <w:ilvl w:val="0"/>
          <w:numId w:val="2"/>
        </w:numPr>
        <w:spacing w:after="80"/>
      </w:pPr>
      <w:r>
        <w:rPr>
          <w:rFonts w:ascii="Arial" w:cs="Arial" w:eastAsia="Arial" w:hAnsi="Arial"/>
          <w:color w:val="374151"/>
          <w:sz w:val="22"/>
          <w:szCs w:val="22"/>
        </w:rPr>
        <w:t xml:space="preserve">Auto-correlation: when incident created, destination software CVEs surfaced in enrichment panel</w:t>
      </w:r>
    </w:p>
    <w:p>
      <w:pPr>
        <w:pStyle w:val="Heading3"/>
        <w:spacing w:after="80" w:before="200"/>
      </w:pPr>
      <w:r>
        <w:rPr>
          <w:rFonts w:ascii="Arial" w:cs="Arial" w:eastAsia="Arial" w:hAnsi="Arial"/>
          <w:b/>
          <w:bCs/>
          <w:color w:val="2563EB"/>
          <w:sz w:val="26"/>
          <w:szCs w:val="26"/>
        </w:rPr>
        <w:t xml:space="preserve">GeoIP Enrichment</w:t>
      </w:r>
    </w:p>
    <w:p>
      <w:pPr>
        <w:pStyle w:val="ListParagraph"/>
        <w:numPr>
          <w:ilvl w:val="0"/>
          <w:numId w:val="2"/>
        </w:numPr>
        <w:spacing w:after="80"/>
      </w:pPr>
      <w:r>
        <w:rPr>
          <w:rFonts w:ascii="Arial" w:cs="Arial" w:eastAsia="Arial" w:hAnsi="Arial"/>
          <w:color w:val="374151"/>
          <w:sz w:val="22"/>
          <w:szCs w:val="22"/>
        </w:rPr>
        <w:t xml:space="preserve">MaxMind GeoIP2 City + ASN database (updated weekly); stored in IncidentEnrichment table</w:t>
      </w:r>
    </w:p>
    <w:p>
      <w:pPr>
        <w:pStyle w:val="ListParagraph"/>
        <w:numPr>
          <w:ilvl w:val="0"/>
          <w:numId w:val="2"/>
        </w:numPr>
        <w:spacing w:after="80"/>
      </w:pPr>
      <w:r>
        <w:rPr>
          <w:rFonts w:ascii="Arial" w:cs="Arial" w:eastAsia="Arial" w:hAnsi="Arial"/>
          <w:color w:val="374151"/>
          <w:sz w:val="22"/>
          <w:szCs w:val="22"/>
        </w:rPr>
        <w:t xml:space="preserve">Enriched fields: country, city, ASN, ISP, is_tor, is_vpn, is_cloud_exit_node</w:t>
      </w:r>
    </w:p>
    <w:p>
      <w:pPr>
        <w:pStyle w:val="ListParagraph"/>
        <w:numPr>
          <w:ilvl w:val="0"/>
          <w:numId w:val="2"/>
        </w:numPr>
        <w:spacing w:after="80"/>
      </w:pPr>
      <w:r>
        <w:rPr>
          <w:rFonts w:ascii="Arial" w:cs="Arial" w:eastAsia="Arial" w:hAnsi="Arial"/>
          <w:color w:val="374151"/>
          <w:sz w:val="22"/>
          <w:szCs w:val="22"/>
        </w:rPr>
        <w:t xml:space="preserve">Used as additional ML features: source_asn, source_country_code, is_tor, is_vpn</w:t>
      </w:r>
    </w:p>
    <w:p>
      <w:pPr>
        <w:pStyle w:val="Heading3"/>
        <w:spacing w:after="80" w:before="200"/>
      </w:pPr>
      <w:r>
        <w:rPr>
          <w:rFonts w:ascii="Arial" w:cs="Arial" w:eastAsia="Arial" w:hAnsi="Arial"/>
          <w:b/>
          <w:bCs/>
          <w:color w:val="2563EB"/>
          <w:sz w:val="26"/>
          <w:szCs w:val="26"/>
        </w:rPr>
        <w:t xml:space="preserve">Threat Feeds</w:t>
      </w:r>
    </w:p>
    <w:p>
      <w:pPr>
        <w:pStyle w:val="ListParagraph"/>
        <w:numPr>
          <w:ilvl w:val="0"/>
          <w:numId w:val="2"/>
        </w:numPr>
        <w:spacing w:after="80"/>
      </w:pPr>
      <w:r>
        <w:rPr>
          <w:rFonts w:ascii="Arial" w:cs="Arial" w:eastAsia="Arial" w:hAnsi="Arial"/>
          <w:color w:val="374151"/>
          <w:sz w:val="22"/>
          <w:szCs w:val="22"/>
        </w:rPr>
        <w:t xml:space="preserve">Connectors: AbuseIPDB, AlienVault OTX, Shodan InternetDB, MISP instances, custom STIX 2.1 feeds</w:t>
      </w:r>
    </w:p>
    <w:p>
      <w:pPr>
        <w:pStyle w:val="ListParagraph"/>
        <w:numPr>
          <w:ilvl w:val="0"/>
          <w:numId w:val="2"/>
        </w:numPr>
        <w:spacing w:after="80"/>
      </w:pPr>
      <w:r>
        <w:rPr>
          <w:rFonts w:ascii="Arial" w:cs="Arial" w:eastAsia="Arial" w:hAnsi="Arial"/>
          <w:color w:val="374151"/>
          <w:sz w:val="22"/>
          <w:szCs w:val="22"/>
        </w:rPr>
        <w:t xml:space="preserve">New model: ThreatIndicator (type: ip/domain/hash/url, value, score, source, expires_at)</w:t>
      </w:r>
    </w:p>
    <w:p>
      <w:pPr>
        <w:pStyle w:val="ListParagraph"/>
        <w:numPr>
          <w:ilvl w:val="0"/>
          <w:numId w:val="2"/>
        </w:numPr>
        <w:spacing w:after="80"/>
      </w:pPr>
      <w:r>
        <w:rPr>
          <w:rFonts w:ascii="Arial" w:cs="Arial" w:eastAsia="Arial" w:hAnsi="Arial"/>
          <w:color w:val="374151"/>
          <w:sz w:val="22"/>
          <w:szCs w:val="22"/>
        </w:rPr>
        <w:t xml:space="preserve">Auto-lookup: every new incident IP checked against ThreatIndicator table; match boosts severity</w:t>
      </w:r>
    </w:p>
    <w:p>
      <w:pPr>
        <w:pStyle w:val="ListParagraph"/>
        <w:numPr>
          <w:ilvl w:val="0"/>
          <w:numId w:val="2"/>
        </w:numPr>
        <w:spacing w:after="80"/>
      </w:pPr>
      <w:r>
        <w:rPr>
          <w:rFonts w:ascii="Arial" w:cs="Arial" w:eastAsia="Arial" w:hAnsi="Arial"/>
          <w:color w:val="374151"/>
          <w:sz w:val="22"/>
          <w:szCs w:val="22"/>
        </w:rPr>
        <w:t xml:space="preserve">UI: Threat Feed management — add feeds, view indicators, set per-feed polling interval</w:t>
      </w:r>
    </w:p>
    <w:p>
      <w:pPr>
        <w:pStyle w:val="Heading3"/>
        <w:spacing w:after="80" w:before="200"/>
      </w:pPr>
      <w:r>
        <w:rPr>
          <w:rFonts w:ascii="Arial" w:cs="Arial" w:eastAsia="Arial" w:hAnsi="Arial"/>
          <w:b/>
          <w:bCs/>
          <w:color w:val="2563EB"/>
          <w:sz w:val="26"/>
          <w:szCs w:val="26"/>
        </w:rPr>
        <w:t xml:space="preserve">Live Attack Map</w:t>
      </w:r>
    </w:p>
    <w:p>
      <w:pPr>
        <w:pStyle w:val="ListParagraph"/>
        <w:numPr>
          <w:ilvl w:val="0"/>
          <w:numId w:val="2"/>
        </w:numPr>
        <w:spacing w:after="80"/>
      </w:pPr>
      <w:r>
        <w:rPr>
          <w:rFonts w:ascii="Arial" w:cs="Arial" w:eastAsia="Arial" w:hAnsi="Arial"/>
          <w:color w:val="374151"/>
          <w:sz w:val="22"/>
          <w:szCs w:val="22"/>
        </w:rPr>
        <w:t xml:space="preserve">WebSocket endpoint /ws/attack-map: streams new incidents with geo coordinates in real time</w:t>
      </w:r>
    </w:p>
    <w:p>
      <w:pPr>
        <w:pStyle w:val="ListParagraph"/>
        <w:numPr>
          <w:ilvl w:val="0"/>
          <w:numId w:val="2"/>
        </w:numPr>
        <w:spacing w:after="80"/>
      </w:pPr>
      <w:r>
        <w:rPr>
          <w:rFonts w:ascii="Arial" w:cs="Arial" w:eastAsia="Arial" w:hAnsi="Arial"/>
          <w:color w:val="374151"/>
          <w:sz w:val="22"/>
          <w:szCs w:val="22"/>
        </w:rPr>
        <w:t xml:space="preserve">Frontend: WebGL globe (deck.gl) with arc animations from source_ip to destination_ip geolocation</w:t>
      </w:r>
    </w:p>
    <w:p>
      <w:pPr>
        <w:pStyle w:val="ListParagraph"/>
        <w:numPr>
          <w:ilvl w:val="0"/>
          <w:numId w:val="2"/>
        </w:numPr>
        <w:spacing w:after="80"/>
      </w:pPr>
      <w:r>
        <w:rPr>
          <w:rFonts w:ascii="Arial" w:cs="Arial" w:eastAsia="Arial" w:hAnsi="Arial"/>
          <w:color w:val="374151"/>
          <w:sz w:val="22"/>
          <w:szCs w:val="22"/>
        </w:rPr>
        <w:t xml:space="preserve">Redis pub/sub fan-out: new incidents published to lbro:attack-map:{org_id} for WebSocket broadcast</w:t>
      </w:r>
    </w:p>
    <w:p>
      <w:pPr>
        <w:pStyle w:val="ListParagraph"/>
        <w:numPr>
          <w:ilvl w:val="0"/>
          <w:numId w:val="2"/>
        </w:numPr>
        <w:spacing w:after="80"/>
      </w:pPr>
      <w:r>
        <w:rPr>
          <w:rFonts w:ascii="Arial" w:cs="Arial" w:eastAsia="Arial" w:hAnsi="Arial"/>
          <w:color w:val="374151"/>
          <w:sz w:val="22"/>
          <w:szCs w:val="22"/>
        </w:rPr>
        <w:t xml:space="preserve">Public mode: org can enable unauthenticated read-only live map for office TV / website</w:t>
      </w:r>
    </w:p>
    <w:p>
      <w:pPr>
        <w:pStyle w:val="Heading2"/>
        <w:spacing w:after="100" w:before="280"/>
      </w:pPr>
      <w:r>
        <w:rPr>
          <w:rFonts w:ascii="Arial" w:cs="Arial" w:eastAsia="Arial" w:hAnsi="Arial"/>
          <w:b/>
          <w:bCs/>
          <w:color w:val="1E3A5F"/>
          <w:sz w:val="30"/>
          <w:szCs w:val="30"/>
        </w:rPr>
        <w:t xml:space="preserve">4.11 Compliance Certifications</w:t>
      </w:r>
    </w:p>
    <w:p>
      <w:pPr>
        <w:spacing w:after="120"/>
      </w:pPr>
      <w:r>
        <w:rPr>
          <w:rFonts w:ascii="Arial" w:cs="Arial" w:eastAsia="Arial" w:hAnsi="Arial"/>
          <w:sz w:val="22"/>
          <w:szCs w:val="22"/>
        </w:rPr>
        <w:t xml:space="preserve">v2 expands the compliance engine from documentation to structured control tracking with evidence linking and auditor portals.</w:t>
      </w:r>
    </w:p>
    <w:p>
      <w:pPr>
        <w:pStyle w:val="ListParagraph"/>
        <w:numPr>
          <w:ilvl w:val="0"/>
          <w:numId w:val="2"/>
        </w:numPr>
        <w:spacing w:after="80"/>
      </w:pPr>
      <w:r>
        <w:rPr>
          <w:rFonts w:ascii="Arial" w:cs="Arial" w:eastAsia="Arial" w:hAnsi="Arial"/>
          <w:color w:val="374151"/>
          <w:sz w:val="22"/>
          <w:szCs w:val="22"/>
        </w:rPr>
        <w:t xml:space="preserve">New model: ComplianceControl (framework, control_id, title, status, evidence_ids[], owner_id, due_date)</w:t>
      </w:r>
    </w:p>
    <w:p>
      <w:pPr>
        <w:pStyle w:val="ListParagraph"/>
        <w:numPr>
          <w:ilvl w:val="0"/>
          <w:numId w:val="2"/>
        </w:numPr>
        <w:spacing w:after="80"/>
      </w:pPr>
      <w:r>
        <w:rPr>
          <w:rFonts w:ascii="Arial" w:cs="Arial" w:eastAsia="Arial" w:hAnsi="Arial"/>
          <w:color w:val="374151"/>
          <w:sz w:val="22"/>
          <w:szCs w:val="22"/>
        </w:rPr>
        <w:t xml:space="preserve">New model: AuditLog (actor_id, action, resource_type, resource_id, before, after, ip, timestamp) - immutable append-only</w:t>
      </w:r>
    </w:p>
    <w:p>
      <w:pPr>
        <w:pStyle w:val="ListParagraph"/>
        <w:numPr>
          <w:ilvl w:val="0"/>
          <w:numId w:val="2"/>
        </w:numPr>
        <w:spacing w:after="80"/>
      </w:pPr>
      <w:r>
        <w:rPr>
          <w:rFonts w:ascii="Arial" w:cs="Arial" w:eastAsia="Arial" w:hAnsi="Arial"/>
          <w:color w:val="374151"/>
          <w:sz w:val="22"/>
          <w:szCs w:val="22"/>
        </w:rPr>
        <w:t xml:space="preserve">Frameworks: ISO 27001:2022 (93 controls), SOC2 Type II, HIPAA, PCI-DSS v4, GDPR, DPDPA</w:t>
      </w:r>
    </w:p>
    <w:p>
      <w:pPr>
        <w:pStyle w:val="ListParagraph"/>
        <w:numPr>
          <w:ilvl w:val="0"/>
          <w:numId w:val="2"/>
        </w:numPr>
        <w:spacing w:after="80"/>
      </w:pPr>
      <w:r>
        <w:rPr>
          <w:rFonts w:ascii="Arial" w:cs="Arial" w:eastAsia="Arial" w:hAnsi="Arial"/>
          <w:color w:val="374151"/>
          <w:sz w:val="22"/>
          <w:szCs w:val="22"/>
        </w:rPr>
        <w:t xml:space="preserve">Auditor portal: read-only org-scoped view with time-limited access token for external auditors</w:t>
      </w:r>
    </w:p>
    <w:p>
      <w:pPr>
        <w:pStyle w:val="ListParagraph"/>
        <w:numPr>
          <w:ilvl w:val="0"/>
          <w:numId w:val="2"/>
        </w:numPr>
        <w:spacing w:after="80"/>
      </w:pPr>
      <w:r>
        <w:rPr>
          <w:rFonts w:ascii="Arial" w:cs="Arial" w:eastAsia="Arial" w:hAnsi="Arial"/>
          <w:color w:val="374151"/>
          <w:sz w:val="22"/>
          <w:szCs w:val="22"/>
        </w:rPr>
        <w:t xml:space="preserve">Evidence linking: ComplianceControl.evidence_ids references Evidence vault records with integrity hash</w:t>
      </w:r>
    </w:p>
    <w:p>
      <w:pPr>
        <w:pStyle w:val="ListParagraph"/>
        <w:numPr>
          <w:ilvl w:val="0"/>
          <w:numId w:val="2"/>
        </w:numPr>
        <w:spacing w:after="80"/>
      </w:pPr>
      <w:r>
        <w:rPr>
          <w:rFonts w:ascii="Arial" w:cs="Arial" w:eastAsia="Arial" w:hAnsi="Arial"/>
          <w:color w:val="374151"/>
          <w:sz w:val="22"/>
          <w:szCs w:val="22"/>
        </w:rPr>
        <w:t xml:space="preserve">Gap analysis: automated control status sweep based on LBRO config + incident history</w:t>
      </w:r>
    </w:p>
    <w:p>
      <w:pPr>
        <w:pStyle w:val="ListParagraph"/>
        <w:numPr>
          <w:ilvl w:val="0"/>
          <w:numId w:val="2"/>
        </w:numPr>
        <w:spacing w:after="80"/>
      </w:pPr>
      <w:r>
        <w:rPr>
          <w:rFonts w:ascii="Arial" w:cs="Arial" w:eastAsia="Arial" w:hAnsi="Arial"/>
          <w:color w:val="374151"/>
          <w:sz w:val="22"/>
          <w:szCs w:val="22"/>
        </w:rPr>
        <w:t xml:space="preserve">SOC2 automation: continuous control monitoring — alerts when a monitored control drifts to FAIL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E3A5F" w:val="clear"/>
          </w:tcPr>
          <w:p>
            <w:pPr>
              <w:spacing w:before="60"/>
              <w:jc w:val="center"/>
            </w:pPr>
            <w:r>
              <w:rPr>
                <w:rFonts w:ascii="Arial" w:cs="Arial" w:eastAsia="Arial" w:hAnsi="Arial"/>
                <w:b/>
                <w:bCs/>
                <w:color w:val="FFFFFF"/>
                <w:sz w:val="40"/>
                <w:szCs w:val="40"/>
              </w:rPr>
              <w:t xml:space="preserve">Q4</w:t>
            </w:r>
          </w:p>
          <w:p>
            <w:pPr>
              <w:jc w:val="center"/>
            </w:pPr>
            <w:r>
              <w:rPr>
                <w:rFonts w:ascii="Arial" w:cs="Arial" w:eastAsia="Arial" w:hAnsi="Arial"/>
                <w:color w:val="FFFFFF"/>
                <w:sz w:val="20"/>
                <w:szCs w:val="20"/>
              </w:rPr>
              <w:t xml:space="preserve">Months 10-12</w:t>
            </w:r>
          </w:p>
        </w:tc>
        <w:tc>
          <w:tcPr>
            <w:tcW w:type="dxa" w:w="7360"/>
            <w:tcBorders>
              <w:top w:val="none" w:color="FFFFFF" w:sz="0"/>
              <w:left w:val="none" w:color="FFFFFF" w:sz="0"/>
              <w:bottom w:val="none" w:color="FFFFFF" w:sz="0"/>
              <w:right w:val="none" w:color="FFFFFF" w:sz="0"/>
            </w:tcBorders>
            <w:shd w:fill="F8FAFC" w:val="clear"/>
          </w:tcPr>
          <w:p>
            <w:pPr>
              <w:spacing w:before="60"/>
            </w:pPr>
            <w:r>
              <w:rPr>
                <w:rFonts w:ascii="Arial" w:cs="Arial" w:eastAsia="Arial" w:hAnsi="Arial"/>
                <w:b/>
                <w:bCs/>
                <w:color w:val="1E3A5F"/>
                <w:sz w:val="28"/>
                <w:szCs w:val="28"/>
              </w:rPr>
              <w:t xml:space="preserve">Scale: Kubernetes, Observability, HA, DR &amp; SOAR Playbooks</w:t>
            </w:r>
          </w:p>
        </w:tc>
      </w:tr>
    </w:tbl>
    <w:p>
      <w:pPr>
        <w:spacing w:after="80"/>
      </w:pPr>
      <w:r>
        <w:rPr>
          <w:rFonts w:ascii="Arial" w:cs="Arial" w:eastAsia="Arial" w:hAnsi="Arial"/>
          <w:sz w:val="22"/>
          <w:szCs w:val="22"/>
        </w:rPr>
        <w:t xml:space="preserve"/>
      </w:r>
    </w:p>
    <w:p>
      <w:pPr>
        <w:pStyle w:val="Heading2"/>
        <w:spacing w:after="100" w:before="280"/>
      </w:pPr>
      <w:r>
        <w:rPr>
          <w:rFonts w:ascii="Arial" w:cs="Arial" w:eastAsia="Arial" w:hAnsi="Arial"/>
          <w:b/>
          <w:bCs/>
          <w:color w:val="1E3A5F"/>
          <w:sz w:val="30"/>
          <w:szCs w:val="30"/>
        </w:rPr>
        <w:t xml:space="preserve">4.12 Evidence — Immutable Storage</w:t>
      </w:r>
    </w:p>
    <w:p>
      <w:pPr>
        <w:pStyle w:val="ListParagraph"/>
        <w:numPr>
          <w:ilvl w:val="0"/>
          <w:numId w:val="2"/>
        </w:numPr>
        <w:spacing w:after="80"/>
      </w:pPr>
      <w:r>
        <w:rPr>
          <w:rFonts w:ascii="Arial" w:cs="Arial" w:eastAsia="Arial" w:hAnsi="Arial"/>
          <w:color w:val="374151"/>
          <w:sz w:val="22"/>
          <w:szCs w:val="22"/>
        </w:rPr>
        <w:t xml:space="preserve">S3 backend: large files uploaded to S3 (or MinIO for OSS); DB stores metadata and SHA-256 hash only</w:t>
      </w:r>
    </w:p>
    <w:p>
      <w:pPr>
        <w:pStyle w:val="ListParagraph"/>
        <w:numPr>
          <w:ilvl w:val="0"/>
          <w:numId w:val="2"/>
        </w:numPr>
        <w:spacing w:after="80"/>
      </w:pPr>
      <w:r>
        <w:rPr>
          <w:rFonts w:ascii="Arial" w:cs="Arial" w:eastAsia="Arial" w:hAnsi="Arial"/>
          <w:color w:val="374151"/>
          <w:sz w:val="22"/>
          <w:szCs w:val="22"/>
        </w:rPr>
        <w:t xml:space="preserve">S3 Object Lock (Compliance mode): evidence locked for configured retention period (default: 7 years)</w:t>
      </w:r>
    </w:p>
    <w:p>
      <w:pPr>
        <w:pStyle w:val="ListParagraph"/>
        <w:numPr>
          <w:ilvl w:val="0"/>
          <w:numId w:val="2"/>
        </w:numPr>
        <w:spacing w:after="80"/>
      </w:pPr>
      <w:r>
        <w:rPr>
          <w:rFonts w:ascii="Arial" w:cs="Arial" w:eastAsia="Arial" w:hAnsi="Arial"/>
          <w:color w:val="374151"/>
          <w:sz w:val="22"/>
          <w:szCs w:val="22"/>
        </w:rPr>
        <w:t xml:space="preserve">S3 Versioning: all versions retained; DELETE creates a delete marker without erasing the file</w:t>
      </w:r>
    </w:p>
    <w:p>
      <w:pPr>
        <w:pStyle w:val="ListParagraph"/>
        <w:numPr>
          <w:ilvl w:val="0"/>
          <w:numId w:val="2"/>
        </w:numPr>
        <w:spacing w:after="80"/>
      </w:pPr>
      <w:r>
        <w:rPr>
          <w:rFonts w:ascii="Arial" w:cs="Arial" w:eastAsia="Arial" w:hAnsi="Arial"/>
          <w:color w:val="374151"/>
          <w:sz w:val="22"/>
          <w:szCs w:val="22"/>
        </w:rPr>
        <w:t xml:space="preserve">Digital signatures: evidence hash signed with org RSA-4096 private key; public key in org settings</w:t>
      </w:r>
    </w:p>
    <w:p>
      <w:pPr>
        <w:pStyle w:val="ListParagraph"/>
        <w:numPr>
          <w:ilvl w:val="0"/>
          <w:numId w:val="2"/>
        </w:numPr>
        <w:spacing w:after="80"/>
      </w:pPr>
      <w:r>
        <w:rPr>
          <w:rFonts w:ascii="Arial" w:cs="Arial" w:eastAsia="Arial" w:hAnsi="Arial"/>
          <w:color w:val="374151"/>
          <w:sz w:val="22"/>
          <w:szCs w:val="22"/>
        </w:rPr>
        <w:t xml:space="preserve">Chain-of-custody v2: each custody record hashes the previous record's hash — tamper-evident linked list</w:t>
      </w:r>
    </w:p>
    <w:p>
      <w:pPr>
        <w:pStyle w:val="ListParagraph"/>
        <w:numPr>
          <w:ilvl w:val="0"/>
          <w:numId w:val="2"/>
        </w:numPr>
        <w:spacing w:after="80"/>
      </w:pPr>
      <w:r>
        <w:rPr>
          <w:rFonts w:ascii="Arial" w:cs="Arial" w:eastAsia="Arial" w:hAnsi="Arial"/>
          <w:color w:val="374151"/>
          <w:sz w:val="22"/>
          <w:szCs w:val="22"/>
        </w:rPr>
        <w:t xml:space="preserve">Legal export: ZIP bundle with evidence file + custody chain + verifiable signature manifest</w:t>
      </w:r>
    </w:p>
    <w:p>
      <w:pPr>
        <w:pStyle w:val="Heading2"/>
        <w:spacing w:after="100" w:before="280"/>
      </w:pPr>
      <w:r>
        <w:rPr>
          <w:rFonts w:ascii="Arial" w:cs="Arial" w:eastAsia="Arial" w:hAnsi="Arial"/>
          <w:b/>
          <w:bCs/>
          <w:color w:val="1E3A5F"/>
          <w:sz w:val="30"/>
          <w:szCs w:val="30"/>
        </w:rPr>
        <w:t xml:space="preserve">4.13 Incident Response — Playbooks &amp; SOAR</w:t>
      </w:r>
    </w:p>
    <w:p>
      <w:pPr>
        <w:pStyle w:val="ListParagraph"/>
        <w:numPr>
          <w:ilvl w:val="0"/>
          <w:numId w:val="2"/>
        </w:numPr>
        <w:spacing w:after="80"/>
      </w:pPr>
      <w:r>
        <w:rPr>
          <w:rFonts w:ascii="Arial" w:cs="Arial" w:eastAsia="Arial" w:hAnsi="Arial"/>
          <w:color w:val="374151"/>
          <w:sz w:val="22"/>
          <w:szCs w:val="22"/>
        </w:rPr>
        <w:t xml:space="preserve">New model: Playbook (org_id, name, trigger_conditions, steps[]) — YAML DSL stored in DB</w:t>
      </w:r>
    </w:p>
    <w:p>
      <w:pPr>
        <w:pStyle w:val="ListParagraph"/>
        <w:numPr>
          <w:ilvl w:val="0"/>
          <w:numId w:val="2"/>
        </w:numPr>
        <w:spacing w:after="80"/>
      </w:pPr>
      <w:r>
        <w:rPr>
          <w:rFonts w:ascii="Arial" w:cs="Arial" w:eastAsia="Arial" w:hAnsi="Arial"/>
          <w:color w:val="374151"/>
          <w:sz w:val="22"/>
          <w:szCs w:val="22"/>
        </w:rPr>
        <w:t xml:space="preserve">Step types: notify, webhook, api_call, wait, branch (conditional), human_approval (with timeout)</w:t>
      </w:r>
    </w:p>
    <w:p>
      <w:pPr>
        <w:pStyle w:val="ListParagraph"/>
        <w:numPr>
          <w:ilvl w:val="0"/>
          <w:numId w:val="2"/>
        </w:numPr>
        <w:spacing w:after="80"/>
      </w:pPr>
      <w:r>
        <w:rPr>
          <w:rFonts w:ascii="Arial" w:cs="Arial" w:eastAsia="Arial" w:hAnsi="Arial"/>
          <w:color w:val="374151"/>
          <w:sz w:val="22"/>
          <w:szCs w:val="22"/>
        </w:rPr>
        <w:t xml:space="preserve">Trigger example: incident.created WHERE severity IN ['critical','high'] AND attack_category = 'DDoS'</w:t>
      </w:r>
    </w:p>
    <w:p>
      <w:pPr>
        <w:pStyle w:val="ListParagraph"/>
        <w:numPr>
          <w:ilvl w:val="0"/>
          <w:numId w:val="2"/>
        </w:numPr>
        <w:spacing w:after="80"/>
      </w:pPr>
      <w:r>
        <w:rPr>
          <w:rFonts w:ascii="Arial" w:cs="Arial" w:eastAsia="Arial" w:hAnsi="Arial"/>
          <w:color w:val="374151"/>
          <w:sz w:val="22"/>
          <w:szCs w:val="22"/>
        </w:rPr>
        <w:t xml:space="preserve">Execution engine: Celery Chord + Chain; each step logged to PlaybookRun table with start/end timestamps</w:t>
      </w:r>
    </w:p>
    <w:p>
      <w:pPr>
        <w:pStyle w:val="ListParagraph"/>
        <w:numPr>
          <w:ilvl w:val="0"/>
          <w:numId w:val="2"/>
        </w:numPr>
        <w:spacing w:after="80"/>
      </w:pPr>
      <w:r>
        <w:rPr>
          <w:rFonts w:ascii="Arial" w:cs="Arial" w:eastAsia="Arial" w:hAnsi="Arial"/>
          <w:color w:val="374151"/>
          <w:sz w:val="22"/>
          <w:szCs w:val="22"/>
        </w:rPr>
        <w:t xml:space="preserve">Containment automation: call AWS WAF to block source IP; call Cloudflare to enable Under Attack mode</w:t>
      </w:r>
    </w:p>
    <w:p>
      <w:pPr>
        <w:pStyle w:val="ListParagraph"/>
        <w:numPr>
          <w:ilvl w:val="0"/>
          <w:numId w:val="2"/>
        </w:numPr>
        <w:spacing w:after="80"/>
      </w:pPr>
      <w:r>
        <w:rPr>
          <w:rFonts w:ascii="Arial" w:cs="Arial" w:eastAsia="Arial" w:hAnsi="Arial"/>
          <w:color w:val="374151"/>
          <w:sz w:val="22"/>
          <w:szCs w:val="22"/>
        </w:rPr>
        <w:t xml:space="preserve">Approval gates: human_approval step sends notification, waits; timeout triggers escalation</w:t>
      </w:r>
    </w:p>
    <w:p>
      <w:pPr>
        <w:pStyle w:val="ListParagraph"/>
        <w:numPr>
          <w:ilvl w:val="0"/>
          <w:numId w:val="2"/>
        </w:numPr>
        <w:spacing w:after="80"/>
      </w:pPr>
      <w:r>
        <w:rPr>
          <w:rFonts w:ascii="Arial" w:cs="Arial" w:eastAsia="Arial" w:hAnsi="Arial"/>
          <w:color w:val="374151"/>
          <w:sz w:val="22"/>
          <w:szCs w:val="22"/>
        </w:rPr>
        <w:t xml:space="preserve">Export: playbooks compatible with Palo Alto XSOAR, Sentinel Logic App, Torq YAML formats</w:t>
      </w:r>
    </w:p>
    <w:p>
      <w:pPr>
        <w:pStyle w:val="Heading2"/>
        <w:spacing w:after="100" w:before="280"/>
      </w:pPr>
      <w:r>
        <w:rPr>
          <w:rFonts w:ascii="Arial" w:cs="Arial" w:eastAsia="Arial" w:hAnsi="Arial"/>
          <w:b/>
          <w:bCs/>
          <w:color w:val="1E3A5F"/>
          <w:sz w:val="30"/>
          <w:szCs w:val="30"/>
        </w:rPr>
        <w:t xml:space="preserve">4.14 Kubernetes &amp; Autoscaling</w:t>
      </w:r>
    </w:p>
    <w:p>
      <w:pPr>
        <w:pStyle w:val="ListParagraph"/>
        <w:numPr>
          <w:ilvl w:val="0"/>
          <w:numId w:val="2"/>
        </w:numPr>
        <w:spacing w:after="80"/>
      </w:pPr>
      <w:r>
        <w:rPr>
          <w:rFonts w:ascii="Arial" w:cs="Arial" w:eastAsia="Arial" w:hAnsi="Arial"/>
          <w:color w:val="374151"/>
          <w:sz w:val="22"/>
          <w:szCs w:val="22"/>
        </w:rPr>
        <w:t xml:space="preserve">Helm chart: separate Deployments for lbro-api, lbro-celery-worker, lbro-celery-beat, lbro-ml-worker</w:t>
      </w:r>
    </w:p>
    <w:p>
      <w:pPr>
        <w:pStyle w:val="ListParagraph"/>
        <w:numPr>
          <w:ilvl w:val="0"/>
          <w:numId w:val="2"/>
        </w:numPr>
        <w:spacing w:after="80"/>
      </w:pPr>
      <w:r>
        <w:rPr>
          <w:rFonts w:ascii="Arial" w:cs="Arial" w:eastAsia="Arial" w:hAnsi="Arial"/>
          <w:color w:val="374151"/>
          <w:sz w:val="22"/>
          <w:szCs w:val="22"/>
        </w:rPr>
        <w:t xml:space="preserve">HPA: api (CPU &gt;60%, min 2, max 20), celery (queue depth &gt;100, min 2, max 50), ml (min 1, max 10)</w:t>
      </w:r>
    </w:p>
    <w:p>
      <w:pPr>
        <w:pStyle w:val="ListParagraph"/>
        <w:numPr>
          <w:ilvl w:val="0"/>
          <w:numId w:val="2"/>
        </w:numPr>
        <w:spacing w:after="80"/>
      </w:pPr>
      <w:r>
        <w:rPr>
          <w:rFonts w:ascii="Arial" w:cs="Arial" w:eastAsia="Arial" w:hAnsi="Arial"/>
          <w:color w:val="374151"/>
          <w:sz w:val="22"/>
          <w:szCs w:val="22"/>
        </w:rPr>
        <w:t xml:space="preserve">Resource requests: api (200m CPU, 512Mi), celery (500m CPU, 1Gi), ml (2 CPU, 4Gi)</w:t>
      </w:r>
    </w:p>
    <w:p>
      <w:pPr>
        <w:pStyle w:val="ListParagraph"/>
        <w:numPr>
          <w:ilvl w:val="0"/>
          <w:numId w:val="2"/>
        </w:numPr>
        <w:spacing w:after="80"/>
      </w:pPr>
      <w:r>
        <w:rPr>
          <w:rFonts w:ascii="Arial" w:cs="Arial" w:eastAsia="Arial" w:hAnsi="Arial"/>
          <w:color w:val="374151"/>
          <w:sz w:val="22"/>
          <w:szCs w:val="22"/>
        </w:rPr>
        <w:t xml:space="preserve">Secrets: External Secrets Operator pulling from AWS Secrets Manager / HashiCorp Vault</w:t>
      </w:r>
    </w:p>
    <w:p>
      <w:pPr>
        <w:pStyle w:val="ListParagraph"/>
        <w:numPr>
          <w:ilvl w:val="0"/>
          <w:numId w:val="2"/>
        </w:numPr>
        <w:spacing w:after="80"/>
      </w:pPr>
      <w:r>
        <w:rPr>
          <w:rFonts w:ascii="Arial" w:cs="Arial" w:eastAsia="Arial" w:hAnsi="Arial"/>
          <w:color w:val="374151"/>
          <w:sz w:val="22"/>
          <w:szCs w:val="22"/>
        </w:rPr>
        <w:t xml:space="preserve">PodDisruptionBudget: minAvailable=1 on all Deployments for zero-downtime rolling updates</w:t>
      </w:r>
    </w:p>
    <w:p>
      <w:pPr>
        <w:pStyle w:val="ListParagraph"/>
        <w:numPr>
          <w:ilvl w:val="0"/>
          <w:numId w:val="2"/>
        </w:numPr>
        <w:spacing w:after="80"/>
      </w:pPr>
      <w:r>
        <w:rPr>
          <w:rFonts w:ascii="Arial" w:cs="Arial" w:eastAsia="Arial" w:hAnsi="Arial"/>
          <w:color w:val="374151"/>
          <w:sz w:val="22"/>
          <w:szCs w:val="22"/>
        </w:rPr>
        <w:t xml:space="preserve">Ingress: nginx-ingress with TLS; rate limiting at ingress layer (nginx limit_req)</w:t>
      </w:r>
    </w:p>
    <w:p>
      <w:pPr>
        <w:pStyle w:val="Heading2"/>
        <w:spacing w:after="100" w:before="280"/>
      </w:pPr>
      <w:r>
        <w:rPr>
          <w:rFonts w:ascii="Arial" w:cs="Arial" w:eastAsia="Arial" w:hAnsi="Arial"/>
          <w:b/>
          <w:bCs/>
          <w:color w:val="1E3A5F"/>
          <w:sz w:val="30"/>
          <w:szCs w:val="30"/>
        </w:rPr>
        <w:t xml:space="preserve">4.15 Redis + Celery + RabbitMQ</w:t>
      </w:r>
    </w:p>
    <w:p>
      <w:pPr>
        <w:pStyle w:val="ListParagraph"/>
        <w:numPr>
          <w:ilvl w:val="0"/>
          <w:numId w:val="2"/>
        </w:numPr>
        <w:spacing w:after="80"/>
      </w:pPr>
      <w:r>
        <w:rPr>
          <w:rFonts w:ascii="Arial" w:cs="Arial" w:eastAsia="Arial" w:hAnsi="Arial"/>
          <w:color w:val="374151"/>
          <w:sz w:val="22"/>
          <w:szCs w:val="22"/>
        </w:rPr>
        <w:t xml:space="preserve">Redis 7 Sentinel HA: JWT blocklist, rate-limit buckets, ML prediction cache, pub/sub for attack map</w:t>
      </w:r>
    </w:p>
    <w:p>
      <w:pPr>
        <w:pStyle w:val="ListParagraph"/>
        <w:numPr>
          <w:ilvl w:val="0"/>
          <w:numId w:val="2"/>
        </w:numPr>
        <w:spacing w:after="80"/>
      </w:pPr>
      <w:r>
        <w:rPr>
          <w:rFonts w:ascii="Arial" w:cs="Arial" w:eastAsia="Arial" w:hAnsi="Arial"/>
          <w:color w:val="374151"/>
          <w:sz w:val="22"/>
          <w:szCs w:val="22"/>
        </w:rPr>
        <w:t xml:space="preserve">RabbitMQ 3.12 Quorum queues: durable broker with dead-letter exchange (DLX) for failed tasks</w:t>
      </w:r>
    </w:p>
    <w:p>
      <w:pPr>
        <w:pStyle w:val="ListParagraph"/>
        <w:numPr>
          <w:ilvl w:val="0"/>
          <w:numId w:val="2"/>
        </w:numPr>
        <w:spacing w:after="80"/>
      </w:pPr>
      <w:r>
        <w:rPr>
          <w:rFonts w:ascii="Arial" w:cs="Arial" w:eastAsia="Arial" w:hAnsi="Arial"/>
          <w:color w:val="374151"/>
          <w:sz w:val="22"/>
          <w:szCs w:val="22"/>
        </w:rPr>
        <w:t xml:space="preserve">Named Celery queues with priorities: notifications &gt; ml-inference &gt; webhook-delivery &gt; report-generation &gt; threat-feed-sync</w:t>
      </w:r>
    </w:p>
    <w:p>
      <w:pPr>
        <w:pStyle w:val="ListParagraph"/>
        <w:numPr>
          <w:ilvl w:val="0"/>
          <w:numId w:val="2"/>
        </w:numPr>
        <w:spacing w:after="80"/>
      </w:pPr>
      <w:r>
        <w:rPr>
          <w:rFonts w:ascii="Arial" w:cs="Arial" w:eastAsia="Arial" w:hAnsi="Arial"/>
          <w:color w:val="374151"/>
          <w:sz w:val="22"/>
          <w:szCs w:val="22"/>
        </w:rPr>
        <w:t xml:space="preserve">Celery Flower dashboard: queue depth, worker status, task history, task retry analysis</w:t>
      </w:r>
    </w:p>
    <w:p>
      <w:pPr>
        <w:pStyle w:val="Heading2"/>
        <w:spacing w:after="100" w:before="280"/>
      </w:pPr>
      <w:r>
        <w:rPr>
          <w:rFonts w:ascii="Arial" w:cs="Arial" w:eastAsia="Arial" w:hAnsi="Arial"/>
          <w:b/>
          <w:bCs/>
          <w:color w:val="1E3A5F"/>
          <w:sz w:val="30"/>
          <w:szCs w:val="30"/>
        </w:rPr>
        <w:t xml:space="preserve">4.16 Observability</w:t>
      </w:r>
    </w:p>
    <w:p>
      <w:pPr>
        <w:pStyle w:val="ListParagraph"/>
        <w:numPr>
          <w:ilvl w:val="0"/>
          <w:numId w:val="2"/>
        </w:numPr>
        <w:spacing w:after="80"/>
      </w:pPr>
      <w:r>
        <w:rPr>
          <w:rFonts w:ascii="Arial" w:cs="Arial" w:eastAsia="Arial" w:hAnsi="Arial"/>
          <w:color w:val="374151"/>
          <w:sz w:val="22"/>
          <w:szCs w:val="22"/>
        </w:rPr>
        <w:t xml:space="preserve">OpenTelemetry: auto-instrumentation for FastAPI, SQLAlchemy, Celery, httpx, Redis client</w:t>
      </w:r>
    </w:p>
    <w:p>
      <w:pPr>
        <w:pStyle w:val="ListParagraph"/>
        <w:numPr>
          <w:ilvl w:val="0"/>
          <w:numId w:val="2"/>
        </w:numPr>
        <w:spacing w:after="80"/>
      </w:pPr>
      <w:r>
        <w:rPr>
          <w:rFonts w:ascii="Arial" w:cs="Arial" w:eastAsia="Arial" w:hAnsi="Arial"/>
          <w:color w:val="374151"/>
          <w:sz w:val="22"/>
          <w:szCs w:val="22"/>
        </w:rPr>
        <w:t xml:space="preserve">Traces: Jaeger (or Grafana Tempo in cloud offering); trace IDs propagated in all log lines</w:t>
      </w:r>
    </w:p>
    <w:p>
      <w:pPr>
        <w:pStyle w:val="ListParagraph"/>
        <w:numPr>
          <w:ilvl w:val="0"/>
          <w:numId w:val="2"/>
        </w:numPr>
        <w:spacing w:after="80"/>
      </w:pPr>
      <w:r>
        <w:rPr>
          <w:rFonts w:ascii="Arial" w:cs="Arial" w:eastAsia="Arial" w:hAnsi="Arial"/>
          <w:color w:val="374151"/>
          <w:sz w:val="22"/>
          <w:szCs w:val="22"/>
        </w:rPr>
        <w:t xml:space="preserve">Metrics: 60+ custom Prometheus metrics — incident_created_total, ml_inference_duration_seconds, queue_depth_gauge</w:t>
      </w:r>
    </w:p>
    <w:p>
      <w:pPr>
        <w:pStyle w:val="ListParagraph"/>
        <w:numPr>
          <w:ilvl w:val="0"/>
          <w:numId w:val="2"/>
        </w:numPr>
        <w:spacing w:after="80"/>
      </w:pPr>
      <w:r>
        <w:rPr>
          <w:rFonts w:ascii="Arial" w:cs="Arial" w:eastAsia="Arial" w:hAnsi="Arial"/>
          <w:color w:val="374151"/>
          <w:sz w:val="22"/>
          <w:szCs w:val="22"/>
        </w:rPr>
        <w:t xml:space="preserve">Logs: structlog JSON -&gt; Promtail -&gt; Loki; per-org log streams with tenant isolation labels</w:t>
      </w:r>
    </w:p>
    <w:p>
      <w:pPr>
        <w:pStyle w:val="ListParagraph"/>
        <w:numPr>
          <w:ilvl w:val="0"/>
          <w:numId w:val="2"/>
        </w:numPr>
        <w:spacing w:after="80"/>
      </w:pPr>
      <w:r>
        <w:rPr>
          <w:rFonts w:ascii="Arial" w:cs="Arial" w:eastAsia="Arial" w:hAnsi="Arial"/>
          <w:color w:val="374151"/>
          <w:sz w:val="22"/>
          <w:szCs w:val="22"/>
        </w:rPr>
        <w:t xml:space="preserve">Grafana dashboards: API SLO, ML pipeline health, queue throughput, per-tenant usage, infrastructure</w:t>
      </w:r>
    </w:p>
    <w:p>
      <w:pPr>
        <w:pStyle w:val="ListParagraph"/>
        <w:numPr>
          <w:ilvl w:val="0"/>
          <w:numId w:val="2"/>
        </w:numPr>
        <w:spacing w:after="80"/>
      </w:pPr>
      <w:r>
        <w:rPr>
          <w:rFonts w:ascii="Arial" w:cs="Arial" w:eastAsia="Arial" w:hAnsi="Arial"/>
          <w:color w:val="374151"/>
          <w:sz w:val="22"/>
          <w:szCs w:val="22"/>
        </w:rPr>
        <w:t xml:space="preserve">Alertmanager: SLO breach alerts (p99 &gt; 500ms for 5min; error rate &gt; 1% for 2min; queue &gt; 500 for 10min)</w:t>
      </w:r>
    </w:p>
    <w:p>
      <w:pPr>
        <w:pStyle w:val="Heading2"/>
        <w:spacing w:after="100" w:before="280"/>
      </w:pPr>
      <w:r>
        <w:rPr>
          <w:rFonts w:ascii="Arial" w:cs="Arial" w:eastAsia="Arial" w:hAnsi="Arial"/>
          <w:b/>
          <w:bCs/>
          <w:color w:val="1E3A5F"/>
          <w:sz w:val="30"/>
          <w:szCs w:val="30"/>
        </w:rPr>
        <w:t xml:space="preserve">4.17 High Availability &amp; Disaster Recovery</w:t>
      </w:r>
    </w:p>
    <w:p>
      <w:pPr>
        <w:pStyle w:val="ListParagraph"/>
        <w:numPr>
          <w:ilvl w:val="0"/>
          <w:numId w:val="2"/>
        </w:numPr>
        <w:spacing w:after="80"/>
      </w:pPr>
      <w:r>
        <w:rPr>
          <w:rFonts w:ascii="Arial" w:cs="Arial" w:eastAsia="Arial" w:hAnsi="Arial"/>
          <w:color w:val="374151"/>
          <w:sz w:val="22"/>
          <w:szCs w:val="22"/>
        </w:rPr>
        <w:t xml:space="preserve">PostgreSQL HA: Patroni cluster (1 primary + 2 replicas) with automatic failover; pgBackRest WAL archiving to S3</w:t>
      </w:r>
    </w:p>
    <w:p>
      <w:pPr>
        <w:pStyle w:val="ListParagraph"/>
        <w:numPr>
          <w:ilvl w:val="0"/>
          <w:numId w:val="2"/>
        </w:numPr>
        <w:spacing w:after="80"/>
      </w:pPr>
      <w:r>
        <w:rPr>
          <w:rFonts w:ascii="Arial" w:cs="Arial" w:eastAsia="Arial" w:hAnsi="Arial"/>
          <w:color w:val="374151"/>
          <w:sz w:val="22"/>
          <w:szCs w:val="22"/>
        </w:rPr>
        <w:t xml:space="preserve">RDS option: AWS Aurora PostgreSQL 16 Multi-AZ for managed cloud deployments</w:t>
      </w:r>
    </w:p>
    <w:p>
      <w:pPr>
        <w:pStyle w:val="ListParagraph"/>
        <w:numPr>
          <w:ilvl w:val="0"/>
          <w:numId w:val="2"/>
        </w:numPr>
        <w:spacing w:after="80"/>
      </w:pPr>
      <w:r>
        <w:rPr>
          <w:rFonts w:ascii="Arial" w:cs="Arial" w:eastAsia="Arial" w:hAnsi="Arial"/>
          <w:color w:val="374151"/>
          <w:sz w:val="22"/>
          <w:szCs w:val="22"/>
        </w:rPr>
        <w:t xml:space="preserve">RTO target: 4 hours | RPO target: 15 minutes (WAL streaming replication lag)</w:t>
      </w:r>
    </w:p>
    <w:p>
      <w:pPr>
        <w:pStyle w:val="ListParagraph"/>
        <w:numPr>
          <w:ilvl w:val="0"/>
          <w:numId w:val="2"/>
        </w:numPr>
        <w:spacing w:after="80"/>
      </w:pPr>
      <w:r>
        <w:rPr>
          <w:rFonts w:ascii="Arial" w:cs="Arial" w:eastAsia="Arial" w:hAnsi="Arial"/>
          <w:color w:val="374151"/>
          <w:sz w:val="22"/>
          <w:szCs w:val="22"/>
        </w:rPr>
        <w:t xml:space="preserve">Backup schedule: hourly WAL archive + daily base backup; 30-day retention in S3</w:t>
      </w:r>
    </w:p>
    <w:p>
      <w:pPr>
        <w:pStyle w:val="ListParagraph"/>
        <w:numPr>
          <w:ilvl w:val="0"/>
          <w:numId w:val="2"/>
        </w:numPr>
        <w:spacing w:after="80"/>
      </w:pPr>
      <w:r>
        <w:rPr>
          <w:rFonts w:ascii="Arial" w:cs="Arial" w:eastAsia="Arial" w:hAnsi="Arial"/>
          <w:color w:val="374151"/>
          <w:sz w:val="22"/>
          <w:szCs w:val="22"/>
        </w:rPr>
        <w:t xml:space="preserve">Disaster recovery: Terraform + Ansible automated runbook; DR environment in secondary AWS region</w:t>
      </w:r>
    </w:p>
    <w:p>
      <w:pPr>
        <w:pStyle w:val="ListParagraph"/>
        <w:numPr>
          <w:ilvl w:val="0"/>
          <w:numId w:val="2"/>
        </w:numPr>
        <w:spacing w:after="80"/>
      </w:pPr>
      <w:r>
        <w:rPr>
          <w:rFonts w:ascii="Arial" w:cs="Arial" w:eastAsia="Arial" w:hAnsi="Arial"/>
          <w:color w:val="374151"/>
          <w:sz w:val="22"/>
          <w:szCs w:val="22"/>
        </w:rPr>
        <w:t xml:space="preserve">Multi-region DNS failover: Route53 health checks with 60s TTL; automatic failover to DR</w:t>
      </w:r>
    </w:p>
    <w:p>
      <w:pPr>
        <w:pStyle w:val="ListParagraph"/>
        <w:numPr>
          <w:ilvl w:val="0"/>
          <w:numId w:val="2"/>
        </w:numPr>
        <w:spacing w:after="80"/>
      </w:pPr>
      <w:r>
        <w:rPr>
          <w:rFonts w:ascii="Arial" w:cs="Arial" w:eastAsia="Arial" w:hAnsi="Arial"/>
          <w:color w:val="374151"/>
          <w:sz w:val="22"/>
          <w:szCs w:val="22"/>
        </w:rPr>
        <w:t xml:space="preserve">Chaos testing: quarterly Chaos Mesh drills — kill primary, inject network partition, simulate AZ failure</w:t>
      </w:r>
    </w:p>
    <w:p>
      <w:r>
        <w:br w:type="page"/>
      </w:r>
    </w:p>
    <w:p>
      <w:pPr>
        <w:pStyle w:val="Heading1"/>
        <w:pBdr>
          <w:bottom w:val="single" w:color="1E3A5F" w:sz="4"/>
        </w:pBdr>
        <w:spacing w:after="160" w:before="400"/>
      </w:pPr>
      <w:r>
        <w:rPr>
          <w:rFonts w:ascii="Arial" w:cs="Arial" w:eastAsia="Arial" w:hAnsi="Arial"/>
          <w:b/>
          <w:bCs/>
          <w:color w:val="1E3A5F"/>
          <w:sz w:val="40"/>
          <w:szCs w:val="40"/>
        </w:rPr>
        <w:t xml:space="preserve">5. Prioritized Implementation Order</w:t>
      </w:r>
    </w:p>
    <w:p>
      <w:pPr>
        <w:spacing w:after="120"/>
      </w:pPr>
      <w:r>
        <w:rPr>
          <w:rFonts w:ascii="Arial" w:cs="Arial" w:eastAsia="Arial" w:hAnsi="Arial"/>
          <w:sz w:val="22"/>
          <w:szCs w:val="22"/>
        </w:rPr>
        <w:t xml:space="preserve">Sequenced by dependency chain and business impact. Weeks = person-weeks of engineering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200"/>
        <w:gridCol w:w="1000"/>
        <w:gridCol w:w="2360"/>
      </w:tblGrid>
      <w:t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Team</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Weeks</w:t>
            </w:r>
          </w:p>
        </w:tc>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Quarter</w:t>
            </w:r>
          </w:p>
        </w:tc>
        <w:tc>
          <w:tcPr>
            <w:tcW w:type="dxa" w:w="2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Unlocks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Organization model + RLS multi-tenancy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4x Backend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default"/>
            </w:r>
          </w:p>
        </w:tc>
        <w:tc>
          <w:tcPr>
            <w:tcW w:type="dxa" w:w="10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pPr>
              <w:jc w:val="center"/>
            </w:pPr>
            <w:r>
              <w:rPr>
                <w:rFonts w:ascii="Arial" w:cs="Arial" w:eastAsia="Arial" w:hAnsi="Arial"/>
                <w:b/>
                <w:bCs/>
                <w:color w:val="1E3A5F"/>
                <w:sz w:val="22"/>
                <w:szCs w:val="22"/>
              </w:rPr>
              <w:t xml:space="preserve">Q1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All subsequent tenant isolation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OrganizationMember + Team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Backend + FE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default"/>
            </w:r>
          </w:p>
        </w:tc>
        <w:tc>
          <w:tcPr>
            <w:tcW w:type="dxa" w:w="10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pPr>
              <w:jc w:val="center"/>
            </w:pPr>
            <w:r>
              <w:rPr>
                <w:rFonts w:ascii="Arial" w:cs="Arial" w:eastAsia="Arial" w:hAnsi="Arial"/>
                <w:b/>
                <w:bCs/>
                <w:color w:val="1E3A5F"/>
                <w:sz w:val="22"/>
                <w:szCs w:val="22"/>
              </w:rPr>
              <w:t xml:space="preserve">Q1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Project invitations, RBAC scoping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Project Invitations (email flow)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Backend + FE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default"/>
            </w:r>
          </w:p>
        </w:tc>
        <w:tc>
          <w:tcPr>
            <w:tcW w:type="dxa" w:w="10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pPr>
              <w:jc w:val="center"/>
            </w:pPr>
            <w:r>
              <w:rPr>
                <w:rFonts w:ascii="Arial" w:cs="Arial" w:eastAsia="Arial" w:hAnsi="Arial"/>
                <w:b/>
                <w:bCs/>
                <w:color w:val="1E3A5F"/>
                <w:sz w:val="22"/>
                <w:szCs w:val="22"/>
              </w:rPr>
              <w:t xml:space="preserve">Q1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Organic org growth / viral onboarding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API Tokens v2 (scoped + rotatable)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Backend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default"/>
            </w:r>
          </w:p>
        </w:tc>
        <w:tc>
          <w:tcPr>
            <w:tcW w:type="dxa" w:w="10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pPr>
              <w:jc w:val="center"/>
            </w:pPr>
            <w:r>
              <w:rPr>
                <w:rFonts w:ascii="Arial" w:cs="Arial" w:eastAsia="Arial" w:hAnsi="Arial"/>
                <w:b/>
                <w:bCs/>
                <w:color w:val="1E3A5F"/>
                <w:sz w:val="22"/>
                <w:szCs w:val="22"/>
              </w:rPr>
              <w:t xml:space="preserve">Q1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Developer integrations, webhook auth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Webhook framework + Celery delivery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Backend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default"/>
            </w:r>
          </w:p>
        </w:tc>
        <w:tc>
          <w:tcPr>
            <w:tcW w:type="dxa" w:w="10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pPr>
              <w:jc w:val="center"/>
            </w:pPr>
            <w:r>
              <w:rPr>
                <w:rFonts w:ascii="Arial" w:cs="Arial" w:eastAsia="Arial" w:hAnsi="Arial"/>
                <w:b/>
                <w:bCs/>
                <w:color w:val="1E3A5F"/>
                <w:sz w:val="22"/>
                <w:szCs w:val="22"/>
              </w:rPr>
              <w:t xml:space="preserve">Q1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All outbound integrations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Email notification channel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Backend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default"/>
            </w:r>
          </w:p>
        </w:tc>
        <w:tc>
          <w:tcPr>
            <w:tcW w:type="dxa" w:w="1000"/>
            <w:tcBorders>
              <w:top w:val="single" w:color="DCFCE7" w:sz="1"/>
              <w:left w:val="single" w:color="DCFCE7" w:sz="1"/>
              <w:bottom w:val="single" w:color="DCFCE7" w:sz="1"/>
              <w:right w:val="single" w:color="DCFCE7" w:sz="1"/>
            </w:tcBorders>
            <w:shd w:fill="DCFCE7" w:val="clear"/>
            <w:tcMar>
              <w:top w:type="dxa" w:w="80"/>
              <w:left w:type="dxa" w:w="120"/>
              <w:bottom w:type="dxa" w:w="80"/>
              <w:right w:type="dxa" w:w="120"/>
            </w:tcMar>
          </w:tcPr>
          <w:p>
            <w:pPr>
              <w:jc w:val="center"/>
            </w:pPr>
            <w:r>
              <w:rPr>
                <w:rFonts w:ascii="Arial" w:cs="Arial" w:eastAsia="Arial" w:hAnsi="Arial"/>
                <w:b/>
                <w:bCs/>
                <w:color w:val="166534"/>
                <w:sz w:val="22"/>
                <w:szCs w:val="22"/>
              </w:rPr>
              <w:t xml:space="preserve">Q2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Alert delivery baseline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Slack bot (OAuth + Block Kit)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Backend + FE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default"/>
            </w:r>
          </w:p>
        </w:tc>
        <w:tc>
          <w:tcPr>
            <w:tcW w:type="dxa" w:w="1000"/>
            <w:tcBorders>
              <w:top w:val="single" w:color="DCFCE7" w:sz="1"/>
              <w:left w:val="single" w:color="DCFCE7" w:sz="1"/>
              <w:bottom w:val="single" w:color="DCFCE7" w:sz="1"/>
              <w:right w:val="single" w:color="DCFCE7" w:sz="1"/>
            </w:tcBorders>
            <w:shd w:fill="DCFCE7" w:val="clear"/>
            <w:tcMar>
              <w:top w:type="dxa" w:w="80"/>
              <w:left w:type="dxa" w:w="120"/>
              <w:bottom w:type="dxa" w:w="80"/>
              <w:right w:type="dxa" w:w="120"/>
            </w:tcMar>
          </w:tcPr>
          <w:p>
            <w:pPr>
              <w:jc w:val="center"/>
            </w:pPr>
            <w:r>
              <w:rPr>
                <w:rFonts w:ascii="Arial" w:cs="Arial" w:eastAsia="Arial" w:hAnsi="Arial"/>
                <w:b/>
                <w:bCs/>
                <w:color w:val="166534"/>
                <w:sz w:val="22"/>
                <w:szCs w:val="22"/>
              </w:rPr>
              <w:t xml:space="preserve">Q2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Top-requested enterprise integration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Microsoft Teams connector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Backend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default"/>
            </w:r>
          </w:p>
        </w:tc>
        <w:tc>
          <w:tcPr>
            <w:tcW w:type="dxa" w:w="1000"/>
            <w:tcBorders>
              <w:top w:val="single" w:color="DCFCE7" w:sz="1"/>
              <w:left w:val="single" w:color="DCFCE7" w:sz="1"/>
              <w:bottom w:val="single" w:color="DCFCE7" w:sz="1"/>
              <w:right w:val="single" w:color="DCFCE7" w:sz="1"/>
            </w:tcBorders>
            <w:shd w:fill="DCFCE7" w:val="clear"/>
            <w:tcMar>
              <w:top w:type="dxa" w:w="80"/>
              <w:left w:type="dxa" w:w="120"/>
              <w:bottom w:type="dxa" w:w="80"/>
              <w:right w:type="dxa" w:w="120"/>
            </w:tcMar>
          </w:tcPr>
          <w:p>
            <w:pPr>
              <w:jc w:val="center"/>
            </w:pPr>
            <w:r>
              <w:rPr>
                <w:rFonts w:ascii="Arial" w:cs="Arial" w:eastAsia="Arial" w:hAnsi="Arial"/>
                <w:b/>
                <w:bCs/>
                <w:color w:val="166534"/>
                <w:sz w:val="22"/>
                <w:szCs w:val="22"/>
              </w:rPr>
              <w:t xml:space="preserve">Q2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Enterprise Microsoft shops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AWS CloudWatch + WAF connector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Backend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default"/>
            </w:r>
          </w:p>
        </w:tc>
        <w:tc>
          <w:tcPr>
            <w:tcW w:type="dxa" w:w="1000"/>
            <w:tcBorders>
              <w:top w:val="single" w:color="DCFCE7" w:sz="1"/>
              <w:left w:val="single" w:color="DCFCE7" w:sz="1"/>
              <w:bottom w:val="single" w:color="DCFCE7" w:sz="1"/>
              <w:right w:val="single" w:color="DCFCE7" w:sz="1"/>
            </w:tcBorders>
            <w:shd w:fill="DCFCE7" w:val="clear"/>
            <w:tcMar>
              <w:top w:type="dxa" w:w="80"/>
              <w:left w:type="dxa" w:w="120"/>
              <w:bottom w:type="dxa" w:w="80"/>
              <w:right w:type="dxa" w:w="120"/>
            </w:tcMar>
          </w:tcPr>
          <w:p>
            <w:pPr>
              <w:jc w:val="center"/>
            </w:pPr>
            <w:r>
              <w:rPr>
                <w:rFonts w:ascii="Arial" w:cs="Arial" w:eastAsia="Arial" w:hAnsi="Arial"/>
                <w:b/>
                <w:bCs/>
                <w:color w:val="166534"/>
                <w:sz w:val="22"/>
                <w:szCs w:val="22"/>
              </w:rPr>
              <w:t xml:space="preserve">Q2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AWS-native customer segment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Elastic SIEM integration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Backend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default"/>
            </w:r>
          </w:p>
        </w:tc>
        <w:tc>
          <w:tcPr>
            <w:tcW w:type="dxa" w:w="1000"/>
            <w:tcBorders>
              <w:top w:val="single" w:color="DCFCE7" w:sz="1"/>
              <w:left w:val="single" w:color="DCFCE7" w:sz="1"/>
              <w:bottom w:val="single" w:color="DCFCE7" w:sz="1"/>
              <w:right w:val="single" w:color="DCFCE7" w:sz="1"/>
            </w:tcBorders>
            <w:shd w:fill="DCFCE7" w:val="clear"/>
            <w:tcMar>
              <w:top w:type="dxa" w:w="80"/>
              <w:left w:type="dxa" w:w="120"/>
              <w:bottom w:type="dxa" w:w="80"/>
              <w:right w:type="dxa" w:w="120"/>
            </w:tcMar>
          </w:tcPr>
          <w:p>
            <w:pPr>
              <w:jc w:val="center"/>
            </w:pPr>
            <w:r>
              <w:rPr>
                <w:rFonts w:ascii="Arial" w:cs="Arial" w:eastAsia="Arial" w:hAnsi="Arial"/>
                <w:b/>
                <w:bCs/>
                <w:color w:val="166534"/>
                <w:sz w:val="22"/>
                <w:szCs w:val="22"/>
              </w:rPr>
              <w:t xml:space="preserve">Q2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Largest SIEM market share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SMS + Push notifications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Backend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default"/>
            </w:r>
          </w:p>
        </w:tc>
        <w:tc>
          <w:tcPr>
            <w:tcW w:type="dxa" w:w="1000"/>
            <w:tcBorders>
              <w:top w:val="single" w:color="DCFCE7" w:sz="1"/>
              <w:left w:val="single" w:color="DCFCE7" w:sz="1"/>
              <w:bottom w:val="single" w:color="DCFCE7" w:sz="1"/>
              <w:right w:val="single" w:color="DCFCE7" w:sz="1"/>
            </w:tcBorders>
            <w:shd w:fill="DCFCE7" w:val="clear"/>
            <w:tcMar>
              <w:top w:type="dxa" w:w="80"/>
              <w:left w:type="dxa" w:w="120"/>
              <w:bottom w:type="dxa" w:w="80"/>
              <w:right w:type="dxa" w:w="120"/>
            </w:tcMar>
          </w:tcPr>
          <w:p>
            <w:pPr>
              <w:jc w:val="center"/>
            </w:pPr>
            <w:r>
              <w:rPr>
                <w:rFonts w:ascii="Arial" w:cs="Arial" w:eastAsia="Arial" w:hAnsi="Arial"/>
                <w:b/>
                <w:bCs/>
                <w:color w:val="166534"/>
                <w:sz w:val="22"/>
                <w:szCs w:val="22"/>
              </w:rPr>
              <w:t xml:space="preserve">Q2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Mobile / on-call escalation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Discord integration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Backend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default"/>
            </w:r>
          </w:p>
        </w:tc>
        <w:tc>
          <w:tcPr>
            <w:tcW w:type="dxa" w:w="1000"/>
            <w:tcBorders>
              <w:top w:val="single" w:color="DCFCE7" w:sz="1"/>
              <w:left w:val="single" w:color="DCFCE7" w:sz="1"/>
              <w:bottom w:val="single" w:color="DCFCE7" w:sz="1"/>
              <w:right w:val="single" w:color="DCFCE7" w:sz="1"/>
            </w:tcBorders>
            <w:shd w:fill="DCFCE7" w:val="clear"/>
            <w:tcMar>
              <w:top w:type="dxa" w:w="80"/>
              <w:left w:type="dxa" w:w="120"/>
              <w:bottom w:type="dxa" w:w="80"/>
              <w:right w:type="dxa" w:w="120"/>
            </w:tcMar>
          </w:tcPr>
          <w:p>
            <w:pPr>
              <w:jc w:val="center"/>
            </w:pPr>
            <w:r>
              <w:rPr>
                <w:rFonts w:ascii="Arial" w:cs="Arial" w:eastAsia="Arial" w:hAnsi="Arial"/>
                <w:b/>
                <w:bCs/>
                <w:color w:val="166534"/>
                <w:sz w:val="22"/>
                <w:szCs w:val="22"/>
              </w:rPr>
              <w:t xml:space="preserve">Q2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Developer and SMB segment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Splunk Add-on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Backend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default"/>
            </w:r>
          </w:p>
        </w:tc>
        <w:tc>
          <w:tcPr>
            <w:tcW w:type="dxa" w:w="1000"/>
            <w:tcBorders>
              <w:top w:val="single" w:color="DCFCE7" w:sz="1"/>
              <w:left w:val="single" w:color="DCFCE7" w:sz="1"/>
              <w:bottom w:val="single" w:color="DCFCE7" w:sz="1"/>
              <w:right w:val="single" w:color="DCFCE7" w:sz="1"/>
            </w:tcBorders>
            <w:shd w:fill="DCFCE7" w:val="clear"/>
            <w:tcMar>
              <w:top w:type="dxa" w:w="80"/>
              <w:left w:type="dxa" w:w="120"/>
              <w:bottom w:type="dxa" w:w="80"/>
              <w:right w:type="dxa" w:w="120"/>
            </w:tcMar>
          </w:tcPr>
          <w:p>
            <w:pPr>
              <w:jc w:val="center"/>
            </w:pPr>
            <w:r>
              <w:rPr>
                <w:rFonts w:ascii="Arial" w:cs="Arial" w:eastAsia="Arial" w:hAnsi="Arial"/>
                <w:b/>
                <w:bCs/>
                <w:color w:val="166534"/>
                <w:sz w:val="22"/>
                <w:szCs w:val="22"/>
              </w:rPr>
              <w:t xml:space="preserve">Q2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Fortune 500 SIEM standard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Azure Defender + GCP SCC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Backend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default"/>
            </w:r>
          </w:p>
        </w:tc>
        <w:tc>
          <w:tcPr>
            <w:tcW w:type="dxa" w:w="1000"/>
            <w:tcBorders>
              <w:top w:val="single" w:color="DCFCE7" w:sz="1"/>
              <w:left w:val="single" w:color="DCFCE7" w:sz="1"/>
              <w:bottom w:val="single" w:color="DCFCE7" w:sz="1"/>
              <w:right w:val="single" w:color="DCFCE7" w:sz="1"/>
            </w:tcBorders>
            <w:shd w:fill="DCFCE7" w:val="clear"/>
            <w:tcMar>
              <w:top w:type="dxa" w:w="80"/>
              <w:left w:type="dxa" w:w="120"/>
              <w:bottom w:type="dxa" w:w="80"/>
              <w:right w:type="dxa" w:w="120"/>
            </w:tcMar>
          </w:tcPr>
          <w:p>
            <w:pPr>
              <w:jc w:val="center"/>
            </w:pPr>
            <w:r>
              <w:rPr>
                <w:rFonts w:ascii="Arial" w:cs="Arial" w:eastAsia="Arial" w:hAnsi="Arial"/>
                <w:b/>
                <w:bCs/>
                <w:color w:val="166534"/>
                <w:sz w:val="22"/>
                <w:szCs w:val="22"/>
              </w:rPr>
              <w:t xml:space="preserve">Q2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Multi-cloud coverage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Cloudflare + Wazuh + QRadar + Sentinel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Backend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default"/>
            </w:r>
          </w:p>
        </w:tc>
        <w:tc>
          <w:tcPr>
            <w:tcW w:type="dxa" w:w="1000"/>
            <w:tcBorders>
              <w:top w:val="single" w:color="DCFCE7" w:sz="1"/>
              <w:left w:val="single" w:color="DCFCE7" w:sz="1"/>
              <w:bottom w:val="single" w:color="DCFCE7" w:sz="1"/>
              <w:right w:val="single" w:color="DCFCE7" w:sz="1"/>
            </w:tcBorders>
            <w:shd w:fill="DCFCE7" w:val="clear"/>
            <w:tcMar>
              <w:top w:type="dxa" w:w="80"/>
              <w:left w:type="dxa" w:w="120"/>
              <w:bottom w:type="dxa" w:w="80"/>
              <w:right w:type="dxa" w:w="120"/>
            </w:tcMar>
          </w:tcPr>
          <w:p>
            <w:pPr>
              <w:jc w:val="center"/>
            </w:pPr>
            <w:r>
              <w:rPr>
                <w:rFonts w:ascii="Arial" w:cs="Arial" w:eastAsia="Arial" w:hAnsi="Arial"/>
                <w:b/>
                <w:bCs/>
                <w:color w:val="166534"/>
                <w:sz w:val="22"/>
                <w:szCs w:val="22"/>
              </w:rPr>
              <w:t xml:space="preserve">Q2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Complete connector portfolio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XGBoost + LightGBM + CatBoost ensemble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default"/>
            </w:r>
          </w:p>
        </w:tc>
        <w:tc>
          <w:tcPr>
            <w:tcW w:type="dxa" w:w="1000"/>
            <w:tcBorders>
              <w:top w:val="single" w:color="FEF3C7" w:sz="1"/>
              <w:left w:val="single" w:color="FEF3C7" w:sz="1"/>
              <w:bottom w:val="single" w:color="FEF3C7" w:sz="1"/>
              <w:right w:val="single" w:color="FEF3C7" w:sz="1"/>
            </w:tcBorders>
            <w:shd w:fill="FEF3C7" w:val="clear"/>
            <w:tcMar>
              <w:top w:type="dxa" w:w="80"/>
              <w:left w:type="dxa" w:w="120"/>
              <w:bottom w:type="dxa" w:w="80"/>
              <w:right w:type="dxa" w:w="120"/>
            </w:tcMar>
          </w:tcPr>
          <w:p>
            <w:pPr>
              <w:jc w:val="center"/>
            </w:pPr>
            <w:r>
              <w:rPr>
                <w:rFonts w:ascii="Arial" w:cs="Arial" w:eastAsia="Arial" w:hAnsi="Arial"/>
                <w:b/>
                <w:bCs/>
                <w:color w:val="92400E"/>
                <w:sz w:val="22"/>
                <w:szCs w:val="22"/>
              </w:rPr>
              <w:t xml:space="preserve">Q3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Accuracy uplift, fewer false positives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Model Registry + Auto-retraining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ML + Backend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default"/>
            </w:r>
          </w:p>
        </w:tc>
        <w:tc>
          <w:tcPr>
            <w:tcW w:type="dxa" w:w="1000"/>
            <w:tcBorders>
              <w:top w:val="single" w:color="FEF3C7" w:sz="1"/>
              <w:left w:val="single" w:color="FEF3C7" w:sz="1"/>
              <w:bottom w:val="single" w:color="FEF3C7" w:sz="1"/>
              <w:right w:val="single" w:color="FEF3C7" w:sz="1"/>
            </w:tcBorders>
            <w:shd w:fill="FEF3C7" w:val="clear"/>
            <w:tcMar>
              <w:top w:type="dxa" w:w="80"/>
              <w:left w:type="dxa" w:w="120"/>
              <w:bottom w:type="dxa" w:w="80"/>
              <w:right w:type="dxa" w:w="120"/>
            </w:tcMar>
          </w:tcPr>
          <w:p>
            <w:pPr>
              <w:jc w:val="center"/>
            </w:pPr>
            <w:r>
              <w:rPr>
                <w:rFonts w:ascii="Arial" w:cs="Arial" w:eastAsia="Arial" w:hAnsi="Arial"/>
                <w:b/>
                <w:bCs/>
                <w:color w:val="92400E"/>
                <w:sz w:val="22"/>
                <w:szCs w:val="22"/>
              </w:rPr>
              <w:t xml:space="preserve">Q3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Continuous ML improvement loop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MITRE ATT&amp;CK mapping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Backend + FE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default"/>
            </w:r>
          </w:p>
        </w:tc>
        <w:tc>
          <w:tcPr>
            <w:tcW w:type="dxa" w:w="1000"/>
            <w:tcBorders>
              <w:top w:val="single" w:color="FEF3C7" w:sz="1"/>
              <w:left w:val="single" w:color="FEF3C7" w:sz="1"/>
              <w:bottom w:val="single" w:color="FEF3C7" w:sz="1"/>
              <w:right w:val="single" w:color="FEF3C7" w:sz="1"/>
            </w:tcBorders>
            <w:shd w:fill="FEF3C7" w:val="clear"/>
            <w:tcMar>
              <w:top w:type="dxa" w:w="80"/>
              <w:left w:type="dxa" w:w="120"/>
              <w:bottom w:type="dxa" w:w="80"/>
              <w:right w:type="dxa" w:w="120"/>
            </w:tcMar>
          </w:tcPr>
          <w:p>
            <w:pPr>
              <w:jc w:val="center"/>
            </w:pPr>
            <w:r>
              <w:rPr>
                <w:rFonts w:ascii="Arial" w:cs="Arial" w:eastAsia="Arial" w:hAnsi="Arial"/>
                <w:b/>
                <w:bCs/>
                <w:color w:val="92400E"/>
                <w:sz w:val="22"/>
                <w:szCs w:val="22"/>
              </w:rPr>
              <w:t xml:space="preserve">Q3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Enterprise differentiator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Threat Feeds + CVE + GeoIP enrichment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Backend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default"/>
            </w:r>
          </w:p>
        </w:tc>
        <w:tc>
          <w:tcPr>
            <w:tcW w:type="dxa" w:w="1000"/>
            <w:tcBorders>
              <w:top w:val="single" w:color="FEF3C7" w:sz="1"/>
              <w:left w:val="single" w:color="FEF3C7" w:sz="1"/>
              <w:bottom w:val="single" w:color="FEF3C7" w:sz="1"/>
              <w:right w:val="single" w:color="FEF3C7" w:sz="1"/>
            </w:tcBorders>
            <w:shd w:fill="FEF3C7" w:val="clear"/>
            <w:tcMar>
              <w:top w:type="dxa" w:w="80"/>
              <w:left w:type="dxa" w:w="120"/>
              <w:bottom w:type="dxa" w:w="80"/>
              <w:right w:type="dxa" w:w="120"/>
            </w:tcMar>
          </w:tcPr>
          <w:p>
            <w:pPr>
              <w:jc w:val="center"/>
            </w:pPr>
            <w:r>
              <w:rPr>
                <w:rFonts w:ascii="Arial" w:cs="Arial" w:eastAsia="Arial" w:hAnsi="Arial"/>
                <w:b/>
                <w:bCs/>
                <w:color w:val="92400E"/>
                <w:sz w:val="22"/>
                <w:szCs w:val="22"/>
              </w:rPr>
              <w:t xml:space="preserve">Q3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Incident enrichment quality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Online learning + ADWIN drift detection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default"/>
            </w:r>
          </w:p>
        </w:tc>
        <w:tc>
          <w:tcPr>
            <w:tcW w:type="dxa" w:w="1000"/>
            <w:tcBorders>
              <w:top w:val="single" w:color="FEF3C7" w:sz="1"/>
              <w:left w:val="single" w:color="FEF3C7" w:sz="1"/>
              <w:bottom w:val="single" w:color="FEF3C7" w:sz="1"/>
              <w:right w:val="single" w:color="FEF3C7" w:sz="1"/>
            </w:tcBorders>
            <w:shd w:fill="FEF3C7" w:val="clear"/>
            <w:tcMar>
              <w:top w:type="dxa" w:w="80"/>
              <w:left w:type="dxa" w:w="120"/>
              <w:bottom w:type="dxa" w:w="80"/>
              <w:right w:type="dxa" w:w="120"/>
            </w:tcMar>
          </w:tcPr>
          <w:p>
            <w:pPr>
              <w:jc w:val="center"/>
            </w:pPr>
            <w:r>
              <w:rPr>
                <w:rFonts w:ascii="Arial" w:cs="Arial" w:eastAsia="Arial" w:hAnsi="Arial"/>
                <w:b/>
                <w:bCs/>
                <w:color w:val="92400E"/>
                <w:sz w:val="22"/>
                <w:szCs w:val="22"/>
              </w:rPr>
              <w:t xml:space="preserve">Q3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Adapt to novel attack patterns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Live Attack Map (WebSocket + deck.gl)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FE + Backend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default"/>
            </w:r>
          </w:p>
        </w:tc>
        <w:tc>
          <w:tcPr>
            <w:tcW w:type="dxa" w:w="1000"/>
            <w:tcBorders>
              <w:top w:val="single" w:color="FEF3C7" w:sz="1"/>
              <w:left w:val="single" w:color="FEF3C7" w:sz="1"/>
              <w:bottom w:val="single" w:color="FEF3C7" w:sz="1"/>
              <w:right w:val="single" w:color="FEF3C7" w:sz="1"/>
            </w:tcBorders>
            <w:shd w:fill="FEF3C7" w:val="clear"/>
            <w:tcMar>
              <w:top w:type="dxa" w:w="80"/>
              <w:left w:type="dxa" w:w="120"/>
              <w:bottom w:type="dxa" w:w="80"/>
              <w:right w:type="dxa" w:w="120"/>
            </w:tcMar>
          </w:tcPr>
          <w:p>
            <w:pPr>
              <w:jc w:val="center"/>
            </w:pPr>
            <w:r>
              <w:rPr>
                <w:rFonts w:ascii="Arial" w:cs="Arial" w:eastAsia="Arial" w:hAnsi="Arial"/>
                <w:b/>
                <w:bCs/>
                <w:color w:val="92400E"/>
                <w:sz w:val="22"/>
                <w:szCs w:val="22"/>
              </w:rPr>
              <w:t xml:space="preserve">Q3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Marketing and demo impact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Compliance control tracking + auditor portal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Backend + FE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default"/>
            </w:r>
          </w:p>
        </w:tc>
        <w:tc>
          <w:tcPr>
            <w:tcW w:type="dxa" w:w="1000"/>
            <w:tcBorders>
              <w:top w:val="single" w:color="FEF3C7" w:sz="1"/>
              <w:left w:val="single" w:color="FEF3C7" w:sz="1"/>
              <w:bottom w:val="single" w:color="FEF3C7" w:sz="1"/>
              <w:right w:val="single" w:color="FEF3C7" w:sz="1"/>
            </w:tcBorders>
            <w:shd w:fill="FEF3C7" w:val="clear"/>
            <w:tcMar>
              <w:top w:type="dxa" w:w="80"/>
              <w:left w:type="dxa" w:w="120"/>
              <w:bottom w:type="dxa" w:w="80"/>
              <w:right w:type="dxa" w:w="120"/>
            </w:tcMar>
          </w:tcPr>
          <w:p>
            <w:pPr>
              <w:jc w:val="center"/>
            </w:pPr>
            <w:r>
              <w:rPr>
                <w:rFonts w:ascii="Arial" w:cs="Arial" w:eastAsia="Arial" w:hAnsi="Arial"/>
                <w:b/>
                <w:bCs/>
                <w:color w:val="92400E"/>
                <w:sz w:val="22"/>
                <w:szCs w:val="22"/>
              </w:rPr>
              <w:t xml:space="preserve">Q3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SOC2 / ISO27001 sales prerequisite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S3 evidence storage + Object Lock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Backend + DevOps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default"/>
            </w:r>
          </w:p>
        </w:tc>
        <w:tc>
          <w:tcPr>
            <w:tcW w:type="dxa" w:w="1000"/>
            <w:tcBorders>
              <w:top w:val="single" w:color="EDE9FE" w:sz="1"/>
              <w:left w:val="single" w:color="EDE9FE" w:sz="1"/>
              <w:bottom w:val="single" w:color="EDE9FE" w:sz="1"/>
              <w:right w:val="single" w:color="EDE9FE" w:sz="1"/>
            </w:tcBorders>
            <w:shd w:fill="EDE9FE" w:val="clear"/>
            <w:tcMar>
              <w:top w:type="dxa" w:w="80"/>
              <w:left w:type="dxa" w:w="120"/>
              <w:bottom w:type="dxa" w:w="80"/>
              <w:right w:type="dxa" w:w="120"/>
            </w:tcMar>
          </w:tcPr>
          <w:p>
            <w:pPr>
              <w:jc w:val="center"/>
            </w:pPr>
            <w:r>
              <w:rPr>
                <w:rFonts w:ascii="Arial" w:cs="Arial" w:eastAsia="Arial" w:hAnsi="Arial"/>
                <w:b/>
                <w:bCs/>
                <w:color w:val="5B21B6"/>
                <w:sz w:val="22"/>
                <w:szCs w:val="22"/>
              </w:rPr>
              <w:t xml:space="preserve">Q4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Legal chain-of-custody compliance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Digital signatures + custody chain v2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Backend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default"/>
            </w:r>
          </w:p>
        </w:tc>
        <w:tc>
          <w:tcPr>
            <w:tcW w:type="dxa" w:w="1000"/>
            <w:tcBorders>
              <w:top w:val="single" w:color="EDE9FE" w:sz="1"/>
              <w:left w:val="single" w:color="EDE9FE" w:sz="1"/>
              <w:bottom w:val="single" w:color="EDE9FE" w:sz="1"/>
              <w:right w:val="single" w:color="EDE9FE" w:sz="1"/>
            </w:tcBorders>
            <w:shd w:fill="EDE9FE" w:val="clear"/>
            <w:tcMar>
              <w:top w:type="dxa" w:w="80"/>
              <w:left w:type="dxa" w:w="120"/>
              <w:bottom w:type="dxa" w:w="80"/>
              <w:right w:type="dxa" w:w="120"/>
            </w:tcMar>
          </w:tcPr>
          <w:p>
            <w:pPr>
              <w:jc w:val="center"/>
            </w:pPr>
            <w:r>
              <w:rPr>
                <w:rFonts w:ascii="Arial" w:cs="Arial" w:eastAsia="Arial" w:hAnsi="Arial"/>
                <w:b/>
                <w:bCs/>
                <w:color w:val="5B21B6"/>
                <w:sz w:val="22"/>
                <w:szCs w:val="22"/>
              </w:rPr>
              <w:t xml:space="preserve">Q4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Court-admissible evidence integrity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Playbooks + SOAR execution engine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Backend + FE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default"/>
            </w:r>
          </w:p>
        </w:tc>
        <w:tc>
          <w:tcPr>
            <w:tcW w:type="dxa" w:w="1000"/>
            <w:tcBorders>
              <w:top w:val="single" w:color="EDE9FE" w:sz="1"/>
              <w:left w:val="single" w:color="EDE9FE" w:sz="1"/>
              <w:bottom w:val="single" w:color="EDE9FE" w:sz="1"/>
              <w:right w:val="single" w:color="EDE9FE" w:sz="1"/>
            </w:tcBorders>
            <w:shd w:fill="EDE9FE" w:val="clear"/>
            <w:tcMar>
              <w:top w:type="dxa" w:w="80"/>
              <w:left w:type="dxa" w:w="120"/>
              <w:bottom w:type="dxa" w:w="80"/>
              <w:right w:type="dxa" w:w="120"/>
            </w:tcMar>
          </w:tcPr>
          <w:p>
            <w:pPr>
              <w:jc w:val="center"/>
            </w:pPr>
            <w:r>
              <w:rPr>
                <w:rFonts w:ascii="Arial" w:cs="Arial" w:eastAsia="Arial" w:hAnsi="Arial"/>
                <w:b/>
                <w:bCs/>
                <w:color w:val="5B21B6"/>
                <w:sz w:val="22"/>
                <w:szCs w:val="22"/>
              </w:rPr>
              <w:t xml:space="preserve">Q4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Replaces external SOAR tools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Kubernetes Helm chart + HPA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DevOps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default"/>
            </w:r>
          </w:p>
        </w:tc>
        <w:tc>
          <w:tcPr>
            <w:tcW w:type="dxa" w:w="1000"/>
            <w:tcBorders>
              <w:top w:val="single" w:color="EDE9FE" w:sz="1"/>
              <w:left w:val="single" w:color="EDE9FE" w:sz="1"/>
              <w:bottom w:val="single" w:color="EDE9FE" w:sz="1"/>
              <w:right w:val="single" w:color="EDE9FE" w:sz="1"/>
            </w:tcBorders>
            <w:shd w:fill="EDE9FE" w:val="clear"/>
            <w:tcMar>
              <w:top w:type="dxa" w:w="80"/>
              <w:left w:type="dxa" w:w="120"/>
              <w:bottom w:type="dxa" w:w="80"/>
              <w:right w:type="dxa" w:w="120"/>
            </w:tcMar>
          </w:tcPr>
          <w:p>
            <w:pPr>
              <w:jc w:val="center"/>
            </w:pPr>
            <w:r>
              <w:rPr>
                <w:rFonts w:ascii="Arial" w:cs="Arial" w:eastAsia="Arial" w:hAnsi="Arial"/>
                <w:b/>
                <w:bCs/>
                <w:color w:val="5B21B6"/>
                <w:sz w:val="22"/>
                <w:szCs w:val="22"/>
              </w:rPr>
              <w:t xml:space="preserve">Q4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Horizontal scalability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RabbitMQ + Celery named queues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Backend + DevOps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default"/>
            </w:r>
          </w:p>
        </w:tc>
        <w:tc>
          <w:tcPr>
            <w:tcW w:type="dxa" w:w="1000"/>
            <w:tcBorders>
              <w:top w:val="single" w:color="EDE9FE" w:sz="1"/>
              <w:left w:val="single" w:color="EDE9FE" w:sz="1"/>
              <w:bottom w:val="single" w:color="EDE9FE" w:sz="1"/>
              <w:right w:val="single" w:color="EDE9FE" w:sz="1"/>
            </w:tcBorders>
            <w:shd w:fill="EDE9FE" w:val="clear"/>
            <w:tcMar>
              <w:top w:type="dxa" w:w="80"/>
              <w:left w:type="dxa" w:w="120"/>
              <w:bottom w:type="dxa" w:w="80"/>
              <w:right w:type="dxa" w:w="120"/>
            </w:tcMar>
          </w:tcPr>
          <w:p>
            <w:pPr>
              <w:jc w:val="center"/>
            </w:pPr>
            <w:r>
              <w:rPr>
                <w:rFonts w:ascii="Arial" w:cs="Arial" w:eastAsia="Arial" w:hAnsi="Arial"/>
                <w:b/>
                <w:bCs/>
                <w:color w:val="5B21B6"/>
                <w:sz w:val="22"/>
                <w:szCs w:val="22"/>
              </w:rPr>
              <w:t xml:space="preserve">Q4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Async reliability + priority routing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Redis HA (Sentinel) + rate limiting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DevOps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default"/>
            </w:r>
          </w:p>
        </w:tc>
        <w:tc>
          <w:tcPr>
            <w:tcW w:type="dxa" w:w="1000"/>
            <w:tcBorders>
              <w:top w:val="single" w:color="EDE9FE" w:sz="1"/>
              <w:left w:val="single" w:color="EDE9FE" w:sz="1"/>
              <w:bottom w:val="single" w:color="EDE9FE" w:sz="1"/>
              <w:right w:val="single" w:color="EDE9FE" w:sz="1"/>
            </w:tcBorders>
            <w:shd w:fill="EDE9FE" w:val="clear"/>
            <w:tcMar>
              <w:top w:type="dxa" w:w="80"/>
              <w:left w:type="dxa" w:w="120"/>
              <w:bottom w:type="dxa" w:w="80"/>
              <w:right w:type="dxa" w:w="120"/>
            </w:tcMar>
          </w:tcPr>
          <w:p>
            <w:pPr>
              <w:jc w:val="center"/>
            </w:pPr>
            <w:r>
              <w:rPr>
                <w:rFonts w:ascii="Arial" w:cs="Arial" w:eastAsia="Arial" w:hAnsi="Arial"/>
                <w:b/>
                <w:bCs/>
                <w:color w:val="5B21B6"/>
                <w:sz w:val="22"/>
                <w:szCs w:val="22"/>
              </w:rPr>
              <w:t xml:space="preserve">Q4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JWT blocklist, cache, pub/sub</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Prometheus + Grafana + OpenTelemetry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DevOps + Backend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default"/>
            </w:r>
          </w:p>
        </w:tc>
        <w:tc>
          <w:tcPr>
            <w:tcW w:type="dxa" w:w="1000"/>
            <w:tcBorders>
              <w:top w:val="single" w:color="EDE9FE" w:sz="1"/>
              <w:left w:val="single" w:color="EDE9FE" w:sz="1"/>
              <w:bottom w:val="single" w:color="EDE9FE" w:sz="1"/>
              <w:right w:val="single" w:color="EDE9FE" w:sz="1"/>
            </w:tcBorders>
            <w:shd w:fill="EDE9FE" w:val="clear"/>
            <w:tcMar>
              <w:top w:type="dxa" w:w="80"/>
              <w:left w:type="dxa" w:w="120"/>
              <w:bottom w:type="dxa" w:w="80"/>
              <w:right w:type="dxa" w:w="120"/>
            </w:tcMar>
          </w:tcPr>
          <w:p>
            <w:pPr>
              <w:jc w:val="center"/>
            </w:pPr>
            <w:r>
              <w:rPr>
                <w:rFonts w:ascii="Arial" w:cs="Arial" w:eastAsia="Arial" w:hAnsi="Arial"/>
                <w:b/>
                <w:bCs/>
                <w:color w:val="5B21B6"/>
                <w:sz w:val="22"/>
                <w:szCs w:val="22"/>
              </w:rPr>
              <w:t xml:space="preserve">Q4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SLO visibility and alerting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Loki log aggregation + Jaeger tracing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DevOps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default"/>
            </w:r>
          </w:p>
        </w:tc>
        <w:tc>
          <w:tcPr>
            <w:tcW w:type="dxa" w:w="1000"/>
            <w:tcBorders>
              <w:top w:val="single" w:color="EDE9FE" w:sz="1"/>
              <w:left w:val="single" w:color="EDE9FE" w:sz="1"/>
              <w:bottom w:val="single" w:color="EDE9FE" w:sz="1"/>
              <w:right w:val="single" w:color="EDE9FE" w:sz="1"/>
            </w:tcBorders>
            <w:shd w:fill="EDE9FE" w:val="clear"/>
            <w:tcMar>
              <w:top w:type="dxa" w:w="80"/>
              <w:left w:type="dxa" w:w="120"/>
              <w:bottom w:type="dxa" w:w="80"/>
              <w:right w:type="dxa" w:w="120"/>
            </w:tcMar>
          </w:tcPr>
          <w:p>
            <w:pPr>
              <w:jc w:val="center"/>
            </w:pPr>
            <w:r>
              <w:rPr>
                <w:rFonts w:ascii="Arial" w:cs="Arial" w:eastAsia="Arial" w:hAnsi="Arial"/>
                <w:b/>
                <w:bCs/>
                <w:color w:val="5B21B6"/>
                <w:sz w:val="22"/>
                <w:szCs w:val="22"/>
              </w:rPr>
              <w:t xml:space="preserve">Q4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Production debugging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PostgreSQL HA (Patroni) + DR runbook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DevOps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default"/>
            </w:r>
          </w:p>
        </w:tc>
        <w:tc>
          <w:tcPr>
            <w:tcW w:type="dxa" w:w="1000"/>
            <w:tcBorders>
              <w:top w:val="single" w:color="EDE9FE" w:sz="1"/>
              <w:left w:val="single" w:color="EDE9FE" w:sz="1"/>
              <w:bottom w:val="single" w:color="EDE9FE" w:sz="1"/>
              <w:right w:val="single" w:color="EDE9FE" w:sz="1"/>
            </w:tcBorders>
            <w:shd w:fill="EDE9FE" w:val="clear"/>
            <w:tcMar>
              <w:top w:type="dxa" w:w="80"/>
              <w:left w:type="dxa" w:w="120"/>
              <w:bottom w:type="dxa" w:w="80"/>
              <w:right w:type="dxa" w:w="120"/>
            </w:tcMar>
          </w:tcPr>
          <w:p>
            <w:pPr>
              <w:jc w:val="center"/>
            </w:pPr>
            <w:r>
              <w:rPr>
                <w:rFonts w:ascii="Arial" w:cs="Arial" w:eastAsia="Arial" w:hAnsi="Arial"/>
                <w:b/>
                <w:bCs/>
                <w:color w:val="5B21B6"/>
                <w:sz w:val="22"/>
                <w:szCs w:val="22"/>
              </w:rPr>
              <w:t xml:space="preserve">Q4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99.9% availability SLA</w:t>
            </w:r>
          </w:p>
        </w:tc>
      </w:tr>
    </w:tbl>
    <w:p>
      <w:r>
        <w:br w:type="page"/>
      </w:r>
    </w:p>
    <w:p>
      <w:pPr>
        <w:pStyle w:val="Heading1"/>
        <w:pBdr>
          <w:bottom w:val="single" w:color="1E3A5F" w:sz="4"/>
        </w:pBdr>
        <w:spacing w:after="160" w:before="400"/>
      </w:pPr>
      <w:r>
        <w:rPr>
          <w:rFonts w:ascii="Arial" w:cs="Arial" w:eastAsia="Arial" w:hAnsi="Arial"/>
          <w:b/>
          <w:bCs/>
          <w:color w:val="1E3A5F"/>
          <w:sz w:val="40"/>
          <w:szCs w:val="40"/>
        </w:rPr>
        <w:t xml:space="preserve">6. Engineering Effort Estimation</w:t>
      </w:r>
    </w:p>
    <w:p>
      <w:pPr>
        <w:spacing w:after="120"/>
      </w:pPr>
      <w:r>
        <w:rPr>
          <w:rFonts w:ascii="Arial" w:cs="Arial" w:eastAsia="Arial" w:hAnsi="Arial"/>
          <w:sz w:val="22"/>
          <w:szCs w:val="22"/>
        </w:rPr>
        <w:t xml:space="preserve">Team of 8: 4 backend engineers, 1 ML engineer, 1 frontend engineer, 1 DevOps engineer, 1 QA engineer. Total capacity = 8 x 52 = 416 person-weeks per year. v2 feature work: ~252 person-weeks, leaving 164 person-weeks for reviews, bug fixes, on-call, and technical debt.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500"/>
        <w:gridCol w:w="226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Cluster</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Breakdown</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PW</w:t>
            </w:r>
          </w:p>
        </w:tc>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Quarter</w:t>
            </w:r>
          </w:p>
        </w:tc>
        <w:tc>
          <w:tcPr>
            <w:tcW w:type="dxa" w:w="22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Multi-tenancy (Org, RLS, Teams, Invitations)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4 BE x 4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preserve">16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Q1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High - touches every model and every existing query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API Tokens v2 + Webhook framework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2 BE x 3.5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preserve">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Q1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Low - greenfield, no legacy dependencies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Notification engine (Email, SMS, Push)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2 BE x 3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preserve">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Q2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Medium - third-party API reliability varies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Slack + Discord + Teams bots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2 BE + 1 FE x 4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preserve">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Q2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Medium - OAuth flows, platform approval processes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Cloud connectors (4 providers)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2 BE x 5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Q2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Medium - each provider has unique IAM model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SIEM integrations (5 platforms)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3 BE x 6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preserve">18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Q2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High - each SIEM has proprietary schema and auth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ML ensemble (XGBoost + LightGBM + CatBoost)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1 ML x 5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Q3</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Medium - well-understood algorithms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Model Registry + Auto-retraining pipeline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1 ML + 1 BE x 4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Q3</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Medium - orchestration and S3 artifact management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Online learning + ADWIN drift detection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1 ML x 3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Q3</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High - streaming ML in production is operationally complex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MITRE ATT&amp;CK + CVE + GeoIP enrichment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2 BE x 4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Q3</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Low - data pipeline, no novel algorithms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Threat Feeds + Live Attack Map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2 BE + 1 FE x 4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preserve">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Q3</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Low - WebSocket + deck.gl well-documented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Compliance control framework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2 BE + 1 FE x 5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preserve">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Q3</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Medium - domain complexity, framework mapping effort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S3 Object Lock + Digital Signatures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2 BE + 1 DevOps x 4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preserve">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Q4</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High - legal correctness requirements are strict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Playbooks + SOAR execution engine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3 BE + 1 FE x 5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preserve">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Q4</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High - custom DSL, async workflow state machine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Kubernetes + HPA + Helm chart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1 DevOps x 4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Q4</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Medium - k8s expertise required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RabbitMQ + Celery migration from sync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2 BE + 1 DevOps x 3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Q4</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High - replaces synchronous calls in hot paths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Redis HA + rate limiting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1 DevOps + 1 BE x 2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Q4</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Low - well-understood Redis patterns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Observability stack (OTEL + Grafana + Loki)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1 DevOps + 1 BE x 4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Q4</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Medium - instrumentation coverage takes iteration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PostgreSQL HA (Patroni) + DR runbook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1 DevOps x 4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Q4</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High - data durability is critical path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Testing + QA (all quarters)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1 QA x 52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preserve">52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All</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Required - 90%+ coverage target maintained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Code reviews + architecture decisions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All x ongoing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preserve">30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All</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Ongoing investment</w:t>
            </w:r>
          </w:p>
        </w:tc>
      </w:tr>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TOTAL</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
            </w:r>
          </w:p>
        </w:tc>
        <w:tc>
          <w:tcPr>
            <w:tcW w:type="dxa" w:w="1800"/>
            <w:tcBorders>
              <w:top w:val="single" w:color="1E3A5F" w:sz="1"/>
              <w:left w:val="single" w:color="1E3A5F" w:sz="1"/>
              <w:bottom w:val="single" w:color="1E3A5F" w:sz="1"/>
              <w:right w:val="single" w:color="1E3A5F" w:sz="1"/>
            </w:tcBorders>
            <w:shd w:fill="DBEAFE" w:val="clear"/>
            <w:tcMar>
              <w:top w:type="dxa" w:w="80"/>
              <w:left w:type="dxa" w:w="120"/>
              <w:bottom w:type="dxa" w:w="80"/>
              <w:right w:type="dxa" w:w="120"/>
            </w:tcMar>
          </w:tcPr>
          <w:p>
            <w:pPr>
              <w:jc w:val="center"/>
            </w:pPr>
            <w:r>
              <w:rPr>
                <w:rFonts w:ascii="Arial" w:cs="Arial" w:eastAsia="Arial" w:hAnsi="Arial"/>
                <w:b/>
                <w:bCs/>
                <w:color w:val="1E3A5F"/>
                <w:sz w:val="22"/>
                <w:szCs w:val="22"/>
              </w:rPr>
              <w:t xml:space="preserve">252 PW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preserve">12 months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164 PW buffer</w:t>
            </w:r>
          </w:p>
        </w:tc>
      </w:tr>
    </w:tbl>
    <w:p>
      <w:r>
        <w:br w:type="page"/>
      </w:r>
    </w:p>
    <w:p>
      <w:pPr>
        <w:pStyle w:val="Heading1"/>
        <w:pBdr>
          <w:bottom w:val="single" w:color="1E3A5F" w:sz="4"/>
        </w:pBdr>
        <w:spacing w:after="160" w:before="400"/>
      </w:pPr>
      <w:r>
        <w:rPr>
          <w:rFonts w:ascii="Arial" w:cs="Arial" w:eastAsia="Arial" w:hAnsi="Arial"/>
          <w:b/>
          <w:bCs/>
          <w:color w:val="1E3A5F"/>
          <w:sz w:val="40"/>
          <w:szCs w:val="40"/>
        </w:rPr>
        <w:t xml:space="preserve">7. Business Plan</w:t>
      </w:r>
    </w:p>
    <w:p>
      <w:pPr>
        <w:pStyle w:val="Heading2"/>
        <w:spacing w:after="100" w:before="280"/>
      </w:pPr>
      <w:r>
        <w:rPr>
          <w:rFonts w:ascii="Arial" w:cs="Arial" w:eastAsia="Arial" w:hAnsi="Arial"/>
          <w:b/>
          <w:bCs/>
          <w:color w:val="1E3A5F"/>
          <w:sz w:val="30"/>
          <w:szCs w:val="30"/>
        </w:rPr>
        <w:t xml:space="preserve">7.1 Target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3160"/>
      </w:tblGrid>
      <w:tr>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Segment</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Size</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Pain Point</w:t>
            </w:r>
          </w:p>
        </w:tc>
        <w:tc>
          <w:tcPr>
            <w:tcW w:type="dxa" w:w="3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LBRO Value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SMB / Startup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5-50 employees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No SOC, no SIEM; alerts go unnoticed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Affordable SOAR + ML without headcount investment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Mid-Market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50-500 employees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Fragmented tools; growing compliance burden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Unified platform; automated compliance reporting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Enterprise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500+ employees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Slow response; siloed tools; audit fatigue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Multi-tenant, SIEM integrations, SOC2 certification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MSSP / MDR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Managed security providers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Managing 50+ client orgs is operationally expensive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Multi-org dashboard, white-label option, bulk API</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Government / Defence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Regulated entities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Strict evidence handling; HIPAA/DPDPA mandates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Immutable evidence vault, chain-of-custody, compliance</w:t>
            </w:r>
          </w:p>
        </w:tc>
      </w:tr>
    </w:tbl>
    <w:p>
      <w:pPr>
        <w:spacing w:after="80"/>
      </w:pPr>
      <w:r>
        <w:rPr>
          <w:rFonts w:ascii="Arial" w:cs="Arial" w:eastAsia="Arial" w:hAnsi="Arial"/>
          <w:sz w:val="22"/>
          <w:szCs w:val="22"/>
        </w:rPr>
        <w:t xml:space="preserve"/>
      </w:r>
    </w:p>
    <w:p>
      <w:pPr>
        <w:pStyle w:val="Heading2"/>
        <w:spacing w:after="100" w:before="280"/>
      </w:pPr>
      <w:r>
        <w:rPr>
          <w:rFonts w:ascii="Arial" w:cs="Arial" w:eastAsia="Arial" w:hAnsi="Arial"/>
          <w:b/>
          <w:bCs/>
          <w:color w:val="1E3A5F"/>
          <w:sz w:val="30"/>
          <w:szCs w:val="30"/>
        </w:rPr>
        <w:t xml:space="preserve">7.2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60"/>
        <w:gridCol w:w="1660"/>
        <w:gridCol w:w="1660"/>
        <w:gridCol w:w="2180"/>
      </w:tblGrid>
      <w:t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660"/>
            <w:tcBorders>
              <w:top w:val="single" w:color="166534" w:sz="1"/>
              <w:left w:val="single" w:color="166534" w:sz="1"/>
              <w:bottom w:val="single" w:color="166534" w:sz="1"/>
              <w:right w:val="single" w:color="166534" w:sz="1"/>
            </w:tcBorders>
            <w:shd w:fill="16653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OSS / Free</w:t>
            </w:r>
          </w:p>
          <w:p>
            <w:pPr>
              <w:jc w:val="center"/>
            </w:pPr>
            <w:r>
              <w:rPr>
                <w:rFonts w:ascii="Arial" w:cs="Arial" w:eastAsia="Arial" w:hAnsi="Arial"/>
                <w:color w:val="FFFFFF"/>
                <w:sz w:val="18"/>
                <w:szCs w:val="18"/>
              </w:rPr>
              <w:t xml:space="preserve">$0 / month</w:t>
            </w:r>
          </w:p>
        </w:tc>
        <w:tc>
          <w:tcPr>
            <w:tcW w:type="dxa" w:w="16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Startup</w:t>
            </w:r>
          </w:p>
          <w:p>
            <w:pPr>
              <w:jc w:val="center"/>
            </w:pPr>
            <w:r>
              <w:rPr>
                <w:rFonts w:ascii="Arial" w:cs="Arial" w:eastAsia="Arial" w:hAnsi="Arial"/>
                <w:color w:val="FFFFFF"/>
                <w:sz w:val="18"/>
                <w:szCs w:val="18"/>
              </w:rPr>
              <w:t xml:space="preserve">$99 / month</w:t>
            </w:r>
          </w:p>
        </w:tc>
        <w:tc>
          <w:tcPr>
            <w:tcW w:type="dxa" w:w="1660"/>
            <w:tcBorders>
              <w:top w:val="single" w:color="92400E" w:sz="1"/>
              <w:left w:val="single" w:color="92400E" w:sz="1"/>
              <w:bottom w:val="single" w:color="92400E" w:sz="1"/>
              <w:right w:val="single" w:color="92400E" w:sz="1"/>
            </w:tcBorders>
            <w:shd w:fill="92400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w:t>
            </w:r>
          </w:p>
          <w:p>
            <w:pPr>
              <w:jc w:val="center"/>
            </w:pPr>
            <w:r>
              <w:rPr>
                <w:rFonts w:ascii="Arial" w:cs="Arial" w:eastAsia="Arial" w:hAnsi="Arial"/>
                <w:color w:val="FFFFFF"/>
                <w:sz w:val="18"/>
                <w:szCs w:val="18"/>
              </w:rPr>
              <w:t xml:space="preserve">$499 / month</w:t>
            </w:r>
          </w:p>
        </w:tc>
        <w:tc>
          <w:tcPr>
            <w:tcW w:type="dxa" w:w="21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Enterprise</w:t>
            </w:r>
          </w:p>
          <w:p>
            <w:pPr>
              <w:jc w:val="center"/>
            </w:pPr>
            <w:r>
              <w:rPr>
                <w:rFonts w:ascii="Arial" w:cs="Arial" w:eastAsia="Arial" w:hAnsi="Arial"/>
                <w:color w:val="FFFFFF"/>
                <w:sz w:val="18"/>
                <w:szCs w:val="18"/>
              </w:rPr>
              <w:t xml:space="preserve">Custom (from $2K/mo)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Organizations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1</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1</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Up to 5</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Unlimited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Users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3</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15</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100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Unlimited + SSO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Projects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5</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25</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Unlimited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Unlimited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Incidents / month</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500</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10,000</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Unlimited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Unlimited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ML Classification</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Basic RF</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Advanced RF</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Ensemble (3 models)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 Custom model upload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Webhooks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Slack / Discord / Teams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Cloud Connectors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SIEM Integrations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Threat Feeds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AbuseIPDB only</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All public feeds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 Private MISP feeds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MITRE ATT&amp;CK Mapping</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Compliance Frameworks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GDPR + DPDPA</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 HIPAA</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 ISO27001 + SOC2 + PCI-DSS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 Custom frameworks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Auditor Portal</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SOAR Playbooks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10 playbooks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Unlimited + custom steps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Immutable Evidence (S3 Object Lock)</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Digital Signatures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Live Attack Map</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SSO (SAML / OIDC)</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Schema-per-tenant isolation</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6534"/>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SLA</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No SLA</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99.5%</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99.9%</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99.99% + dedicated TAM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Support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Community</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Email (72h)</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Business hours (8h)</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24/7 phone + dedicated</w:t>
            </w:r>
          </w:p>
        </w:tc>
      </w:tr>
    </w:tbl>
    <w:p>
      <w:pPr>
        <w:spacing w:after="80"/>
      </w:pPr>
      <w:r>
        <w:rPr>
          <w:rFonts w:ascii="Arial" w:cs="Arial" w:eastAsia="Arial" w:hAnsi="Arial"/>
          <w:sz w:val="22"/>
          <w:szCs w:val="22"/>
        </w:rPr>
        <w:t xml:space="preserve"/>
      </w:r>
    </w:p>
    <w:p>
      <w:pPr>
        <w:pStyle w:val="Heading2"/>
        <w:spacing w:after="100" w:before="280"/>
      </w:pPr>
      <w:r>
        <w:rPr>
          <w:rFonts w:ascii="Arial" w:cs="Arial" w:eastAsia="Arial" w:hAnsi="Arial"/>
          <w:b/>
          <w:bCs/>
          <w:color w:val="1E3A5F"/>
          <w:sz w:val="30"/>
          <w:szCs w:val="30"/>
        </w:rPr>
        <w:t xml:space="preserve">7.3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6 months</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12 months (v2)</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24 months (v3)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Paying customers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20-40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preserve">50-100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66534"/>
                <w:sz w:val="20"/>
                <w:szCs w:val="20"/>
              </w:rPr>
              <w:t xml:space="preserve">200-400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ARR (conservative)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$200K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preserve">$800K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66534"/>
                <w:sz w:val="20"/>
                <w:szCs w:val="20"/>
              </w:rPr>
              <w:t xml:space="preserve">$3M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ARR (optimistic)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$500K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preserve">$4M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66534"/>
                <w:sz w:val="20"/>
                <w:szCs w:val="20"/>
              </w:rPr>
              <w:t xml:space="preserve">$15M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Enterprise deals (&gt; $2K/mo)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preserve">10-20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66534"/>
                <w:sz w:val="20"/>
                <w:szCs w:val="20"/>
              </w:rPr>
              <w:t xml:space="preserve">40-80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MSSP / MDR partners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0-2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preserve">3-8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66534"/>
                <w:sz w:val="20"/>
                <w:szCs w:val="20"/>
              </w:rPr>
              <w:t xml:space="preserve">15-30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OSS GitHub stars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74151"/>
                <w:sz w:val="20"/>
                <w:szCs w:val="20"/>
              </w:rPr>
              <w:t xml:space="preserve">500-1,000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74151"/>
                <w:sz w:val="20"/>
                <w:szCs w:val="20"/>
              </w:rPr>
              <w:t xml:space="preserve">2,000-4,000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66534"/>
                <w:sz w:val="20"/>
                <w:szCs w:val="20"/>
              </w:rPr>
              <w:t xml:space="preserve">6,000-12,000</w:t>
            </w:r>
          </w:p>
        </w:tc>
      </w:tr>
    </w:tbl>
    <w:p>
      <w:pPr>
        <w:spacing w:after="80"/>
      </w:pPr>
      <w:r>
        <w:rPr>
          <w:rFonts w:ascii="Arial" w:cs="Arial" w:eastAsia="Arial" w:hAnsi="Arial"/>
          <w:sz w:val="22"/>
          <w:szCs w:val="22"/>
        </w:rPr>
        <w:t xml:space="preserve"/>
      </w:r>
    </w:p>
    <w:p>
      <w:pPr>
        <w:pStyle w:val="Heading2"/>
        <w:spacing w:after="100" w:before="280"/>
      </w:pPr>
      <w:r>
        <w:rPr>
          <w:rFonts w:ascii="Arial" w:cs="Arial" w:eastAsia="Arial" w:hAnsi="Arial"/>
          <w:b/>
          <w:bCs/>
          <w:color w:val="1E3A5F"/>
          <w:sz w:val="30"/>
          <w:szCs w:val="30"/>
        </w:rPr>
        <w:t xml:space="preserve">7.4 Open-Source Strategy</w:t>
      </w:r>
    </w:p>
    <w:p>
      <w:pPr>
        <w:spacing w:after="120"/>
      </w:pPr>
      <w:r>
        <w:rPr>
          <w:rFonts w:ascii="Arial" w:cs="Arial" w:eastAsia="Arial" w:hAnsi="Arial"/>
          <w:sz w:val="22"/>
          <w:szCs w:val="22"/>
        </w:rPr>
        <w:t xml:space="preserve">LBRO OSS (MIT license) is the community edition hosted on GitHub. It drives inbound signups, builds trust in the ML models, and attracts contributor improvements. The commercial SaaS and Enterprise editions extend the OSS core with closed-source plugin modules.</w:t>
      </w:r>
    </w:p>
    <w:p>
      <w:pPr>
        <w:pStyle w:val="ListParagraph"/>
        <w:numPr>
          <w:ilvl w:val="0"/>
          <w:numId w:val="2"/>
        </w:numPr>
        <w:spacing w:after="80"/>
      </w:pPr>
      <w:r>
        <w:rPr>
          <w:rFonts w:ascii="Arial" w:cs="Arial" w:eastAsia="Arial" w:hAnsi="Arial"/>
          <w:color w:val="374151"/>
          <w:sz w:val="22"/>
          <w:szCs w:val="22"/>
        </w:rPr>
        <w:t xml:space="preserve">OSS core (MIT): incident management, evidence vault, ML classification, basic compliance, REST API</w:t>
      </w:r>
    </w:p>
    <w:p>
      <w:pPr>
        <w:pStyle w:val="ListParagraph"/>
        <w:numPr>
          <w:ilvl w:val="0"/>
          <w:numId w:val="2"/>
        </w:numPr>
        <w:spacing w:after="80"/>
      </w:pPr>
      <w:r>
        <w:rPr>
          <w:rFonts w:ascii="Arial" w:cs="Arial" w:eastAsia="Arial" w:hAnsi="Arial"/>
          <w:color w:val="374151"/>
          <w:sz w:val="22"/>
          <w:szCs w:val="22"/>
        </w:rPr>
        <w:t xml:space="preserve">Closed modules: multi-tenancy, SIEM integrations, SOAR playbooks, live attack map, auditor portal, SSO</w:t>
      </w:r>
    </w:p>
    <w:p>
      <w:pPr>
        <w:pStyle w:val="ListParagraph"/>
        <w:numPr>
          <w:ilvl w:val="0"/>
          <w:numId w:val="2"/>
        </w:numPr>
        <w:spacing w:after="80"/>
      </w:pPr>
      <w:r>
        <w:rPr>
          <w:rFonts w:ascii="Arial" w:cs="Arial" w:eastAsia="Arial" w:hAnsi="Arial"/>
          <w:color w:val="374151"/>
          <w:sz w:val="22"/>
          <w:szCs w:val="22"/>
        </w:rPr>
        <w:t xml:space="preserve">Plugin architecture: closed modules load as FastAPI sub-applications; OSS router ignores missing plugins gracefully</w:t>
      </w:r>
    </w:p>
    <w:p>
      <w:pPr>
        <w:pStyle w:val="ListParagraph"/>
        <w:numPr>
          <w:ilvl w:val="0"/>
          <w:numId w:val="2"/>
        </w:numPr>
        <w:spacing w:after="80"/>
      </w:pPr>
      <w:r>
        <w:rPr>
          <w:rFonts w:ascii="Arial" w:cs="Arial" w:eastAsia="Arial" w:hAnsi="Arial"/>
          <w:color w:val="374151"/>
          <w:sz w:val="22"/>
          <w:szCs w:val="22"/>
        </w:rPr>
        <w:t xml:space="preserve">Open-core model: OSS always free for self-hosted; cloud SaaS charges for compute + managed services</w:t>
      </w:r>
    </w:p>
    <w:p>
      <w:pPr>
        <w:pStyle w:val="ListParagraph"/>
        <w:numPr>
          <w:ilvl w:val="0"/>
          <w:numId w:val="2"/>
        </w:numPr>
        <w:spacing w:after="80"/>
      </w:pPr>
      <w:r>
        <w:rPr>
          <w:rFonts w:ascii="Arial" w:cs="Arial" w:eastAsia="Arial" w:hAnsi="Arial"/>
          <w:color w:val="374151"/>
          <w:sz w:val="22"/>
          <w:szCs w:val="22"/>
        </w:rPr>
        <w:t xml:space="preserve">Community investment: dedicated developer relations role at Month 6; public roadmap; security bug bounty program</w:t>
      </w:r>
    </w:p>
    <w:p>
      <w:r>
        <w:br w:type="page"/>
      </w:r>
    </w:p>
    <w:p>
      <w:pPr>
        <w:pStyle w:val="Heading1"/>
        <w:pBdr>
          <w:bottom w:val="single" w:color="1E3A5F" w:sz="4"/>
        </w:pBdr>
        <w:spacing w:after="160" w:before="400"/>
      </w:pPr>
      <w:r>
        <w:rPr>
          <w:rFonts w:ascii="Arial" w:cs="Arial" w:eastAsia="Arial" w:hAnsi="Arial"/>
          <w:b/>
          <w:bCs/>
          <w:color w:val="1E3A5F"/>
          <w:sz w:val="40"/>
          <w:szCs w:val="40"/>
        </w:rPr>
        <w:t xml:space="preserve">8. v3 Roadmap — Months 13-24</w:t>
      </w:r>
    </w:p>
    <w:p>
      <w:pPr>
        <w:spacing w:after="120"/>
      </w:pPr>
      <w:r>
        <w:rPr>
          <w:rFonts w:ascii="Arial" w:cs="Arial" w:eastAsia="Arial" w:hAnsi="Arial"/>
          <w:sz w:val="22"/>
          <w:szCs w:val="22"/>
        </w:rPr>
        <w:t xml:space="preserve">v3 is the AI-native and global expansion phase. Assumes v2 infrastructure is stable and team has grown to 15+ engineers.</w:t>
      </w:r>
    </w:p>
    <w:p>
      <w:pPr>
        <w:pStyle w:val="Heading2"/>
        <w:spacing w:after="100" w:before="280"/>
      </w:pPr>
      <w:r>
        <w:rPr>
          <w:rFonts w:ascii="Arial" w:cs="Arial" w:eastAsia="Arial" w:hAnsi="Arial"/>
          <w:b/>
          <w:bCs/>
          <w:color w:val="1E3A5F"/>
          <w:sz w:val="30"/>
          <w:szCs w:val="30"/>
        </w:rPr>
        <w:t xml:space="preserve">8.1 AI-Native Incident Response (Months 13-16)</w:t>
      </w:r>
    </w:p>
    <w:p>
      <w:pPr>
        <w:pStyle w:val="ListParagraph"/>
        <w:numPr>
          <w:ilvl w:val="0"/>
          <w:numId w:val="2"/>
        </w:numPr>
        <w:spacing w:after="80"/>
      </w:pPr>
      <w:r>
        <w:rPr>
          <w:rFonts w:ascii="Arial" w:cs="Arial" w:eastAsia="Arial" w:hAnsi="Arial"/>
          <w:color w:val="374151"/>
          <w:sz w:val="22"/>
          <w:szCs w:val="22"/>
        </w:rPr>
        <w:t xml:space="preserve">LLM triage assistant: GPT-4o / Claude integration; auto-generates incident summary, root cause hypothesis, and remediation steps from incident data + evidence</w:t>
      </w:r>
    </w:p>
    <w:p>
      <w:pPr>
        <w:pStyle w:val="ListParagraph"/>
        <w:numPr>
          <w:ilvl w:val="0"/>
          <w:numId w:val="2"/>
        </w:numPr>
        <w:spacing w:after="80"/>
      </w:pPr>
      <w:r>
        <w:rPr>
          <w:rFonts w:ascii="Arial" w:cs="Arial" w:eastAsia="Arial" w:hAnsi="Arial"/>
          <w:color w:val="374151"/>
          <w:sz w:val="22"/>
          <w:szCs w:val="22"/>
        </w:rPr>
        <w:t xml:space="preserve">Natural language playbooks: 'Block all traffic from Russia during DDoS' -&gt; Playbook YAML via LLM</w:t>
      </w:r>
    </w:p>
    <w:p>
      <w:pPr>
        <w:pStyle w:val="ListParagraph"/>
        <w:numPr>
          <w:ilvl w:val="0"/>
          <w:numId w:val="2"/>
        </w:numPr>
        <w:spacing w:after="80"/>
      </w:pPr>
      <w:r>
        <w:rPr>
          <w:rFonts w:ascii="Arial" w:cs="Arial" w:eastAsia="Arial" w:hAnsi="Arial"/>
          <w:color w:val="374151"/>
          <w:sz w:val="22"/>
          <w:szCs w:val="22"/>
        </w:rPr>
        <w:t xml:space="preserve">Anomaly explanation: LLM explains in plain English why the ML model flagged a flow — reduces L1 analyst learning curve</w:t>
      </w:r>
    </w:p>
    <w:p>
      <w:pPr>
        <w:pStyle w:val="ListParagraph"/>
        <w:numPr>
          <w:ilvl w:val="0"/>
          <w:numId w:val="2"/>
        </w:numPr>
        <w:spacing w:after="80"/>
      </w:pPr>
      <w:r>
        <w:rPr>
          <w:rFonts w:ascii="Arial" w:cs="Arial" w:eastAsia="Arial" w:hAnsi="Arial"/>
          <w:color w:val="374151"/>
          <w:sz w:val="22"/>
          <w:szCs w:val="22"/>
        </w:rPr>
        <w:t xml:space="preserve">Context-aware alerting: LLM clusters related incidents; single notification instead of alert storm</w:t>
      </w:r>
    </w:p>
    <w:p>
      <w:pPr>
        <w:pStyle w:val="Heading2"/>
        <w:spacing w:after="100" w:before="280"/>
      </w:pPr>
      <w:r>
        <w:rPr>
          <w:rFonts w:ascii="Arial" w:cs="Arial" w:eastAsia="Arial" w:hAnsi="Arial"/>
          <w:b/>
          <w:bCs/>
          <w:color w:val="1E3A5F"/>
          <w:sz w:val="30"/>
          <w:szCs w:val="30"/>
        </w:rPr>
        <w:t xml:space="preserve">8.2 Federated ML (Months 13-18)</w:t>
      </w:r>
    </w:p>
    <w:p>
      <w:pPr>
        <w:pStyle w:val="ListParagraph"/>
        <w:numPr>
          <w:ilvl w:val="0"/>
          <w:numId w:val="2"/>
        </w:numPr>
        <w:spacing w:after="80"/>
      </w:pPr>
      <w:r>
        <w:rPr>
          <w:rFonts w:ascii="Arial" w:cs="Arial" w:eastAsia="Arial" w:hAnsi="Arial"/>
          <w:color w:val="374151"/>
          <w:sz w:val="22"/>
          <w:szCs w:val="22"/>
        </w:rPr>
        <w:t xml:space="preserve">Federated learning: org-local model updates sent as gradient deltas (not raw data) — improves global model without sharing sensitive telemetry</w:t>
      </w:r>
    </w:p>
    <w:p>
      <w:pPr>
        <w:pStyle w:val="ListParagraph"/>
        <w:numPr>
          <w:ilvl w:val="0"/>
          <w:numId w:val="2"/>
        </w:numPr>
        <w:spacing w:after="80"/>
      </w:pPr>
      <w:r>
        <w:rPr>
          <w:rFonts w:ascii="Arial" w:cs="Arial" w:eastAsia="Arial" w:hAnsi="Arial"/>
          <w:color w:val="374151"/>
          <w:sz w:val="22"/>
          <w:szCs w:val="22"/>
        </w:rPr>
        <w:t xml:space="preserve">Differential privacy: epsilon-differential privacy on federated gradients (target epsilon=1.0)</w:t>
      </w:r>
    </w:p>
    <w:p>
      <w:pPr>
        <w:pStyle w:val="ListParagraph"/>
        <w:numPr>
          <w:ilvl w:val="0"/>
          <w:numId w:val="2"/>
        </w:numPr>
        <w:spacing w:after="80"/>
      </w:pPr>
      <w:r>
        <w:rPr>
          <w:rFonts w:ascii="Arial" w:cs="Arial" w:eastAsia="Arial" w:hAnsi="Arial"/>
          <w:color w:val="374151"/>
          <w:sz w:val="22"/>
          <w:szCs w:val="22"/>
        </w:rPr>
        <w:t xml:space="preserve">Custom model marketplace: Enterprise orgs can contribute and license proprietary detection models</w:t>
      </w:r>
    </w:p>
    <w:p>
      <w:pPr>
        <w:pStyle w:val="ListParagraph"/>
        <w:numPr>
          <w:ilvl w:val="0"/>
          <w:numId w:val="2"/>
        </w:numPr>
        <w:spacing w:after="80"/>
      </w:pPr>
      <w:r>
        <w:rPr>
          <w:rFonts w:ascii="Arial" w:cs="Arial" w:eastAsia="Arial" w:hAnsi="Arial"/>
          <w:color w:val="374151"/>
          <w:sz w:val="22"/>
          <w:szCs w:val="22"/>
        </w:rPr>
        <w:t xml:space="preserve">Edge inference: LBRO Sensor — lightweight Rust agent running ONNX-exported model locally for sub-millisecond classification</w:t>
      </w:r>
    </w:p>
    <w:p>
      <w:pPr>
        <w:pStyle w:val="Heading2"/>
        <w:spacing w:after="100" w:before="280"/>
      </w:pPr>
      <w:r>
        <w:rPr>
          <w:rFonts w:ascii="Arial" w:cs="Arial" w:eastAsia="Arial" w:hAnsi="Arial"/>
          <w:b/>
          <w:bCs/>
          <w:color w:val="1E3A5F"/>
          <w:sz w:val="30"/>
          <w:szCs w:val="30"/>
        </w:rPr>
        <w:t xml:space="preserve">8.3 Asset Management (Months 15-18)</w:t>
      </w:r>
    </w:p>
    <w:p>
      <w:pPr>
        <w:pStyle w:val="ListParagraph"/>
        <w:numPr>
          <w:ilvl w:val="0"/>
          <w:numId w:val="2"/>
        </w:numPr>
        <w:spacing w:after="80"/>
      </w:pPr>
      <w:r>
        <w:rPr>
          <w:rFonts w:ascii="Arial" w:cs="Arial" w:eastAsia="Arial" w:hAnsi="Arial"/>
          <w:color w:val="374151"/>
          <w:sz w:val="22"/>
          <w:szCs w:val="22"/>
        </w:rPr>
        <w:t xml:space="preserve">Network topology: auto-discover assets from CloudWatch, Cloudflare, GCP SCC; build visual network map per org</w:t>
      </w:r>
    </w:p>
    <w:p>
      <w:pPr>
        <w:pStyle w:val="ListParagraph"/>
        <w:numPr>
          <w:ilvl w:val="0"/>
          <w:numId w:val="2"/>
        </w:numPr>
        <w:spacing w:after="80"/>
      </w:pPr>
      <w:r>
        <w:rPr>
          <w:rFonts w:ascii="Arial" w:cs="Arial" w:eastAsia="Arial" w:hAnsi="Arial"/>
          <w:color w:val="374151"/>
          <w:sz w:val="22"/>
          <w:szCs w:val="22"/>
        </w:rPr>
        <w:t xml:space="preserve">Asset criticality scoring: ML model predicts criticality based on connectivity, CVE exposure, incident history</w:t>
      </w:r>
    </w:p>
    <w:p>
      <w:pPr>
        <w:pStyle w:val="ListParagraph"/>
        <w:numPr>
          <w:ilvl w:val="0"/>
          <w:numId w:val="2"/>
        </w:numPr>
        <w:spacing w:after="80"/>
      </w:pPr>
      <w:r>
        <w:rPr>
          <w:rFonts w:ascii="Arial" w:cs="Arial" w:eastAsia="Arial" w:hAnsi="Arial"/>
          <w:color w:val="374151"/>
          <w:sz w:val="22"/>
          <w:szCs w:val="22"/>
        </w:rPr>
        <w:t xml:space="preserve">Vulnerability management: CVEs aggregated per asset; risk-prioritized remediation queue</w:t>
      </w:r>
    </w:p>
    <w:p>
      <w:pPr>
        <w:pStyle w:val="ListParagraph"/>
        <w:numPr>
          <w:ilvl w:val="0"/>
          <w:numId w:val="2"/>
        </w:numPr>
        <w:spacing w:after="80"/>
      </w:pPr>
      <w:r>
        <w:rPr>
          <w:rFonts w:ascii="Arial" w:cs="Arial" w:eastAsia="Arial" w:hAnsi="Arial"/>
          <w:color w:val="374151"/>
          <w:sz w:val="22"/>
          <w:szCs w:val="22"/>
        </w:rPr>
        <w:t xml:space="preserve">Configuration drift: compare live cloud config against CIS benchmarks; flag drifts as compliance incidents</w:t>
      </w:r>
    </w:p>
    <w:p>
      <w:pPr>
        <w:pStyle w:val="Heading2"/>
        <w:spacing w:after="100" w:before="280"/>
      </w:pPr>
      <w:r>
        <w:rPr>
          <w:rFonts w:ascii="Arial" w:cs="Arial" w:eastAsia="Arial" w:hAnsi="Arial"/>
          <w:b/>
          <w:bCs/>
          <w:color w:val="1E3A5F"/>
          <w:sz w:val="30"/>
          <w:szCs w:val="30"/>
        </w:rPr>
        <w:t xml:space="preserve">8.4 Advanced Threat Intelligence (Months 17-20)</w:t>
      </w:r>
    </w:p>
    <w:p>
      <w:pPr>
        <w:pStyle w:val="ListParagraph"/>
        <w:numPr>
          <w:ilvl w:val="0"/>
          <w:numId w:val="2"/>
        </w:numPr>
        <w:spacing w:after="80"/>
      </w:pPr>
      <w:r>
        <w:rPr>
          <w:rFonts w:ascii="Arial" w:cs="Arial" w:eastAsia="Arial" w:hAnsi="Arial"/>
          <w:color w:val="374151"/>
          <w:sz w:val="22"/>
          <w:szCs w:val="22"/>
        </w:rPr>
        <w:t xml:space="preserve">Threat actor profiles: link incidents to known APT groups via MITRE ATT&amp;CK Groups dataset</w:t>
      </w:r>
    </w:p>
    <w:p>
      <w:pPr>
        <w:pStyle w:val="ListParagraph"/>
        <w:numPr>
          <w:ilvl w:val="0"/>
          <w:numId w:val="2"/>
        </w:numPr>
        <w:spacing w:after="80"/>
      </w:pPr>
      <w:r>
        <w:rPr>
          <w:rFonts w:ascii="Arial" w:cs="Arial" w:eastAsia="Arial" w:hAnsi="Arial"/>
          <w:color w:val="374151"/>
          <w:sz w:val="22"/>
          <w:szCs w:val="22"/>
        </w:rPr>
        <w:t xml:space="preserve">Campaign tracking: correlate incidents across consenting orgs to identify multi-target campaigns</w:t>
      </w:r>
    </w:p>
    <w:p>
      <w:pPr>
        <w:pStyle w:val="ListParagraph"/>
        <w:numPr>
          <w:ilvl w:val="0"/>
          <w:numId w:val="2"/>
        </w:numPr>
        <w:spacing w:after="80"/>
      </w:pPr>
      <w:r>
        <w:rPr>
          <w:rFonts w:ascii="Arial" w:cs="Arial" w:eastAsia="Arial" w:hAnsi="Arial"/>
          <w:color w:val="374151"/>
          <w:sz w:val="22"/>
          <w:szCs w:val="22"/>
        </w:rPr>
        <w:t xml:space="preserve">Dark web monitoring: integrate with SpyCloud / DarkOwl APIs to monitor org domain exposure on dark web forums</w:t>
      </w:r>
    </w:p>
    <w:p>
      <w:pPr>
        <w:pStyle w:val="ListParagraph"/>
        <w:numPr>
          <w:ilvl w:val="0"/>
          <w:numId w:val="2"/>
        </w:numPr>
        <w:spacing w:after="80"/>
      </w:pPr>
      <w:r>
        <w:rPr>
          <w:rFonts w:ascii="Arial" w:cs="Arial" w:eastAsia="Arial" w:hAnsi="Arial"/>
          <w:color w:val="374151"/>
          <w:sz w:val="22"/>
          <w:szCs w:val="22"/>
        </w:rPr>
        <w:t xml:space="preserve">Predictive threat scoring: ML model predicts probability of incident escalation based on early indicators</w:t>
      </w:r>
    </w:p>
    <w:p>
      <w:pPr>
        <w:pStyle w:val="Heading2"/>
        <w:spacing w:after="100" w:before="280"/>
      </w:pPr>
      <w:r>
        <w:rPr>
          <w:rFonts w:ascii="Arial" w:cs="Arial" w:eastAsia="Arial" w:hAnsi="Arial"/>
          <w:b/>
          <w:bCs/>
          <w:color w:val="1E3A5F"/>
          <w:sz w:val="30"/>
          <w:szCs w:val="30"/>
        </w:rPr>
        <w:t xml:space="preserve">8.5 Compliance Automation (Months 18-22)</w:t>
      </w:r>
    </w:p>
    <w:p>
      <w:pPr>
        <w:pStyle w:val="ListParagraph"/>
        <w:numPr>
          <w:ilvl w:val="0"/>
          <w:numId w:val="2"/>
        </w:numPr>
        <w:spacing w:after="80"/>
      </w:pPr>
      <w:r>
        <w:rPr>
          <w:rFonts w:ascii="Arial" w:cs="Arial" w:eastAsia="Arial" w:hAnsi="Arial"/>
          <w:color w:val="374151"/>
          <w:sz w:val="22"/>
          <w:szCs w:val="22"/>
        </w:rPr>
        <w:t xml:space="preserve">Continuous compliance: every API mutation evaluates affected controls in real time via AuditLog trigger</w:t>
      </w:r>
    </w:p>
    <w:p>
      <w:pPr>
        <w:pStyle w:val="ListParagraph"/>
        <w:numPr>
          <w:ilvl w:val="0"/>
          <w:numId w:val="2"/>
        </w:numPr>
        <w:spacing w:after="80"/>
      </w:pPr>
      <w:r>
        <w:rPr>
          <w:rFonts w:ascii="Arial" w:cs="Arial" w:eastAsia="Arial" w:hAnsi="Arial"/>
          <w:color w:val="374151"/>
          <w:sz w:val="22"/>
          <w:szCs w:val="22"/>
        </w:rPr>
        <w:t xml:space="preserve">Automated evidence collection: connect cloud providers to auto-collect and link compliance evidence</w:t>
      </w:r>
    </w:p>
    <w:p>
      <w:pPr>
        <w:pStyle w:val="ListParagraph"/>
        <w:numPr>
          <w:ilvl w:val="0"/>
          <w:numId w:val="2"/>
        </w:numPr>
        <w:spacing w:after="80"/>
      </w:pPr>
      <w:r>
        <w:rPr>
          <w:rFonts w:ascii="Arial" w:cs="Arial" w:eastAsia="Arial" w:hAnsi="Arial"/>
          <w:color w:val="374151"/>
          <w:sz w:val="22"/>
          <w:szCs w:val="22"/>
        </w:rPr>
        <w:t xml:space="preserve">Certification acceleration: structured pre-audit readiness report showing exact PASS/FAIL state before external auditor</w:t>
      </w:r>
    </w:p>
    <w:p>
      <w:pPr>
        <w:pStyle w:val="ListParagraph"/>
        <w:numPr>
          <w:ilvl w:val="0"/>
          <w:numId w:val="2"/>
        </w:numPr>
        <w:spacing w:after="80"/>
      </w:pPr>
      <w:r>
        <w:rPr>
          <w:rFonts w:ascii="Arial" w:cs="Arial" w:eastAsia="Arial" w:hAnsi="Arial"/>
          <w:color w:val="374151"/>
          <w:sz w:val="22"/>
          <w:szCs w:val="22"/>
        </w:rPr>
        <w:t xml:space="preserve">Regulatory change management: when a framework publishes a new version, LBRO maps old controls to new and flags gaps</w:t>
      </w:r>
    </w:p>
    <w:p>
      <w:pPr>
        <w:pStyle w:val="Heading2"/>
        <w:spacing w:after="100" w:before="280"/>
      </w:pPr>
      <w:r>
        <w:rPr>
          <w:rFonts w:ascii="Arial" w:cs="Arial" w:eastAsia="Arial" w:hAnsi="Arial"/>
          <w:b/>
          <w:bCs/>
          <w:color w:val="1E3A5F"/>
          <w:sz w:val="30"/>
          <w:szCs w:val="30"/>
        </w:rPr>
        <w:t xml:space="preserve">8.6 Global Expansion (Months 20-24)</w:t>
      </w:r>
    </w:p>
    <w:p>
      <w:pPr>
        <w:pStyle w:val="ListParagraph"/>
        <w:numPr>
          <w:ilvl w:val="0"/>
          <w:numId w:val="2"/>
        </w:numPr>
        <w:spacing w:after="80"/>
      </w:pPr>
      <w:r>
        <w:rPr>
          <w:rFonts w:ascii="Arial" w:cs="Arial" w:eastAsia="Arial" w:hAnsi="Arial"/>
          <w:color w:val="374151"/>
          <w:sz w:val="22"/>
          <w:szCs w:val="22"/>
        </w:rPr>
        <w:t xml:space="preserve">Multi-region: EU (Frankfurt), APAC (Singapore), US (Virginia) — data residency guaranteed per org setting</w:t>
      </w:r>
    </w:p>
    <w:p>
      <w:pPr>
        <w:pStyle w:val="ListParagraph"/>
        <w:numPr>
          <w:ilvl w:val="0"/>
          <w:numId w:val="2"/>
        </w:numPr>
        <w:spacing w:after="80"/>
      </w:pPr>
      <w:r>
        <w:rPr>
          <w:rFonts w:ascii="Arial" w:cs="Arial" w:eastAsia="Arial" w:hAnsi="Arial"/>
          <w:color w:val="374151"/>
          <w:sz w:val="22"/>
          <w:szCs w:val="22"/>
        </w:rPr>
        <w:t xml:space="preserve">Localization: i18n for UI in English, German, French, Japanese, Hindi, Arabic</w:t>
      </w:r>
    </w:p>
    <w:p>
      <w:pPr>
        <w:pStyle w:val="ListParagraph"/>
        <w:numPr>
          <w:ilvl w:val="0"/>
          <w:numId w:val="2"/>
        </w:numPr>
        <w:spacing w:after="80"/>
      </w:pPr>
      <w:r>
        <w:rPr>
          <w:rFonts w:ascii="Arial" w:cs="Arial" w:eastAsia="Arial" w:hAnsi="Arial"/>
          <w:color w:val="374151"/>
          <w:sz w:val="22"/>
          <w:szCs w:val="22"/>
        </w:rPr>
        <w:t xml:space="preserve">Regional compliance: EU AI Act for ML classification, India DPDPA DPA registration, UK Cyber Essentials</w:t>
      </w:r>
    </w:p>
    <w:p>
      <w:pPr>
        <w:pStyle w:val="ListParagraph"/>
        <w:numPr>
          <w:ilvl w:val="0"/>
          <w:numId w:val="2"/>
        </w:numPr>
        <w:spacing w:after="80"/>
      </w:pPr>
      <w:r>
        <w:rPr>
          <w:rFonts w:ascii="Arial" w:cs="Arial" w:eastAsia="Arial" w:hAnsi="Arial"/>
          <w:color w:val="374151"/>
          <w:sz w:val="22"/>
          <w:szCs w:val="22"/>
        </w:rPr>
        <w:t xml:space="preserve">Marketplace listings: AWS Marketplace, Azure Marketplace, GCP Marketplace for procurement via cloud credits</w:t>
      </w:r>
    </w:p>
    <w:p>
      <w:pPr>
        <w:pStyle w:val="ListParagraph"/>
        <w:numPr>
          <w:ilvl w:val="0"/>
          <w:numId w:val="2"/>
        </w:numPr>
        <w:spacing w:after="80"/>
      </w:pPr>
      <w:r>
        <w:rPr>
          <w:rFonts w:ascii="Arial" w:cs="Arial" w:eastAsia="Arial" w:hAnsi="Arial"/>
          <w:color w:val="374151"/>
          <w:sz w:val="22"/>
          <w:szCs w:val="22"/>
        </w:rPr>
        <w:t xml:space="preserve">MSSP partner program: revenue sharing, white-label option, partner portal, co-sell agreements</w:t>
      </w:r>
    </w:p>
    <w:p>
      <w:r>
        <w:br w:type="page"/>
      </w:r>
    </w:p>
    <w:p>
      <w:pPr>
        <w:pStyle w:val="Heading1"/>
        <w:pBdr>
          <w:bottom w:val="single" w:color="1E3A5F" w:sz="4"/>
        </w:pBdr>
        <w:spacing w:after="160" w:before="400"/>
      </w:pPr>
      <w:r>
        <w:rPr>
          <w:rFonts w:ascii="Arial" w:cs="Arial" w:eastAsia="Arial" w:hAnsi="Arial"/>
          <w:b/>
          <w:bCs/>
          <w:color w:val="1E3A5F"/>
          <w:sz w:val="40"/>
          <w:szCs w:val="40"/>
        </w:rPr>
        <w:t xml:space="preserve">9. Technical Risk Matrix</w:t>
      </w:r>
    </w:p>
    <w:p>
      <w:pPr>
        <w:spacing w:after="120"/>
      </w:pPr>
      <w:r>
        <w:rPr>
          <w:rFonts w:ascii="Arial" w:cs="Arial" w:eastAsia="Arial" w:hAnsi="Arial"/>
          <w:sz w:val="22"/>
          <w:szCs w:val="22"/>
        </w:rPr>
        <w:t xml:space="preserve">Probability 1-5 (1=Rare, 5=Almost certain). Severity 1-5 (1=Negligible, 5=Critical). Risk Score = P x S. Scores &gt;= 15 are critical; 9-14 high; &lt; 9 medium/low.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1000"/>
        <w:gridCol w:w="3760"/>
      </w:tblGrid>
      <w:t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w:t>
            </w:r>
          </w:p>
        </w:tc>
        <w:tc>
          <w:tcPr>
            <w:tcW w:type="dxa" w:w="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w:t>
            </w:r>
          </w:p>
        </w:tc>
        <w:tc>
          <w:tcPr>
            <w:tcW w:type="dxa" w:w="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w:t>
            </w:r>
          </w:p>
        </w:tc>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3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Multi-tenancy RLS bypass — cross-org data leak</w:t>
            </w:r>
          </w:p>
        </w:tc>
        <w:tc>
          <w:tcPr>
            <w:tcW w:type="dxa" w:w="900"/>
            <w:tcBorders>
              <w:top w:val="single" w:color="FEF3C7" w:sz="1"/>
              <w:left w:val="single" w:color="FEF3C7" w:sz="1"/>
              <w:bottom w:val="single" w:color="FEF3C7" w:sz="1"/>
              <w:right w:val="single" w:color="FEF3C7"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3</w:t>
            </w:r>
          </w:p>
        </w:tc>
        <w:tc>
          <w:tcPr>
            <w:tcW w:type="dxa" w:w="900"/>
            <w:tcBorders>
              <w:top w:val="single" w:color="FEE2E2" w:sz="1"/>
              <w:left w:val="single" w:color="FEE2E2" w:sz="1"/>
              <w:bottom w:val="single" w:color="FEE2E2" w:sz="1"/>
              <w:right w:val="single" w:color="FEE2E2"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5</w:t>
            </w:r>
          </w:p>
        </w:tc>
        <w:tc>
          <w:tcPr>
            <w:tcW w:type="dxa" w:w="1000"/>
            <w:tcBorders>
              <w:top w:val="single" w:color="FEE2E2" w:sz="1"/>
              <w:left w:val="single" w:color="FEE2E2" w:sz="1"/>
              <w:bottom w:val="single" w:color="FEE2E2" w:sz="1"/>
              <w:right w:val="single" w:color="FEE2E2"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15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Automated cross-tenant test suite in CI; RLS policies unit-tested in isolation; org_id ORM middleware enforces filter on every query; quarterly penetration testing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RabbitMQ message loss on broker restart or crash</w:t>
            </w:r>
          </w:p>
        </w:tc>
        <w:tc>
          <w:tcPr>
            <w:tcW w:type="dxa" w:w="900"/>
            <w:tcBorders>
              <w:top w:val="single" w:color="FEF3C7" w:sz="1"/>
              <w:left w:val="single" w:color="FEF3C7" w:sz="1"/>
              <w:bottom w:val="single" w:color="FEF3C7" w:sz="1"/>
              <w:right w:val="single" w:color="FEF3C7"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3</w:t>
            </w:r>
          </w:p>
        </w:tc>
        <w:tc>
          <w:tcPr>
            <w:tcW w:type="dxa" w:w="900"/>
            <w:tcBorders>
              <w:top w:val="single" w:color="FEE2E2" w:sz="1"/>
              <w:left w:val="single" w:color="FEE2E2" w:sz="1"/>
              <w:bottom w:val="single" w:color="FEE2E2" w:sz="1"/>
              <w:right w:val="single" w:color="FEE2E2"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4</w:t>
            </w:r>
          </w:p>
        </w:tc>
        <w:tc>
          <w:tcPr>
            <w:tcW w:type="dxa" w:w="1000"/>
            <w:tcBorders>
              <w:top w:val="single" w:color="FEF3C7" w:sz="1"/>
              <w:left w:val="single" w:color="FEF3C7" w:sz="1"/>
              <w:bottom w:val="single" w:color="FEF3C7" w:sz="1"/>
              <w:right w:val="single" w:color="FEF3C7"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12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Quorum queues with publisher confirms enabled; DLX for failed messages; Celery task idempotency enforced via Redis deduplication key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ML model drift — false negative surge on novel attacks</w:t>
            </w:r>
          </w:p>
        </w:tc>
        <w:tc>
          <w:tcPr>
            <w:tcW w:type="dxa" w:w="900"/>
            <w:tcBorders>
              <w:top w:val="single" w:color="FEE2E2" w:sz="1"/>
              <w:left w:val="single" w:color="FEE2E2" w:sz="1"/>
              <w:bottom w:val="single" w:color="FEE2E2" w:sz="1"/>
              <w:right w:val="single" w:color="FEE2E2"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4</w:t>
            </w:r>
          </w:p>
        </w:tc>
        <w:tc>
          <w:tcPr>
            <w:tcW w:type="dxa" w:w="900"/>
            <w:tcBorders>
              <w:top w:val="single" w:color="FEF3C7" w:sz="1"/>
              <w:left w:val="single" w:color="FEF3C7" w:sz="1"/>
              <w:bottom w:val="single" w:color="FEF3C7" w:sz="1"/>
              <w:right w:val="single" w:color="FEF3C7"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3</w:t>
            </w:r>
          </w:p>
        </w:tc>
        <w:tc>
          <w:tcPr>
            <w:tcW w:type="dxa" w:w="1000"/>
            <w:tcBorders>
              <w:top w:val="single" w:color="FEF3C7" w:sz="1"/>
              <w:left w:val="single" w:color="FEF3C7" w:sz="1"/>
              <w:bottom w:val="single" w:color="FEF3C7" w:sz="1"/>
              <w:right w:val="single" w:color="FEF3C7"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12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ADWIN drift detector runs continuously; weekly scheduled retrain; analyst feedback loop; heuristic fallback always active as safety net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SIEM integration API breaking changes without notice</w:t>
            </w:r>
          </w:p>
        </w:tc>
        <w:tc>
          <w:tcPr>
            <w:tcW w:type="dxa" w:w="900"/>
            <w:tcBorders>
              <w:top w:val="single" w:color="FEE2E2" w:sz="1"/>
              <w:left w:val="single" w:color="FEE2E2" w:sz="1"/>
              <w:bottom w:val="single" w:color="FEE2E2" w:sz="1"/>
              <w:right w:val="single" w:color="FEE2E2"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4</w:t>
            </w:r>
          </w:p>
        </w:tc>
        <w:tc>
          <w:tcPr>
            <w:tcW w:type="dxa" w:w="900"/>
            <w:tcBorders>
              <w:top w:val="single" w:color="FEF3C7" w:sz="1"/>
              <w:left w:val="single" w:color="FEF3C7" w:sz="1"/>
              <w:bottom w:val="single" w:color="FEF3C7" w:sz="1"/>
              <w:right w:val="single" w:color="FEF3C7"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3</w:t>
            </w:r>
          </w:p>
        </w:tc>
        <w:tc>
          <w:tcPr>
            <w:tcW w:type="dxa" w:w="1000"/>
            <w:tcBorders>
              <w:top w:val="single" w:color="FEF3C7" w:sz="1"/>
              <w:left w:val="single" w:color="FEF3C7" w:sz="1"/>
              <w:bottom w:val="single" w:color="FEF3C7" w:sz="1"/>
              <w:right w:val="single" w:color="FEF3C7"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12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Versioned adapters per SIEM platform; contract tests against staging SIEM instances; CEF/syslog fallback when REST API unavailable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S3 Object Lock misconfiguration — evidence deletable</w:t>
            </w:r>
          </w:p>
        </w:tc>
        <w:tc>
          <w:tcPr>
            <w:tcW w:type="dxa" w:w="900"/>
            <w:tcBorders>
              <w:top w:val="single" w:color="DCFCE7" w:sz="1"/>
              <w:left w:val="single" w:color="DCFCE7" w:sz="1"/>
              <w:bottom w:val="single" w:color="DCFCE7" w:sz="1"/>
              <w:right w:val="single" w:color="DCFCE7"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2</w:t>
            </w:r>
          </w:p>
        </w:tc>
        <w:tc>
          <w:tcPr>
            <w:tcW w:type="dxa" w:w="900"/>
            <w:tcBorders>
              <w:top w:val="single" w:color="FEE2E2" w:sz="1"/>
              <w:left w:val="single" w:color="FEE2E2" w:sz="1"/>
              <w:bottom w:val="single" w:color="FEE2E2" w:sz="1"/>
              <w:right w:val="single" w:color="FEE2E2"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5</w:t>
            </w:r>
          </w:p>
        </w:tc>
        <w:tc>
          <w:tcPr>
            <w:tcW w:type="dxa" w:w="1000"/>
            <w:tcBorders>
              <w:top w:val="single" w:color="FEF3C7" w:sz="1"/>
              <w:left w:val="single" w:color="FEF3C7" w:sz="1"/>
              <w:bottom w:val="single" w:color="FEF3C7" w:sz="1"/>
              <w:right w:val="single" w:color="FEF3C7"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Legal review of Object Lock configuration per jurisdiction; Terraform-managed bucket policy; quarterly restoration drill verifying locked objects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Kubernetes misconfiguration causes production outage</w:t>
            </w:r>
          </w:p>
        </w:tc>
        <w:tc>
          <w:tcPr>
            <w:tcW w:type="dxa" w:w="900"/>
            <w:tcBorders>
              <w:top w:val="single" w:color="FEF3C7" w:sz="1"/>
              <w:left w:val="single" w:color="FEF3C7" w:sz="1"/>
              <w:bottom w:val="single" w:color="FEF3C7" w:sz="1"/>
              <w:right w:val="single" w:color="FEF3C7"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3</w:t>
            </w:r>
          </w:p>
        </w:tc>
        <w:tc>
          <w:tcPr>
            <w:tcW w:type="dxa" w:w="900"/>
            <w:tcBorders>
              <w:top w:val="single" w:color="FEE2E2" w:sz="1"/>
              <w:left w:val="single" w:color="FEE2E2" w:sz="1"/>
              <w:bottom w:val="single" w:color="FEE2E2" w:sz="1"/>
              <w:right w:val="single" w:color="FEE2E2"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4</w:t>
            </w:r>
          </w:p>
        </w:tc>
        <w:tc>
          <w:tcPr>
            <w:tcW w:type="dxa" w:w="1000"/>
            <w:tcBorders>
              <w:top w:val="single" w:color="FEF3C7" w:sz="1"/>
              <w:left w:val="single" w:color="FEF3C7" w:sz="1"/>
              <w:bottom w:val="single" w:color="FEF3C7" w:sz="1"/>
              <w:right w:val="single" w:color="FEF3C7"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12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GitOps via ArgoCD for all manifests; staging mirrors production; PodDisruptionBudget on all Deployments; automated rollback on failed deployment health check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OAuth credentials for third-party bots compromised</w:t>
            </w:r>
          </w:p>
        </w:tc>
        <w:tc>
          <w:tcPr>
            <w:tcW w:type="dxa" w:w="900"/>
            <w:tcBorders>
              <w:top w:val="single" w:color="DCFCE7" w:sz="1"/>
              <w:left w:val="single" w:color="DCFCE7" w:sz="1"/>
              <w:bottom w:val="single" w:color="DCFCE7" w:sz="1"/>
              <w:right w:val="single" w:color="DCFCE7"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2</w:t>
            </w:r>
          </w:p>
        </w:tc>
        <w:tc>
          <w:tcPr>
            <w:tcW w:type="dxa" w:w="900"/>
            <w:tcBorders>
              <w:top w:val="single" w:color="FEE2E2" w:sz="1"/>
              <w:left w:val="single" w:color="FEE2E2" w:sz="1"/>
              <w:bottom w:val="single" w:color="FEE2E2" w:sz="1"/>
              <w:right w:val="single" w:color="FEE2E2"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5</w:t>
            </w:r>
          </w:p>
        </w:tc>
        <w:tc>
          <w:tcPr>
            <w:tcW w:type="dxa" w:w="1000"/>
            <w:tcBorders>
              <w:top w:val="single" w:color="FEF3C7" w:sz="1"/>
              <w:left w:val="single" w:color="FEF3C7" w:sz="1"/>
              <w:bottom w:val="single" w:color="FEF3C7" w:sz="1"/>
              <w:right w:val="single" w:color="FEF3C7"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Credentials in AWS Secrets Manager only; auto-rotated on each release; apps scoped to minimum OAuth scopes; IP allowlist on webhook receiver endpoint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PostgreSQL primary failure during peak incident load</w:t>
            </w:r>
          </w:p>
        </w:tc>
        <w:tc>
          <w:tcPr>
            <w:tcW w:type="dxa" w:w="900"/>
            <w:tcBorders>
              <w:top w:val="single" w:color="DCFCE7" w:sz="1"/>
              <w:left w:val="single" w:color="DCFCE7" w:sz="1"/>
              <w:bottom w:val="single" w:color="DCFCE7" w:sz="1"/>
              <w:right w:val="single" w:color="DCFCE7"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2</w:t>
            </w:r>
          </w:p>
        </w:tc>
        <w:tc>
          <w:tcPr>
            <w:tcW w:type="dxa" w:w="900"/>
            <w:tcBorders>
              <w:top w:val="single" w:color="FEE2E2" w:sz="1"/>
              <w:left w:val="single" w:color="FEE2E2" w:sz="1"/>
              <w:bottom w:val="single" w:color="FEE2E2" w:sz="1"/>
              <w:right w:val="single" w:color="FEE2E2"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4</w:t>
            </w:r>
          </w:p>
        </w:tc>
        <w:tc>
          <w:tcPr>
            <w:tcW w:type="dxa" w:w="1000"/>
            <w:tcBorders>
              <w:top w:val="single" w:color="DCFCE7" w:sz="1"/>
              <w:left w:val="single" w:color="DCFCE7" w:sz="1"/>
              <w:bottom w:val="single" w:color="DCFCE7" w:sz="1"/>
              <w:right w:val="single" w:color="DCFCE7"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8</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Patroni auto-failover (&lt; 30s); PgBouncer connection pooling survives failover; application retry with exponential backoff and circuit breaker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LLM API rate limits or cost overrun (v3 AI features)</w:t>
            </w:r>
          </w:p>
        </w:tc>
        <w:tc>
          <w:tcPr>
            <w:tcW w:type="dxa" w:w="900"/>
            <w:tcBorders>
              <w:top w:val="single" w:color="FEE2E2" w:sz="1"/>
              <w:left w:val="single" w:color="FEE2E2" w:sz="1"/>
              <w:bottom w:val="single" w:color="FEE2E2" w:sz="1"/>
              <w:right w:val="single" w:color="FEE2E2"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4</w:t>
            </w:r>
          </w:p>
        </w:tc>
        <w:tc>
          <w:tcPr>
            <w:tcW w:type="dxa" w:w="900"/>
            <w:tcBorders>
              <w:top w:val="single" w:color="FEF3C7" w:sz="1"/>
              <w:left w:val="single" w:color="FEF3C7" w:sz="1"/>
              <w:bottom w:val="single" w:color="FEF3C7" w:sz="1"/>
              <w:right w:val="single" w:color="FEF3C7"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3</w:t>
            </w:r>
          </w:p>
        </w:tc>
        <w:tc>
          <w:tcPr>
            <w:tcW w:type="dxa" w:w="1000"/>
            <w:tcBorders>
              <w:top w:val="single" w:color="FEF3C7" w:sz="1"/>
              <w:left w:val="single" w:color="FEF3C7" w:sz="1"/>
              <w:bottom w:val="single" w:color="FEF3C7" w:sz="1"/>
              <w:right w:val="single" w:color="FEF3C7"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12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Client-side rate limiting; response caching for identical prompts (TTL=1h); fallback to smaller model; cost budget alerts at 80% threshold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Federated learning gradient inversion attack (v3)</w:t>
            </w:r>
          </w:p>
        </w:tc>
        <w:tc>
          <w:tcPr>
            <w:tcW w:type="dxa" w:w="900"/>
            <w:tcBorders>
              <w:top w:val="single" w:color="DCFCE7" w:sz="1"/>
              <w:left w:val="single" w:color="DCFCE7" w:sz="1"/>
              <w:bottom w:val="single" w:color="DCFCE7" w:sz="1"/>
              <w:right w:val="single" w:color="DCFCE7"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2</w:t>
            </w:r>
          </w:p>
        </w:tc>
        <w:tc>
          <w:tcPr>
            <w:tcW w:type="dxa" w:w="900"/>
            <w:tcBorders>
              <w:top w:val="single" w:color="FEE2E2" w:sz="1"/>
              <w:left w:val="single" w:color="FEE2E2" w:sz="1"/>
              <w:bottom w:val="single" w:color="FEE2E2" w:sz="1"/>
              <w:right w:val="single" w:color="FEE2E2"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5</w:t>
            </w:r>
          </w:p>
        </w:tc>
        <w:tc>
          <w:tcPr>
            <w:tcW w:type="dxa" w:w="1000"/>
            <w:tcBorders>
              <w:top w:val="single" w:color="FEF3C7" w:sz="1"/>
              <w:left w:val="single" w:color="FEF3C7" w:sz="1"/>
              <w:bottom w:val="single" w:color="FEF3C7" w:sz="1"/>
              <w:right w:val="single" w:color="FEF3C7"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Differential privacy (epsilon=1.0); gradient clipping; secure aggregation protocol; independent cryptographic audit before launch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Engineering velocity fails to meet quarterly targets</w:t>
            </w:r>
          </w:p>
        </w:tc>
        <w:tc>
          <w:tcPr>
            <w:tcW w:type="dxa" w:w="900"/>
            <w:tcBorders>
              <w:top w:val="single" w:color="FEF3C7" w:sz="1"/>
              <w:left w:val="single" w:color="FEF3C7" w:sz="1"/>
              <w:bottom w:val="single" w:color="FEF3C7" w:sz="1"/>
              <w:right w:val="single" w:color="FEF3C7"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3</w:t>
            </w:r>
          </w:p>
        </w:tc>
        <w:tc>
          <w:tcPr>
            <w:tcW w:type="dxa" w:w="900"/>
            <w:tcBorders>
              <w:top w:val="single" w:color="FEF3C7" w:sz="1"/>
              <w:left w:val="single" w:color="FEF3C7" w:sz="1"/>
              <w:bottom w:val="single" w:color="FEF3C7" w:sz="1"/>
              <w:right w:val="single" w:color="FEF3C7"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3</w:t>
            </w:r>
          </w:p>
        </w:tc>
        <w:tc>
          <w:tcPr>
            <w:tcW w:type="dxa" w:w="1000"/>
            <w:tcBorders>
              <w:top w:val="single" w:color="FEF3C7" w:sz="1"/>
              <w:left w:val="single" w:color="FEF3C7" w:sz="1"/>
              <w:bottom w:val="single" w:color="FEF3C7" w:sz="1"/>
              <w:right w:val="single" w:color="FEF3C7"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9</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Document-first culture (ADRs for every major decision); feature flags allow partial shipping; 40% test coverage minimum for all new code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Regulatory non-compliance in new markets (v3 expansion)</w:t>
            </w:r>
          </w:p>
        </w:tc>
        <w:tc>
          <w:tcPr>
            <w:tcW w:type="dxa" w:w="900"/>
            <w:tcBorders>
              <w:top w:val="single" w:color="DCFCE7" w:sz="1"/>
              <w:left w:val="single" w:color="DCFCE7" w:sz="1"/>
              <w:bottom w:val="single" w:color="DCFCE7" w:sz="1"/>
              <w:right w:val="single" w:color="DCFCE7"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2</w:t>
            </w:r>
          </w:p>
        </w:tc>
        <w:tc>
          <w:tcPr>
            <w:tcW w:type="dxa" w:w="900"/>
            <w:tcBorders>
              <w:top w:val="single" w:color="FEE2E2" w:sz="1"/>
              <w:left w:val="single" w:color="FEE2E2" w:sz="1"/>
              <w:bottom w:val="single" w:color="FEE2E2" w:sz="1"/>
              <w:right w:val="single" w:color="FEE2E2"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4</w:t>
            </w:r>
          </w:p>
        </w:tc>
        <w:tc>
          <w:tcPr>
            <w:tcW w:type="dxa" w:w="1000"/>
            <w:tcBorders>
              <w:top w:val="single" w:color="DCFCE7" w:sz="1"/>
              <w:left w:val="single" w:color="DCFCE7" w:sz="1"/>
              <w:bottom w:val="single" w:color="DCFCE7" w:sz="1"/>
              <w:right w:val="single" w:color="DCFCE7" w:sz="1"/>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8</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Legal counsel engaged per jurisdiction; GDPR/DPDPA DPA registration timeline planned 6 months before launch; data residency enforced at infrastructure layer</w:t>
            </w:r>
          </w:p>
        </w:tc>
      </w:tr>
    </w:tbl>
    <w:p>
      <w:r>
        <w:br w:type="page"/>
      </w:r>
    </w:p>
    <w:p>
      <w:pPr>
        <w:pStyle w:val="Heading1"/>
        <w:pBdr>
          <w:bottom w:val="single" w:color="1E3A5F" w:sz="4"/>
        </w:pBdr>
        <w:spacing w:after="160" w:before="400"/>
      </w:pPr>
      <w:r>
        <w:rPr>
          <w:rFonts w:ascii="Arial" w:cs="Arial" w:eastAsia="Arial" w:hAnsi="Arial"/>
          <w:b/>
          <w:bCs/>
          <w:color w:val="1E3A5F"/>
          <w:sz w:val="40"/>
          <w:szCs w:val="40"/>
        </w:rPr>
        <w:t xml:space="preserve">10. Architecture Evolution</w:t>
      </w:r>
    </w:p>
    <w:p>
      <w:pPr>
        <w:pStyle w:val="Heading2"/>
        <w:spacing w:after="100" w:before="280"/>
      </w:pPr>
      <w:r>
        <w:rPr>
          <w:rFonts w:ascii="Arial" w:cs="Arial" w:eastAsia="Arial" w:hAnsi="Arial"/>
          <w:b/>
          <w:bCs/>
          <w:color w:val="1E3A5F"/>
          <w:sz w:val="30"/>
          <w:szCs w:val="30"/>
        </w:rPr>
        <w:t xml:space="preserve">10.1 v1 -&gt; v2 Component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v1</w:t>
            </w:r>
          </w:p>
        </w:tc>
        <w:tc>
          <w:tcPr>
            <w:tcW w:type="dxa" w:w="3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API Server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FastAPI (sync-capable paths)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FastAPI (fully async) + organization middleware + rate limit middleware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Task Execution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In-process blocking calls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Celery workers consuming RabbitMQ named queues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Cache / Session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DB-backed (jti table for JWT)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Redis 7 Sentinel HA (O(1) blocklist, rate buckets, prediction cache)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File Storage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PostgreSQL BYTEA (evidence files)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S3 + Object Lock; DB stores metadata and SHA-256 hash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Auth Revocation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DB jti table (SQL query per request)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Redis SET with TTL (single round-trip)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Database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Single PostgreSQL instance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Patroni HA cluster + pgBouncer connection pool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Deployment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Docker Compose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Kubernetes (EKS / GKE) + Helm charts + ArgoCD GitOps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Secrets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.env file committed to repo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AWS Secrets Manager via External Secrets Operator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Observability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structlog + stdout only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OTEL -&gt; Prometheus + Loki + Jaeger + Grafana + Alertmanager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ML Inference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In-process (blocks API worker)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Dedicated lbro-ml-worker Celery queue (async, horizontally scalable)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Tenant Isolation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Project-level only (no orgs)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Organization RLS (default) or schema-per-tenant (Enterprise)</w:t>
            </w:r>
          </w:p>
        </w:tc>
      </w:tr>
    </w:tbl>
    <w:p>
      <w:pPr>
        <w:spacing w:after="80"/>
      </w:pPr>
      <w:r>
        <w:rPr>
          <w:rFonts w:ascii="Arial" w:cs="Arial" w:eastAsia="Arial" w:hAnsi="Arial"/>
          <w:sz w:val="22"/>
          <w:szCs w:val="22"/>
        </w:rPr>
        <w:t xml:space="preserve"/>
      </w:r>
    </w:p>
    <w:p>
      <w:pPr>
        <w:pStyle w:val="Heading2"/>
        <w:spacing w:after="100" w:before="280"/>
      </w:pPr>
      <w:r>
        <w:rPr>
          <w:rFonts w:ascii="Arial" w:cs="Arial" w:eastAsia="Arial" w:hAnsi="Arial"/>
          <w:b/>
          <w:bCs/>
          <w:color w:val="1E3A5F"/>
          <w:sz w:val="30"/>
          <w:szCs w:val="30"/>
        </w:rPr>
        <w:t xml:space="preserve">10.2 Database Migration Sequence</w:t>
      </w:r>
    </w:p>
    <w:p>
      <w:pPr>
        <w:pStyle w:val="ListParagraph"/>
        <w:numPr>
          <w:ilvl w:val="0"/>
          <w:numId w:val="2"/>
        </w:numPr>
        <w:spacing w:after="80"/>
      </w:pPr>
      <w:r>
        <w:rPr>
          <w:rFonts w:ascii="Arial" w:cs="Arial" w:eastAsia="Arial" w:hAnsi="Arial"/>
          <w:color w:val="374151"/>
          <w:sz w:val="22"/>
          <w:szCs w:val="22"/>
        </w:rPr>
        <w:t xml:space="preserve">Migration 010: Add organization_id (nullable) to all tenant tables; backfill with auto-created 'Personal' org per user</w:t>
      </w:r>
    </w:p>
    <w:p>
      <w:pPr>
        <w:pStyle w:val="ListParagraph"/>
        <w:numPr>
          <w:ilvl w:val="0"/>
          <w:numId w:val="2"/>
        </w:numPr>
        <w:spacing w:after="80"/>
      </w:pPr>
      <w:r>
        <w:rPr>
          <w:rFonts w:ascii="Arial" w:cs="Arial" w:eastAsia="Arial" w:hAnsi="Arial"/>
          <w:color w:val="374151"/>
          <w:sz w:val="22"/>
          <w:szCs w:val="22"/>
        </w:rPr>
        <w:t xml:space="preserve">Migration 011: Create organizations, organization_members, teams, team_members, project_teams tables</w:t>
      </w:r>
    </w:p>
    <w:p>
      <w:pPr>
        <w:pStyle w:val="ListParagraph"/>
        <w:numPr>
          <w:ilvl w:val="0"/>
          <w:numId w:val="2"/>
        </w:numPr>
        <w:spacing w:after="80"/>
      </w:pPr>
      <w:r>
        <w:rPr>
          <w:rFonts w:ascii="Arial" w:cs="Arial" w:eastAsia="Arial" w:hAnsi="Arial"/>
          <w:color w:val="374151"/>
          <w:sz w:val="22"/>
          <w:szCs w:val="22"/>
        </w:rPr>
        <w:t xml:space="preserve">Migration 012: Create invitations, api_tokens, webhook_endpoints, webhook_deliveries tables</w:t>
      </w:r>
    </w:p>
    <w:p>
      <w:pPr>
        <w:pStyle w:val="ListParagraph"/>
        <w:numPr>
          <w:ilvl w:val="0"/>
          <w:numId w:val="2"/>
        </w:numPr>
        <w:spacing w:after="80"/>
      </w:pPr>
      <w:r>
        <w:rPr>
          <w:rFonts w:ascii="Arial" w:cs="Arial" w:eastAsia="Arial" w:hAnsi="Arial"/>
          <w:color w:val="374151"/>
          <w:sz w:val="22"/>
          <w:szCs w:val="22"/>
        </w:rPr>
        <w:t xml:space="preserve">Migration 013: Create notification_rules, notification_logs, notification_channels tables</w:t>
      </w:r>
    </w:p>
    <w:p>
      <w:pPr>
        <w:pStyle w:val="ListParagraph"/>
        <w:numPr>
          <w:ilvl w:val="0"/>
          <w:numId w:val="2"/>
        </w:numPr>
        <w:spacing w:after="80"/>
      </w:pPr>
      <w:r>
        <w:rPr>
          <w:rFonts w:ascii="Arial" w:cs="Arial" w:eastAsia="Arial" w:hAnsi="Arial"/>
          <w:color w:val="374151"/>
          <w:sz w:val="22"/>
          <w:szCs w:val="22"/>
        </w:rPr>
        <w:t xml:space="preserve">Migration 014: Create threat_indicators, ml_models, playbooks, playbook_runs tables</w:t>
      </w:r>
    </w:p>
    <w:p>
      <w:pPr>
        <w:pStyle w:val="ListParagraph"/>
        <w:numPr>
          <w:ilvl w:val="0"/>
          <w:numId w:val="2"/>
        </w:numPr>
        <w:spacing w:after="80"/>
      </w:pPr>
      <w:r>
        <w:rPr>
          <w:rFonts w:ascii="Arial" w:cs="Arial" w:eastAsia="Arial" w:hAnsi="Arial"/>
          <w:color w:val="374151"/>
          <w:sz w:val="22"/>
          <w:szCs w:val="22"/>
        </w:rPr>
        <w:t xml:space="preserve">Migration 015: Create compliance_controls, audit_log tables; add GeoIP fields to incidents</w:t>
      </w:r>
    </w:p>
    <w:p>
      <w:pPr>
        <w:pStyle w:val="ListParagraph"/>
        <w:numPr>
          <w:ilvl w:val="0"/>
          <w:numId w:val="2"/>
        </w:numPr>
        <w:spacing w:after="80"/>
      </w:pPr>
      <w:r>
        <w:rPr>
          <w:rFonts w:ascii="Arial" w:cs="Arial" w:eastAsia="Arial" w:hAnsi="Arial"/>
          <w:color w:val="374151"/>
          <w:sz w:val="22"/>
          <w:szCs w:val="22"/>
        </w:rPr>
        <w:t xml:space="preserve">Migration 016: Enable PostgreSQL RLS on all tenant tables; create SELECT / INSERT / UPDATE / DELETE policies</w:t>
      </w:r>
    </w:p>
    <w:p>
      <w:pPr>
        <w:pStyle w:val="ListParagraph"/>
        <w:numPr>
          <w:ilvl w:val="0"/>
          <w:numId w:val="2"/>
        </w:numPr>
        <w:spacing w:after="80"/>
      </w:pPr>
      <w:r>
        <w:rPr>
          <w:rFonts w:ascii="Arial" w:cs="Arial" w:eastAsia="Arial" w:hAnsi="Arial"/>
          <w:color w:val="374151"/>
          <w:sz w:val="22"/>
          <w:szCs w:val="22"/>
        </w:rPr>
        <w:t xml:space="preserve">Migration 017: Add file_s3_key, file_s3_bucket, file_s3_version_id to evidence; deprecate file_data BYTEA</w:t>
      </w:r>
    </w:p>
    <w:p>
      <w:pPr>
        <w:pStyle w:val="ListParagraph"/>
        <w:numPr>
          <w:ilvl w:val="0"/>
          <w:numId w:val="2"/>
        </w:numPr>
        <w:spacing w:after="80"/>
      </w:pPr>
      <w:r>
        <w:rPr>
          <w:rFonts w:ascii="Arial" w:cs="Arial" w:eastAsia="Arial" w:hAnsi="Arial"/>
          <w:color w:val="374151"/>
          <w:sz w:val="22"/>
          <w:szCs w:val="22"/>
        </w:rPr>
        <w:t xml:space="preserve">Migration 018: Drop file_data BYTEA column after 30-day verification window post-S3 migration</w:t>
      </w:r>
    </w:p>
    <w:p>
      <w:r>
        <w:br w:type="page"/>
      </w:r>
    </w:p>
    <w:p>
      <w:pPr>
        <w:pStyle w:val="Heading1"/>
        <w:pBdr>
          <w:bottom w:val="single" w:color="1E3A5F" w:sz="4"/>
        </w:pBdr>
        <w:spacing w:after="160" w:before="400"/>
      </w:pPr>
      <w:r>
        <w:rPr>
          <w:rFonts w:ascii="Arial" w:cs="Arial" w:eastAsia="Arial" w:hAnsi="Arial"/>
          <w:b/>
          <w:bCs/>
          <w:color w:val="1E3A5F"/>
          <w:sz w:val="40"/>
          <w:szCs w:val="40"/>
        </w:rPr>
        <w:t xml:space="preserve">11. Migration Strategy — v1 -&gt; v2</w:t>
      </w:r>
    </w:p>
    <w:p>
      <w:pPr>
        <w:pStyle w:val="Heading2"/>
        <w:spacing w:after="100" w:before="280"/>
      </w:pPr>
      <w:r>
        <w:rPr>
          <w:rFonts w:ascii="Arial" w:cs="Arial" w:eastAsia="Arial" w:hAnsi="Arial"/>
          <w:b/>
          <w:bCs/>
          <w:color w:val="1E3A5F"/>
          <w:sz w:val="30"/>
          <w:szCs w:val="30"/>
        </w:rPr>
        <w:t xml:space="preserve">11.1 Zero-Downtime Principles</w:t>
      </w:r>
    </w:p>
    <w:p>
      <w:pPr>
        <w:pStyle w:val="ListParagraph"/>
        <w:numPr>
          <w:ilvl w:val="0"/>
          <w:numId w:val="2"/>
        </w:numPr>
        <w:spacing w:after="80"/>
      </w:pPr>
      <w:r>
        <w:rPr>
          <w:rFonts w:ascii="Arial" w:cs="Arial" w:eastAsia="Arial" w:hAnsi="Arial"/>
          <w:color w:val="374151"/>
          <w:sz w:val="22"/>
          <w:szCs w:val="22"/>
        </w:rPr>
        <w:t xml:space="preserve">Expand-contract pattern: add new columns as nullable, backfill, then add NOT NULL — never drop and add in same migration</w:t>
      </w:r>
    </w:p>
    <w:p>
      <w:pPr>
        <w:pStyle w:val="ListParagraph"/>
        <w:numPr>
          <w:ilvl w:val="0"/>
          <w:numId w:val="2"/>
        </w:numPr>
        <w:spacing w:after="80"/>
      </w:pPr>
      <w:r>
        <w:rPr>
          <w:rFonts w:ascii="Arial" w:cs="Arial" w:eastAsia="Arial" w:hAnsi="Arial"/>
          <w:color w:val="374151"/>
          <w:sz w:val="22"/>
          <w:szCs w:val="22"/>
        </w:rPr>
        <w:t xml:space="preserve">Feature flags: all v2 features hidden behind org-level feature flags; rolled out per org incrementally</w:t>
      </w:r>
    </w:p>
    <w:p>
      <w:pPr>
        <w:pStyle w:val="ListParagraph"/>
        <w:numPr>
          <w:ilvl w:val="0"/>
          <w:numId w:val="2"/>
        </w:numPr>
        <w:spacing w:after="80"/>
      </w:pPr>
      <w:r>
        <w:rPr>
          <w:rFonts w:ascii="Arial" w:cs="Arial" w:eastAsia="Arial" w:hAnsi="Arial"/>
          <w:color w:val="374151"/>
          <w:sz w:val="22"/>
          <w:szCs w:val="22"/>
        </w:rPr>
        <w:t xml:space="preserve">API versioning: v1 endpoints remain at /api/v1/; v2 endpoints at /api/v2/ — both active simultaneously</w:t>
      </w:r>
    </w:p>
    <w:p>
      <w:pPr>
        <w:pStyle w:val="ListParagraph"/>
        <w:numPr>
          <w:ilvl w:val="0"/>
          <w:numId w:val="2"/>
        </w:numPr>
        <w:spacing w:after="80"/>
      </w:pPr>
      <w:r>
        <w:rPr>
          <w:rFonts w:ascii="Arial" w:cs="Arial" w:eastAsia="Arial" w:hAnsi="Arial"/>
          <w:color w:val="374151"/>
          <w:sz w:val="22"/>
          <w:szCs w:val="22"/>
        </w:rPr>
        <w:t xml:space="preserve">Shadow writes: during transition, writes go to both v1 and v2 schema; reads verified before cutover</w:t>
      </w:r>
    </w:p>
    <w:p>
      <w:pPr>
        <w:pStyle w:val="Heading2"/>
        <w:spacing w:after="100" w:before="280"/>
      </w:pPr>
      <w:r>
        <w:rPr>
          <w:rFonts w:ascii="Arial" w:cs="Arial" w:eastAsia="Arial" w:hAnsi="Arial"/>
          <w:b/>
          <w:bCs/>
          <w:color w:val="1E3A5F"/>
          <w:sz w:val="30"/>
          <w:szCs w:val="30"/>
        </w:rPr>
        <w:t xml:space="preserve">11.2 Data Migration Sequence</w:t>
      </w:r>
    </w:p>
    <w:p>
      <w:pPr>
        <w:spacing w:after="120"/>
      </w:pPr>
      <w:r>
        <w:rPr>
          <w:rFonts w:ascii="Arial" w:cs="Arial" w:eastAsia="Arial" w:hAnsi="Arial"/>
          <w:sz w:val="22"/>
          <w:szCs w:val="22"/>
        </w:rPr>
        <w:t xml:space="preserve">Step 1: Run migration 010 — add organization_id (nullable) to all tables. Backfill with auto-created Personal org per user.</w:t>
      </w:r>
    </w:p>
    <w:p>
      <w:pPr>
        <w:spacing w:after="120"/>
      </w:pPr>
      <w:r>
        <w:rPr>
          <w:rFonts w:ascii="Arial" w:cs="Arial" w:eastAsia="Arial" w:hAnsi="Arial"/>
          <w:sz w:val="22"/>
          <w:szCs w:val="22"/>
        </w:rPr>
        <w:t xml:space="preserve">Step 2: Enable PostgreSQL RLS in LOG-only mode (no enforcement) for 2 weeks. Monitor for unexpected cross-tenant query patterns in Grafana.</w:t>
      </w:r>
    </w:p>
    <w:p>
      <w:pPr>
        <w:spacing w:after="120"/>
      </w:pPr>
      <w:r>
        <w:rPr>
          <w:rFonts w:ascii="Arial" w:cs="Arial" w:eastAsia="Arial" w:hAnsi="Arial"/>
          <w:sz w:val="22"/>
          <w:szCs w:val="22"/>
        </w:rPr>
        <w:t xml:space="preserve">Step 3: Switch RLS from LOG to RESTRICT. Run full cross-tenant integration test suite in staging, then production.</w:t>
      </w:r>
    </w:p>
    <w:p>
      <w:pPr>
        <w:spacing w:after="120"/>
      </w:pPr>
      <w:r>
        <w:rPr>
          <w:rFonts w:ascii="Arial" w:cs="Arial" w:eastAsia="Arial" w:hAnsi="Arial"/>
          <w:sz w:val="22"/>
          <w:szCs w:val="22"/>
        </w:rPr>
        <w:t xml:space="preserve">Step 4: Migrate evidence files from PostgreSQL BYTEA to S3 via background Celery task (no downtime). Verify SHA-256 match before updating file_s3_key. Set file_data = NULL after verification.</w:t>
      </w:r>
    </w:p>
    <w:p>
      <w:pPr>
        <w:spacing w:after="120"/>
      </w:pPr>
      <w:r>
        <w:rPr>
          <w:rFonts w:ascii="Arial" w:cs="Arial" w:eastAsia="Arial" w:hAnsi="Arial"/>
          <w:sz w:val="22"/>
          <w:szCs w:val="22"/>
        </w:rPr>
        <w:t xml:space="preserve">Step 5: Remove file_data BYTEA column after 30-day verification window (migration 018).</w:t>
      </w:r>
    </w:p>
    <w:p>
      <w:pPr>
        <w:pStyle w:val="Heading2"/>
        <w:spacing w:after="100" w:before="280"/>
      </w:pPr>
      <w:r>
        <w:rPr>
          <w:rFonts w:ascii="Arial" w:cs="Arial" w:eastAsia="Arial" w:hAnsi="Arial"/>
          <w:b/>
          <w:bCs/>
          <w:color w:val="1E3A5F"/>
          <w:sz w:val="30"/>
          <w:szCs w:val="30"/>
        </w:rPr>
        <w:t xml:space="preserve">11.3 Customer Migration Path</w:t>
      </w:r>
    </w:p>
    <w:p>
      <w:pPr>
        <w:pStyle w:val="ListParagraph"/>
        <w:numPr>
          <w:ilvl w:val="0"/>
          <w:numId w:val="2"/>
        </w:numPr>
        <w:spacing w:after="80"/>
      </w:pPr>
      <w:r>
        <w:rPr>
          <w:rFonts w:ascii="Arial" w:cs="Arial" w:eastAsia="Arial" w:hAnsi="Arial"/>
          <w:color w:val="374151"/>
          <w:sz w:val="22"/>
          <w:szCs w:val="22"/>
        </w:rPr>
        <w:t xml:space="preserve">Self-hosted v1 customers: lbro upgrade --to v2 CLI command runs Alembic migrations, creates default org, validates RLS policies</w:t>
      </w:r>
    </w:p>
    <w:p>
      <w:pPr>
        <w:pStyle w:val="ListParagraph"/>
        <w:numPr>
          <w:ilvl w:val="0"/>
          <w:numId w:val="2"/>
        </w:numPr>
        <w:spacing w:after="80"/>
      </w:pPr>
      <w:r>
        <w:rPr>
          <w:rFonts w:ascii="Arial" w:cs="Arial" w:eastAsia="Arial" w:hAnsi="Arial"/>
          <w:color w:val="374151"/>
          <w:sz w:val="22"/>
          <w:szCs w:val="22"/>
        </w:rPr>
        <w:t xml:space="preserve">Cloud-hosted: automated migration during maintenance window (typically &lt; 1 hour for orgs under 100K incidents)</w:t>
      </w:r>
    </w:p>
    <w:p>
      <w:pPr>
        <w:pStyle w:val="ListParagraph"/>
        <w:numPr>
          <w:ilvl w:val="0"/>
          <w:numId w:val="2"/>
        </w:numPr>
        <w:spacing w:after="80"/>
      </w:pPr>
      <w:r>
        <w:rPr>
          <w:rFonts w:ascii="Arial" w:cs="Arial" w:eastAsia="Arial" w:hAnsi="Arial"/>
          <w:color w:val="374151"/>
          <w:sz w:val="22"/>
          <w:szCs w:val="22"/>
        </w:rPr>
        <w:t xml:space="preserve">Data export: all v1 data exportable as signed JSON archive before migration; 90-day backup retained post-migration</w:t>
      </w:r>
    </w:p>
    <w:p>
      <w:pPr>
        <w:pStyle w:val="ListParagraph"/>
        <w:numPr>
          <w:ilvl w:val="0"/>
          <w:numId w:val="2"/>
        </w:numPr>
        <w:spacing w:after="80"/>
      </w:pPr>
      <w:r>
        <w:rPr>
          <w:rFonts w:ascii="Arial" w:cs="Arial" w:eastAsia="Arial" w:hAnsi="Arial"/>
          <w:color w:val="374151"/>
          <w:sz w:val="22"/>
          <w:szCs w:val="22"/>
        </w:rPr>
        <w:t xml:space="preserve">Rollback: if migration fails, Alembic downgrade + PostgreSQL point-in-time restore from WAL backup</w:t>
      </w:r>
    </w:p>
    <w:p>
      <w:pPr>
        <w:pStyle w:val="ListParagraph"/>
        <w:numPr>
          <w:ilvl w:val="0"/>
          <w:numId w:val="2"/>
        </w:numPr>
        <w:spacing w:after="80"/>
      </w:pPr>
      <w:r>
        <w:rPr>
          <w:rFonts w:ascii="Arial" w:cs="Arial" w:eastAsia="Arial" w:hAnsi="Arial"/>
          <w:color w:val="374151"/>
          <w:sz w:val="22"/>
          <w:szCs w:val="22"/>
        </w:rPr>
        <w:t xml:space="preserve">Communication: 30-day advance notice email; migration guide published in docs; dedicated support channel during transition</w:t>
      </w:r>
    </w:p>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1"/>
              <w:left w:val="single" w:color="1E3A5F" w:sz="1"/>
              <w:bottom w:val="single" w:color="1E3A5F" w:sz="1"/>
              <w:right w:val="single" w:color="1E3A5F" w:sz="1"/>
            </w:tcBorders>
            <w:shd w:fill="DBEAFE" w:val="clear"/>
            <w:tcMar>
              <w:top w:type="dxa" w:w="200"/>
              <w:left w:type="dxa" w:w="360"/>
              <w:bottom w:type="dxa" w:w="200"/>
              <w:right w:type="dxa" w:w="360"/>
            </w:tcMar>
          </w:tcPr>
          <w:p>
            <w:pPr>
              <w:spacing w:before="80"/>
              <w:jc w:val="center"/>
            </w:pPr>
            <w:r>
              <w:rPr>
                <w:rFonts w:ascii="Arial" w:cs="Arial" w:eastAsia="Arial" w:hAnsi="Arial"/>
                <w:b/>
                <w:bCs/>
                <w:color w:val="1E3A5F"/>
                <w:sz w:val="32"/>
                <w:szCs w:val="32"/>
              </w:rPr>
              <w:t xml:space="preserve">LBRO v2 Engineering Roadmap</w:t>
            </w:r>
          </w:p>
          <w:p>
            <w:pPr>
              <w:spacing w:after="80"/>
            </w:pPr>
            <w:r>
              <w:rPr>
                <w:rFonts w:ascii="Arial" w:cs="Arial" w:eastAsia="Arial" w:hAnsi="Arial"/>
                <w:sz w:val="22"/>
                <w:szCs w:val="22"/>
              </w:rPr>
              <w:t xml:space="preserve"/>
            </w:r>
          </w:p>
          <w:p>
            <w:pPr>
              <w:jc w:val="center"/>
            </w:pPr>
            <w:r>
              <w:rPr>
                <w:rFonts w:ascii="Arial" w:cs="Arial" w:eastAsia="Arial" w:hAnsi="Arial"/>
                <w:b/>
                <w:bCs/>
                <w:color w:val="6B7280"/>
                <w:sz w:val="22"/>
                <w:szCs w:val="22"/>
              </w:rPr>
              <w:t xml:space="preserve">28 features  |  4 quarters  |  252 person-weeks  |  8-engineer team</w:t>
            </w:r>
          </w:p>
          <w:p>
            <w:pPr>
              <w:jc w:val="center"/>
            </w:pPr>
            <w:r>
              <w:rPr>
                <w:rFonts w:ascii="Arial" w:cs="Arial" w:eastAsia="Arial" w:hAnsi="Arial"/>
                <w:color w:val="166534"/>
                <w:sz w:val="22"/>
                <w:szCs w:val="22"/>
              </w:rPr>
              <w:t xml:space="preserve">Target ARR at Month 12: $800K-$4M  |  SOC2 Type II  |  99.9% SLA</w:t>
            </w:r>
          </w:p>
          <w:p>
            <w:pPr>
              <w:spacing w:after="80"/>
            </w:pPr>
            <w:r>
              <w:rPr>
                <w:rFonts w:ascii="Arial" w:cs="Arial" w:eastAsia="Arial" w:hAnsi="Arial"/>
                <w:sz w:val="22"/>
                <w:szCs w:val="22"/>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3"/>
      </w:pBdr>
    </w:pPr>
    <w:r>
      <w:rPr>
        <w:rFonts w:ascii="Arial" w:cs="Arial" w:eastAsia="Arial" w:hAnsi="Arial"/>
        <w:color w:val="6B7280"/>
        <w:sz w:val="18"/>
        <w:szCs w:val="18"/>
      </w:rPr>
      <w:t xml:space="preserve">LBRO v2 Engineering Roadmap  |  Confidential  |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E3A5F"/>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2026-07-13T08:59:02.839Z</dcterms:created>
  <dcterms:modified xsi:type="dcterms:W3CDTF">2026-07-13T08:59:02.840Z</dcterms:modified>
</cp:coreProperties>
</file>

<file path=docProps/custom.xml><?xml version="1.0" encoding="utf-8"?>
<Properties xmlns="http://schemas.openxmlformats.org/officeDocument/2006/custom-properties" xmlns:vt="http://schemas.openxmlformats.org/officeDocument/2006/docPropsVTypes"/>
</file>