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5B7C99"/>
          <w:sz w:val="18"/>
          <w:szCs w:val="18"/>
        </w:rPr>
        <w:t xml:space="preserve">CNC / RCI</w:t>
      </w:r>
    </w:p>
    <w:p>
      <w:pPr>
        <w:spacing w:after="80" w:before="0"/>
      </w:pPr>
      <w:r>
        <w:rPr>
          <w:rFonts w:ascii="Arial" w:cs="Arial" w:eastAsia="Arial" w:hAnsi="Arial"/>
          <w:b/>
          <w:bCs/>
          <w:color w:val="1F4E79"/>
          <w:sz w:val="40"/>
          <w:szCs w:val="40"/>
        </w:rPr>
        <w:t xml:space="preserve">RCI acceptance test report</w:t>
      </w:r>
    </w:p>
    <w:p>
      <w:pPr>
        <w:spacing w:after="160" w:before="0"/>
      </w:pPr>
      <w:r>
        <w:rPr>
          <w:rFonts w:ascii="Arial" w:cs="Arial" w:eastAsia="Arial" w:hAnsi="Arial"/>
          <w:b w:val="false"/>
          <w:bCs w:val="false"/>
          <w:i/>
          <w:iCs/>
          <w:color w:val="555555"/>
          <w:sz w:val="20"/>
          <w:szCs w:val="20"/>
        </w:rPr>
        <w:t xml:space="preserve">Milestone M5. Scripted acceptance run, fault injection, and latency on this laptop.</w:t>
      </w:r>
    </w:p>
    <w:p>
      <w:pPr>
        <w:spacing w:after="20" w:before="20"/>
      </w:pPr>
      <w:r>
        <w:rPr>
          <w:rFonts w:ascii="Arial" w:cs="Arial" w:eastAsia="Arial" w:hAnsi="Arial"/>
          <w:b/>
          <w:bCs/>
          <w:color w:val="1F4E79"/>
          <w:sz w:val="21"/>
          <w:szCs w:val="21"/>
        </w:rPr>
        <w:t xml:space="preserve">Date:  </w:t>
      </w:r>
      <w:r>
        <w:rPr>
          <w:rFonts w:ascii="Arial" w:cs="Arial" w:eastAsia="Arial" w:hAnsi="Arial"/>
          <w:color w:val="222222"/>
          <w:sz w:val="21"/>
          <w:szCs w:val="21"/>
        </w:rPr>
        <w:t xml:space="preserve">12 October 2026</w:t>
      </w:r>
    </w:p>
    <w:p>
      <w:pPr>
        <w:spacing w:after="20" w:before="20"/>
      </w:pPr>
      <w:r>
        <w:rPr>
          <w:rFonts w:ascii="Arial" w:cs="Arial" w:eastAsia="Arial" w:hAnsi="Arial"/>
          <w:b/>
          <w:bCs/>
          <w:color w:val="1F4E79"/>
          <w:sz w:val="21"/>
          <w:szCs w:val="21"/>
        </w:rPr>
        <w:t xml:space="preserve">Commit:  </w:t>
      </w:r>
      <w:r>
        <w:rPr>
          <w:rFonts w:ascii="Arial" w:cs="Arial" w:eastAsia="Arial" w:hAnsi="Arial"/>
          <w:color w:val="222222"/>
          <w:sz w:val="21"/>
          <w:szCs w:val="21"/>
        </w:rPr>
        <w:t xml:space="preserve">473de7eba09a61e18146b85136ebfca9de6b8536</w:t>
      </w:r>
    </w:p>
    <w:p>
      <w:pPr>
        <w:spacing w:after="20" w:before="20"/>
      </w:pPr>
      <w:r>
        <w:rPr>
          <w:rFonts w:ascii="Arial" w:cs="Arial" w:eastAsia="Arial" w:hAnsi="Arial"/>
          <w:b/>
          <w:bCs/>
          <w:color w:val="1F4E79"/>
          <w:sz w:val="21"/>
          <w:szCs w:val="21"/>
        </w:rPr>
        <w:t xml:space="preserve">Worktree:  </w:t>
      </w:r>
      <w:r>
        <w:rPr>
          <w:rFonts w:ascii="Arial" w:cs="Arial" w:eastAsia="Arial" w:hAnsi="Arial"/>
          <w:color w:val="222222"/>
          <w:sz w:val="21"/>
          <w:szCs w:val="21"/>
        </w:rPr>
        <w:t xml:space="preserve">dirty. The machine record counted 59 paths at the start of the run. This report and the Word file bring the count to 61.</w:t>
      </w:r>
    </w:p>
    <w:p>
      <w:pPr>
        <w:spacing w:after="20" w:before="20"/>
      </w:pPr>
      <w:r>
        <w:rPr>
          <w:rFonts w:ascii="Arial" w:cs="Arial" w:eastAsia="Arial" w:hAnsi="Arial"/>
          <w:b/>
          <w:bCs/>
          <w:color w:val="1F4E79"/>
          <w:sz w:val="21"/>
          <w:szCs w:val="21"/>
        </w:rPr>
        <w:t xml:space="preserve">Branch:  </w:t>
      </w:r>
      <w:r>
        <w:rPr>
          <w:rFonts w:ascii="Arial" w:cs="Arial" w:eastAsia="Arial" w:hAnsi="Arial"/>
          <w:color w:val="222222"/>
          <w:sz w:val="21"/>
          <w:szCs w:val="21"/>
        </w:rPr>
        <w:t xml:space="preserve">main, ahead of origin/main by 2</w:t>
      </w:r>
    </w:p>
    <w:p>
      <w:pPr>
        <w:spacing w:after="20" w:before="20"/>
      </w:pPr>
      <w:r>
        <w:rPr>
          <w:rFonts w:ascii="Arial" w:cs="Arial" w:eastAsia="Arial" w:hAnsi="Arial"/>
          <w:b/>
          <w:bCs/>
          <w:color w:val="1F4E79"/>
          <w:sz w:val="21"/>
          <w:szCs w:val="21"/>
        </w:rPr>
        <w:t xml:space="preserve">Machine record:  </w:t>
      </w:r>
      <w:r>
        <w:rPr>
          <w:rFonts w:ascii="Arial" w:cs="Arial" w:eastAsia="Arial" w:hAnsi="Arial"/>
          <w:color w:val="222222"/>
          <w:sz w:val="21"/>
          <w:szCs w:val="21"/>
        </w:rPr>
        <w:t xml:space="preserve">docs/acceptance_m5.json</w:t>
      </w:r>
    </w:p>
    <w:p>
      <w:pPr>
        <w:pStyle w:val="Heading1"/>
        <w:pBdr>
          <w:bottom w:val="single" w:color="1F4E79" w:sz="8" w:space="1"/>
        </w:pBdr>
        <w:spacing w:after="120" w:before="280"/>
      </w:pPr>
      <w:r>
        <w:rPr>
          <w:rFonts w:ascii="Arial" w:cs="Arial" w:eastAsia="Arial" w:hAnsi="Arial"/>
          <w:b/>
          <w:bCs/>
          <w:color w:val="1F4E79"/>
          <w:sz w:val="32"/>
          <w:szCs w:val="32"/>
        </w:rPr>
        <w:t xml:space="preserve">Result</w:t>
      </w:r>
    </w:p>
    <w:p>
      <w:pPr>
        <w:spacing w:after="80" w:before="0"/>
      </w:pPr>
      <w:r>
        <w:rPr>
          <w:rFonts w:ascii="Arial" w:cs="Arial" w:eastAsia="Arial" w:hAnsi="Arial"/>
          <w:b w:val="false"/>
          <w:bCs w:val="false"/>
          <w:i w:val="false"/>
          <w:iCs w:val="false"/>
          <w:color w:val="222222"/>
          <w:sz w:val="21"/>
          <w:szCs w:val="21"/>
        </w:rPr>
        <w:t xml:space="preserve">Criteria 10.1, 10.2, 10.3, and 10.4 passed on one scripted run of scripts/acceptance_run.py. Wall clock was 13 minutes 38 seconds (817.8 s), including an 11-minute cruise and a measured 30.0-second NATS outage.</w:t>
      </w:r>
    </w:p>
    <w:p>
      <w:pPr>
        <w:spacing w:after="80" w:before="0"/>
      </w:pPr>
      <w:r>
        <w:rPr>
          <w:rFonts w:ascii="Arial" w:cs="Arial" w:eastAsia="Arial" w:hAnsi="Arial"/>
          <w:b w:val="false"/>
          <w:bCs w:val="false"/>
          <w:i w:val="false"/>
          <w:iCs w:val="false"/>
          <w:color w:val="222222"/>
          <w:sz w:val="21"/>
          <w:szCs w:val="21"/>
        </w:rPr>
        <w:t xml:space="preserve">The fault story diverged from the expected column in three places. A command issued while NATS was down stayed pending after the broker accepted connections again. Stopping ugv-02 set the asset offline and, after 32 seconds, the friendly track lost, with no Alert. With Redis stopped, the dashboard kept drawing the fleet from the operator entity store. Postgres was not on that path.</w:t>
      </w:r>
    </w:p>
    <w:p>
      <w:pPr>
        <w:spacing w:after="80" w:before="0"/>
      </w:pPr>
      <w:r>
        <w:rPr>
          <w:rFonts w:ascii="Arial" w:cs="Arial" w:eastAsia="Arial" w:hAnsi="Arial"/>
          <w:b w:val="false"/>
          <w:bCs w:val="false"/>
          <w:i w:val="false"/>
          <w:iCs w:val="false"/>
          <w:color w:val="222222"/>
          <w:sz w:val="21"/>
          <w:szCs w:val="21"/>
        </w:rPr>
        <w:t xml:space="preserve">Telemetry p95 on this laptop was 1,395 ms. The acceptance target for this run is telemetry p95 under 500 ms. That target was missed. GOTO and alert times are reported below. The repository documents do not state a numeric target for those two.</w:t>
      </w:r>
    </w:p>
    <w:p>
      <w:pPr>
        <w:pStyle w:val="Heading1"/>
        <w:pBdr>
          <w:bottom w:val="single" w:color="1F4E79" w:sz="8" w:space="1"/>
        </w:pBdr>
        <w:spacing w:after="120" w:before="280"/>
      </w:pPr>
      <w:r>
        <w:rPr>
          <w:rFonts w:ascii="Arial" w:cs="Arial" w:eastAsia="Arial" w:hAnsi="Arial"/>
          <w:b/>
          <w:bCs/>
          <w:color w:val="1F4E79"/>
          <w:sz w:val="32"/>
          <w:szCs w:val="32"/>
        </w:rPr>
        <w:t xml:space="preserve">Environment</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2400"/>
        <w:gridCol w:w="8112"/>
      </w:tblGrid>
      <w:tr>
        <w:trPr>
          <w:cantSplit/>
          <w:tblHeader/>
        </w:trPr>
        <w:tc>
          <w:tcPr>
            <w:tcW w:type="dxa" w:w="2400"/>
            <w:tcBorders>
              <w:top w:val="single" w:color="CCCCCC" w:sz="4"/>
              <w:left w:val="single" w:color="CCCCCC" w:sz="4"/>
              <w:bottom w:val="single" w:color="CCCCCC" w:sz="4"/>
              <w:right w:val="single" w:color="CCCCCC" w:sz="4"/>
            </w:tcBorders>
            <w:shd w:fill="1F4E79" w:val="clear"/>
            <w:tcMar>
              <w:top w:type="dxa" w:w="60"/>
              <w:left w:type="dxa" w:w="80"/>
              <w:bottom w:type="dxa" w:w="60"/>
              <w:right w:type="dxa" w:w="80"/>
            </w:tcMar>
            <w:vAlign w:val="top"/>
          </w:tcPr>
          <w:p>
            <w:pPr>
              <w:spacing w:after="0" w:before="0"/>
            </w:pPr>
            <w:r>
              <w:rPr>
                <w:rFonts w:ascii="Arial" w:cs="Arial" w:eastAsia="Arial" w:hAnsi="Arial"/>
                <w:b/>
                <w:bCs/>
                <w:color w:val="FFFFFF"/>
                <w:sz w:val="16"/>
                <w:szCs w:val="16"/>
              </w:rPr>
              <w:t xml:space="preserve">Item</w:t>
            </w:r>
          </w:p>
        </w:tc>
        <w:tc>
          <w:tcPr>
            <w:tcW w:type="dxa" w:w="8112"/>
            <w:tcBorders>
              <w:top w:val="single" w:color="CCCCCC" w:sz="4"/>
              <w:left w:val="single" w:color="CCCCCC" w:sz="4"/>
              <w:bottom w:val="single" w:color="CCCCCC" w:sz="4"/>
              <w:right w:val="single" w:color="CCCCCC" w:sz="4"/>
            </w:tcBorders>
            <w:shd w:fill="1F4E79" w:val="clear"/>
            <w:tcMar>
              <w:top w:type="dxa" w:w="60"/>
              <w:left w:type="dxa" w:w="80"/>
              <w:bottom w:type="dxa" w:w="60"/>
              <w:right w:type="dxa" w:w="80"/>
            </w:tcMar>
            <w:vAlign w:val="top"/>
          </w:tcPr>
          <w:p>
            <w:pPr>
              <w:spacing w:after="0" w:before="0"/>
            </w:pPr>
            <w:r>
              <w:rPr>
                <w:rFonts w:ascii="Arial" w:cs="Arial" w:eastAsia="Arial" w:hAnsi="Arial"/>
                <w:b/>
                <w:bCs/>
                <w:color w:val="FFFFFF"/>
                <w:sz w:val="16"/>
                <w:szCs w:val="16"/>
              </w:rPr>
              <w:t xml:space="preserve">Value</w:t>
            </w:r>
          </w:p>
        </w:tc>
      </w:tr>
      <w:tr>
        <w:trPr>
          <w:cantSplit/>
          <w:tblHeader w:val="off"/>
        </w:trP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Where measured</w:t>
            </w:r>
          </w:p>
        </w:tc>
        <w:tc>
          <w:tcPr>
            <w:tcW w:type="dxa" w:w="8112"/>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This laptop, in-process sim. Field radios and SITL were not in the path.</w:t>
            </w:r>
          </w:p>
        </w:tc>
      </w:tr>
      <w:tr>
        <w:trPr>
          <w:cantSplit/>
          <w:tblHeader w:val="off"/>
        </w:trPr>
        <w:tc>
          <w:tcPr>
            <w:tcW w:type="dxa" w:w="2400"/>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OS</w:t>
            </w:r>
          </w:p>
        </w:tc>
        <w:tc>
          <w:tcPr>
            <w:tcW w:type="dxa" w:w="8112"/>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macOS 26.7.1, x86_64</w:t>
            </w:r>
          </w:p>
        </w:tc>
      </w:tr>
      <w:tr>
        <w:trPr>
          <w:cantSplit/>
          <w:tblHeader w:val="off"/>
        </w:trP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Python</w:t>
            </w:r>
          </w:p>
        </w:tc>
        <w:tc>
          <w:tcPr>
            <w:tcW w:type="dxa" w:w="8112"/>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3.13.0</w:t>
            </w:r>
          </w:p>
        </w:tc>
      </w:tr>
      <w:tr>
        <w:trPr>
          <w:cantSplit/>
          <w:tblHeader w:val="off"/>
        </w:trPr>
        <w:tc>
          <w:tcPr>
            <w:tcW w:type="dxa" w:w="2400"/>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FastAPI / Uvicorn</w:t>
            </w:r>
          </w:p>
        </w:tc>
        <w:tc>
          <w:tcPr>
            <w:tcW w:type="dxa" w:w="8112"/>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0.141.1 / 0.54.0</w:t>
            </w:r>
          </w:p>
        </w:tc>
      </w:tr>
      <w:tr>
        <w:trPr>
          <w:cantSplit/>
          <w:tblHeader w:val="off"/>
        </w:trP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Pydantic</w:t>
            </w:r>
          </w:p>
        </w:tc>
        <w:tc>
          <w:tcPr>
            <w:tcW w:type="dxa" w:w="8112"/>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2.13.5</w:t>
            </w:r>
          </w:p>
        </w:tc>
      </w:tr>
      <w:tr>
        <w:trPr>
          <w:cantSplit/>
          <w:tblHeader w:val="off"/>
        </w:trPr>
        <w:tc>
          <w:tcPr>
            <w:tcW w:type="dxa" w:w="2400"/>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nats-py</w:t>
            </w:r>
          </w:p>
        </w:tc>
        <w:tc>
          <w:tcPr>
            <w:tcW w:type="dxa" w:w="8112"/>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2.16.0</w:t>
            </w:r>
          </w:p>
        </w:tc>
      </w:tr>
      <w:tr>
        <w:trPr>
          <w:cantSplit/>
          <w:tblHeader w:val="off"/>
        </w:trP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Redis client / server</w:t>
            </w:r>
          </w:p>
        </w:tc>
        <w:tc>
          <w:tcPr>
            <w:tcW w:type="dxa" w:w="8112"/>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client 8.1.0, container redis:7 (cnc-redis)</w:t>
            </w:r>
          </w:p>
        </w:tc>
      </w:tr>
      <w:tr>
        <w:trPr>
          <w:cantSplit/>
          <w:tblHeader w:val="off"/>
        </w:trPr>
        <w:tc>
          <w:tcPr>
            <w:tcW w:type="dxa" w:w="2400"/>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DuckDB</w:t>
            </w:r>
          </w:p>
        </w:tc>
        <w:tc>
          <w:tcPr>
            <w:tcW w:type="dxa" w:w="8112"/>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1.5.5</w:t>
            </w:r>
          </w:p>
        </w:tc>
      </w:tr>
      <w:tr>
        <w:trPr>
          <w:cantSplit/>
          <w:tblHeader w:val="off"/>
        </w:trP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httpx / websockets</w:t>
            </w:r>
          </w:p>
        </w:tc>
        <w:tc>
          <w:tcPr>
            <w:tcW w:type="dxa" w:w="8112"/>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0.28.1 / 16.1.1</w:t>
            </w:r>
          </w:p>
        </w:tc>
      </w:tr>
      <w:tr>
        <w:trPr>
          <w:cantSplit/>
          <w:tblHeader w:val="off"/>
        </w:trPr>
        <w:tc>
          <w:tcPr>
            <w:tcW w:type="dxa" w:w="2400"/>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SQLAlchemy / psycopg</w:t>
            </w:r>
          </w:p>
        </w:tc>
        <w:tc>
          <w:tcPr>
            <w:tcW w:type="dxa" w:w="8112"/>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2.1.1 / 3.3.6</w:t>
            </w:r>
          </w:p>
        </w:tc>
      </w:tr>
      <w:tr>
        <w:trPr>
          <w:cantSplit/>
          <w:tblHeader w:val="off"/>
        </w:trP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NATS</w:t>
            </w:r>
          </w:p>
        </w:tc>
        <w:tc>
          <w:tcPr>
            <w:tcW w:type="dxa" w:w="8112"/>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nats:2.10 container cnc-nats-1, JetStream, port 4222</w:t>
            </w:r>
          </w:p>
        </w:tc>
      </w:tr>
      <w:tr>
        <w:trPr>
          <w:cantSplit/>
          <w:tblHeader w:val="off"/>
        </w:trPr>
        <w:tc>
          <w:tcPr>
            <w:tcW w:type="dxa" w:w="2400"/>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Postgres</w:t>
            </w:r>
          </w:p>
        </w:tc>
        <w:tc>
          <w:tcPr>
            <w:tcW w:type="dxa" w:w="8112"/>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timescale/timescaledb-ha:pg16 container cnc-timescale-1, left running. The operator process did not use it.</w:t>
            </w:r>
          </w:p>
        </w:tc>
      </w:tr>
      <w:tr>
        <w:trPr>
          <w:cantSplit/>
          <w:tblHeader w:val="off"/>
        </w:trP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Process settings</w:t>
            </w:r>
          </w:p>
        </w:tc>
        <w:tc>
          <w:tcPr>
            <w:tcW w:type="dxa" w:w="8112"/>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CNC_BUS=nats, STORAGE_BACKEND unset (duckdb)</w:t>
            </w:r>
          </w:p>
        </w:tc>
      </w:tr>
      <w:tr>
        <w:trPr>
          <w:cantSplit/>
          <w:tblHeader w:val="off"/>
        </w:trPr>
        <w:tc>
          <w:tcPr>
            <w:tcW w:type="dxa" w:w="2400"/>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Acceptance files</w:t>
            </w:r>
          </w:p>
        </w:tc>
        <w:tc>
          <w:tcPr>
            <w:tcW w:type="dxa" w:w="8112"/>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/tmp/cnc-m5/cnc.duckdb, /tmp/cnc-m5/cnc.db</w:t>
            </w:r>
          </w:p>
        </w:tc>
      </w:tr>
      <w:tr>
        <w:trPr>
          <w:cantSplit/>
          <w:tblHeader w:val="off"/>
        </w:trP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Dashboard under test</w:t>
            </w:r>
          </w:p>
        </w:tc>
        <w:tc>
          <w:tcPr>
            <w:tcW w:type="dxa" w:w="8112"/>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http://127.0.0.1:8765/ HTTP 200, one /ws/cop client</w:t>
            </w:r>
          </w:p>
        </w:tc>
      </w:tr>
    </w:tbl>
    <w:p>
      <w:pPr>
        <w:spacing w:after="80" w:before="120"/>
      </w:pPr>
      <w:r>
        <w:rPr>
          <w:rFonts w:ascii="Arial" w:cs="Arial" w:eastAsia="Arial" w:hAnsi="Arial"/>
          <w:b w:val="false"/>
          <w:bCs w:val="false"/>
          <w:i w:val="false"/>
          <w:iCs w:val="false"/>
          <w:color w:val="222222"/>
          <w:sz w:val="21"/>
          <w:szCs w:val="21"/>
        </w:rPr>
        <w:t xml:space="preserve">CNC_DUCKDB_PATH and CNC_SNAPSHOT_PATH select those files. Unset, the process still uses data/cnc.duckdb and data/cnc.db. The acceptance process used the temporary paths so it would not take the file lock of another operator process.</w:t>
      </w:r>
    </w:p>
    <w:p>
      <w:pPr>
        <w:spacing w:after="80" w:before="0"/>
      </w:pPr>
      <w:r>
        <w:rPr>
          <w:rFonts w:ascii="Arial" w:cs="Arial" w:eastAsia="Arial" w:hAnsi="Arial"/>
          <w:b w:val="false"/>
          <w:bCs w:val="false"/>
          <w:i w:val="false"/>
          <w:iCs w:val="false"/>
          <w:color w:val="222222"/>
          <w:sz w:val="21"/>
          <w:szCs w:val="21"/>
        </w:rPr>
        <w:t xml:space="preserve">A uvicorn --reload server was already listening on port 8000 with CNC_BUS=nats. It shared the JetStream durable consumers and the Redis keys with this run, so it was stopped for the measurement and started again afterward.</w:t>
      </w:r>
    </w:p>
    <w:p>
      <w:pPr>
        <w:pStyle w:val="Heading1"/>
        <w:pBdr>
          <w:bottom w:val="single" w:color="1F4E79" w:sz="8" w:space="1"/>
        </w:pBdr>
        <w:spacing w:after="120" w:before="280"/>
      </w:pPr>
      <w:r>
        <w:rPr>
          <w:rFonts w:ascii="Arial" w:cs="Arial" w:eastAsia="Arial" w:hAnsi="Arial"/>
          <w:b/>
          <w:bCs/>
          <w:color w:val="1F4E79"/>
          <w:sz w:val="32"/>
          <w:szCs w:val="32"/>
        </w:rPr>
        <w:t xml:space="preserve">Scenario</w:t>
      </w:r>
    </w:p>
    <w:p>
      <w:pPr>
        <w:spacing w:after="80" w:before="0"/>
      </w:pPr>
      <w:r>
        <w:rPr>
          <w:rFonts w:ascii="Arial" w:cs="Arial" w:eastAsia="Arial" w:hAnsi="Arial"/>
          <w:b w:val="false"/>
          <w:bCs w:val="false"/>
          <w:i w:val="false"/>
          <w:iCs w:val="false"/>
          <w:color w:val="222222"/>
          <w:sz w:val="21"/>
          <w:szCs w:val="21"/>
        </w:rPr>
        <w:t xml:space="preserve">scripts/acceptance_run.py started the operator app on port 8765 with the demo sim fleet:</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1600"/>
        <w:gridCol w:w="5112"/>
      </w:tblGrid>
      <w:tr>
        <w:trPr>
          <w:cantSplit/>
          <w:tblHeader/>
        </w:trPr>
        <w:tc>
          <w:tcPr>
            <w:tcW w:type="dxa" w:w="1600"/>
            <w:tcBorders>
              <w:top w:val="single" w:color="CCCCCC" w:sz="4"/>
              <w:left w:val="single" w:color="CCCCCC" w:sz="4"/>
              <w:bottom w:val="single" w:color="CCCCCC" w:sz="4"/>
              <w:right w:val="single" w:color="CCCCCC" w:sz="4"/>
            </w:tcBorders>
            <w:shd w:fill="1F4E79" w:val="clear"/>
            <w:tcMar>
              <w:top w:type="dxa" w:w="60"/>
              <w:left w:type="dxa" w:w="80"/>
              <w:bottom w:type="dxa" w:w="60"/>
              <w:right w:type="dxa" w:w="80"/>
            </w:tcMar>
            <w:vAlign w:val="top"/>
          </w:tcPr>
          <w:p>
            <w:pPr>
              <w:spacing w:after="0" w:before="0"/>
            </w:pPr>
            <w:r>
              <w:rPr>
                <w:rFonts w:ascii="Arial" w:cs="Arial" w:eastAsia="Arial" w:hAnsi="Arial"/>
                <w:b/>
                <w:bCs/>
                <w:color w:val="FFFFFF"/>
                <w:sz w:val="16"/>
                <w:szCs w:val="16"/>
              </w:rPr>
              <w:t xml:space="preserve">Id</w:t>
            </w:r>
          </w:p>
        </w:tc>
        <w:tc>
          <w:tcPr>
            <w:tcW w:type="dxa" w:w="2200"/>
            <w:tcBorders>
              <w:top w:val="single" w:color="CCCCCC" w:sz="4"/>
              <w:left w:val="single" w:color="CCCCCC" w:sz="4"/>
              <w:bottom w:val="single" w:color="CCCCCC" w:sz="4"/>
              <w:right w:val="single" w:color="CCCCCC" w:sz="4"/>
            </w:tcBorders>
            <w:shd w:fill="1F4E79" w:val="clear"/>
            <w:tcMar>
              <w:top w:type="dxa" w:w="60"/>
              <w:left w:type="dxa" w:w="80"/>
              <w:bottom w:type="dxa" w:w="60"/>
              <w:right w:type="dxa" w:w="80"/>
            </w:tcMar>
            <w:vAlign w:val="top"/>
          </w:tcPr>
          <w:p>
            <w:pPr>
              <w:spacing w:after="0" w:before="0"/>
            </w:pPr>
            <w:r>
              <w:rPr>
                <w:rFonts w:ascii="Arial" w:cs="Arial" w:eastAsia="Arial" w:hAnsi="Arial"/>
                <w:b/>
                <w:bCs/>
                <w:color w:val="FFFFFF"/>
                <w:sz w:val="16"/>
                <w:szCs w:val="16"/>
              </w:rPr>
              <w:t xml:space="preserve">Name</w:t>
            </w:r>
          </w:p>
        </w:tc>
        <w:tc>
          <w:tcPr>
            <w:tcW w:type="dxa" w:w="1600"/>
            <w:tcBorders>
              <w:top w:val="single" w:color="CCCCCC" w:sz="4"/>
              <w:left w:val="single" w:color="CCCCCC" w:sz="4"/>
              <w:bottom w:val="single" w:color="CCCCCC" w:sz="4"/>
              <w:right w:val="single" w:color="CCCCCC" w:sz="4"/>
            </w:tcBorders>
            <w:shd w:fill="1F4E79" w:val="clear"/>
            <w:tcMar>
              <w:top w:type="dxa" w:w="60"/>
              <w:left w:type="dxa" w:w="80"/>
              <w:bottom w:type="dxa" w:w="60"/>
              <w:right w:type="dxa" w:w="80"/>
            </w:tcMar>
            <w:vAlign w:val="top"/>
          </w:tcPr>
          <w:p>
            <w:pPr>
              <w:spacing w:after="0" w:before="0"/>
            </w:pPr>
            <w:r>
              <w:rPr>
                <w:rFonts w:ascii="Arial" w:cs="Arial" w:eastAsia="Arial" w:hAnsi="Arial"/>
                <w:b/>
                <w:bCs/>
                <w:color w:val="FFFFFF"/>
                <w:sz w:val="16"/>
                <w:szCs w:val="16"/>
              </w:rPr>
              <w:t xml:space="preserve">Type</w:t>
            </w:r>
          </w:p>
        </w:tc>
        <w:tc>
          <w:tcPr>
            <w:tcW w:type="dxa" w:w="5112"/>
            <w:tcBorders>
              <w:top w:val="single" w:color="CCCCCC" w:sz="4"/>
              <w:left w:val="single" w:color="CCCCCC" w:sz="4"/>
              <w:bottom w:val="single" w:color="CCCCCC" w:sz="4"/>
              <w:right w:val="single" w:color="CCCCCC" w:sz="4"/>
            </w:tcBorders>
            <w:shd w:fill="1F4E79" w:val="clear"/>
            <w:tcMar>
              <w:top w:type="dxa" w:w="60"/>
              <w:left w:type="dxa" w:w="80"/>
              <w:bottom w:type="dxa" w:w="60"/>
              <w:right w:type="dxa" w:w="80"/>
            </w:tcMar>
            <w:vAlign w:val="top"/>
          </w:tcPr>
          <w:p>
            <w:pPr>
              <w:spacing w:after="0" w:before="0"/>
            </w:pPr>
            <w:r>
              <w:rPr>
                <w:rFonts w:ascii="Arial" w:cs="Arial" w:eastAsia="Arial" w:hAnsi="Arial"/>
                <w:b/>
                <w:bCs/>
                <w:color w:val="FFFFFF"/>
                <w:sz w:val="16"/>
                <w:szCs w:val="16"/>
              </w:rPr>
              <w:t xml:space="preserve">Home</w:t>
            </w:r>
          </w:p>
        </w:tc>
      </w:tr>
      <w:tr>
        <w:trPr>
          <w:cantSplit/>
          <w:tblHeader w:val="off"/>
        </w:trPr>
        <w:tc>
          <w:tcPr>
            <w:tcW w:type="dxa" w:w="160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uav-01</w:t>
            </w:r>
          </w:p>
        </w:tc>
        <w:tc>
          <w:tcPr>
            <w:tcW w:type="dxa" w:w="220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Eagle-1</w:t>
            </w:r>
          </w:p>
        </w:tc>
        <w:tc>
          <w:tcPr>
            <w:tcW w:type="dxa" w:w="160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UAV</w:t>
            </w:r>
          </w:p>
        </w:tc>
        <w:tc>
          <w:tcPr>
            <w:tcW w:type="dxa" w:w="5112"/>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17.3850, 78.4867</w:t>
            </w:r>
          </w:p>
        </w:tc>
      </w:tr>
      <w:tr>
        <w:trPr>
          <w:cantSplit/>
          <w:tblHeader w:val="off"/>
        </w:trPr>
        <w:tc>
          <w:tcPr>
            <w:tcW w:type="dxa" w:w="1600"/>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uav-02</w:t>
            </w:r>
          </w:p>
        </w:tc>
        <w:tc>
          <w:tcPr>
            <w:tcW w:type="dxa" w:w="2200"/>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Eagle-2</w:t>
            </w:r>
          </w:p>
        </w:tc>
        <w:tc>
          <w:tcPr>
            <w:tcW w:type="dxa" w:w="1600"/>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UAV</w:t>
            </w:r>
          </w:p>
        </w:tc>
        <w:tc>
          <w:tcPr>
            <w:tcW w:type="dxa" w:w="5112"/>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17.3900, 78.4900</w:t>
            </w:r>
          </w:p>
        </w:tc>
      </w:tr>
      <w:tr>
        <w:trPr>
          <w:cantSplit/>
          <w:tblHeader w:val="off"/>
        </w:trPr>
        <w:tc>
          <w:tcPr>
            <w:tcW w:type="dxa" w:w="160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ugv-01</w:t>
            </w:r>
          </w:p>
        </w:tc>
        <w:tc>
          <w:tcPr>
            <w:tcW w:type="dxa" w:w="220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Wolf-1</w:t>
            </w:r>
          </w:p>
        </w:tc>
        <w:tc>
          <w:tcPr>
            <w:tcW w:type="dxa" w:w="160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UGV</w:t>
            </w:r>
          </w:p>
        </w:tc>
        <w:tc>
          <w:tcPr>
            <w:tcW w:type="dxa" w:w="5112"/>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17.3820, 78.4840</w:t>
            </w:r>
          </w:p>
        </w:tc>
      </w:tr>
      <w:tr>
        <w:trPr>
          <w:cantSplit/>
          <w:tblHeader w:val="off"/>
        </w:trPr>
        <w:tc>
          <w:tcPr>
            <w:tcW w:type="dxa" w:w="1600"/>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ugv-02</w:t>
            </w:r>
          </w:p>
        </w:tc>
        <w:tc>
          <w:tcPr>
            <w:tcW w:type="dxa" w:w="2200"/>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Wolf-2</w:t>
            </w:r>
          </w:p>
        </w:tc>
        <w:tc>
          <w:tcPr>
            <w:tcW w:type="dxa" w:w="1600"/>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UGV</w:t>
            </w:r>
          </w:p>
        </w:tc>
        <w:tc>
          <w:tcPr>
            <w:tcW w:type="dxa" w:w="5112"/>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17.3880, 78.4920</w:t>
            </w:r>
          </w:p>
        </w:tc>
      </w:tr>
    </w:tbl>
    <w:p>
      <w:pPr>
        <w:spacing w:after="80" w:before="120"/>
      </w:pPr>
      <w:r>
        <w:rPr>
          <w:rFonts w:ascii="Arial" w:cs="Arial" w:eastAsia="Arial" w:hAnsi="Arial"/>
          <w:b w:val="false"/>
          <w:bCs w:val="false"/>
          <w:i w:val="false"/>
          <w:iCs w:val="false"/>
          <w:color w:val="222222"/>
          <w:sz w:val="21"/>
          <w:szCs w:val="21"/>
        </w:rPr>
        <w:t xml:space="preserve">One HTTP client and one WebSocket client drove the dashboard. The script issued GOTO and HOLD through POST /assets/{id}/command, created mission c7989d00-2039-48e5-856d-e80e27f2fdb1 (M5 acceptance), and started it through the HTTP mission routes. A UAV detection created track det-b45262d6, and POST /tracks/{id}/task-nearest-ugv tasked the nearest UGV. The cruise issued a GOTO about every 20 seconds and armed a temporary keep-out around a UAV about every 45 seconds, then removed that zone.</w:t>
      </w:r>
    </w:p>
    <w:p>
      <w:pPr>
        <w:spacing w:after="80" w:before="0"/>
      </w:pPr>
      <w:r>
        <w:rPr>
          <w:rFonts w:ascii="Arial" w:cs="Arial" w:eastAsia="Arial" w:hAnsi="Arial"/>
          <w:b w:val="false"/>
          <w:bCs w:val="false"/>
          <w:i w:val="false"/>
          <w:iCs w:val="false"/>
          <w:color w:val="222222"/>
          <w:sz w:val="21"/>
          <w:szCs w:val="21"/>
        </w:rPr>
        <w:t xml:space="preserve">Faults followed: stop cnc-nats-1 for 30 seconds, stop the ugv-02 adapter and wait 32 seconds, stop cnc-redis, then restart the operator process. Both containers were running at the end (action left after they had been started again).</w:t>
      </w:r>
    </w:p>
    <w:p>
      <w:pPr>
        <w:pStyle w:val="Heading1"/>
        <w:pBdr>
          <w:bottom w:val="single" w:color="1F4E79" w:sz="8" w:space="1"/>
        </w:pBdr>
        <w:spacing w:after="120" w:before="280"/>
      </w:pPr>
      <w:r>
        <w:rPr>
          <w:rFonts w:ascii="Arial" w:cs="Arial" w:eastAsia="Arial" w:hAnsi="Arial"/>
          <w:b/>
          <w:bCs/>
          <w:color w:val="1F4E79"/>
          <w:sz w:val="32"/>
          <w:szCs w:val="32"/>
        </w:rPr>
        <w:t xml:space="preserve">Criteria</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2500"/>
        <w:gridCol w:w="900"/>
        <w:gridCol w:w="7112"/>
      </w:tblGrid>
      <w:tr>
        <w:trPr>
          <w:cantSplit/>
          <w:tblHeader/>
        </w:trPr>
        <w:tc>
          <w:tcPr>
            <w:tcW w:type="dxa" w:w="2500"/>
            <w:tcBorders>
              <w:top w:val="single" w:color="CCCCCC" w:sz="4"/>
              <w:left w:val="single" w:color="CCCCCC" w:sz="4"/>
              <w:bottom w:val="single" w:color="CCCCCC" w:sz="4"/>
              <w:right w:val="single" w:color="CCCCCC" w:sz="4"/>
            </w:tcBorders>
            <w:shd w:fill="1F4E79" w:val="clear"/>
            <w:tcMar>
              <w:top w:type="dxa" w:w="60"/>
              <w:left w:type="dxa" w:w="80"/>
              <w:bottom w:type="dxa" w:w="60"/>
              <w:right w:type="dxa" w:w="80"/>
            </w:tcMar>
            <w:vAlign w:val="top"/>
          </w:tcPr>
          <w:p>
            <w:pPr>
              <w:spacing w:after="0" w:before="0"/>
            </w:pPr>
            <w:r>
              <w:rPr>
                <w:rFonts w:ascii="Arial" w:cs="Arial" w:eastAsia="Arial" w:hAnsi="Arial"/>
                <w:b/>
                <w:bCs/>
                <w:color w:val="FFFFFF"/>
                <w:sz w:val="16"/>
                <w:szCs w:val="16"/>
              </w:rPr>
              <w:t xml:space="preserve">Id</w:t>
            </w:r>
          </w:p>
        </w:tc>
        <w:tc>
          <w:tcPr>
            <w:tcW w:type="dxa" w:w="900"/>
            <w:tcBorders>
              <w:top w:val="single" w:color="CCCCCC" w:sz="4"/>
              <w:left w:val="single" w:color="CCCCCC" w:sz="4"/>
              <w:bottom w:val="single" w:color="CCCCCC" w:sz="4"/>
              <w:right w:val="single" w:color="CCCCCC" w:sz="4"/>
            </w:tcBorders>
            <w:shd w:fill="1F4E79" w:val="clear"/>
            <w:tcMar>
              <w:top w:type="dxa" w:w="60"/>
              <w:left w:type="dxa" w:w="80"/>
              <w:bottom w:type="dxa" w:w="60"/>
              <w:right w:type="dxa" w:w="80"/>
            </w:tcMar>
            <w:vAlign w:val="top"/>
          </w:tcPr>
          <w:p>
            <w:pPr>
              <w:spacing w:after="0" w:before="0"/>
            </w:pPr>
            <w:r>
              <w:rPr>
                <w:rFonts w:ascii="Arial" w:cs="Arial" w:eastAsia="Arial" w:hAnsi="Arial"/>
                <w:b/>
                <w:bCs/>
                <w:color w:val="FFFFFF"/>
                <w:sz w:val="16"/>
                <w:szCs w:val="16"/>
              </w:rPr>
              <w:t xml:space="preserve">Result</w:t>
            </w:r>
          </w:p>
        </w:tc>
        <w:tc>
          <w:tcPr>
            <w:tcW w:type="dxa" w:w="7112"/>
            <w:tcBorders>
              <w:top w:val="single" w:color="CCCCCC" w:sz="4"/>
              <w:left w:val="single" w:color="CCCCCC" w:sz="4"/>
              <w:bottom w:val="single" w:color="CCCCCC" w:sz="4"/>
              <w:right w:val="single" w:color="CCCCCC" w:sz="4"/>
            </w:tcBorders>
            <w:shd w:fill="1F4E79" w:val="clear"/>
            <w:tcMar>
              <w:top w:type="dxa" w:w="60"/>
              <w:left w:type="dxa" w:w="80"/>
              <w:bottom w:type="dxa" w:w="60"/>
              <w:right w:type="dxa" w:w="80"/>
            </w:tcMar>
            <w:vAlign w:val="top"/>
          </w:tcPr>
          <w:p>
            <w:pPr>
              <w:spacing w:after="0" w:before="0"/>
            </w:pPr>
            <w:r>
              <w:rPr>
                <w:rFonts w:ascii="Arial" w:cs="Arial" w:eastAsia="Arial" w:hAnsi="Arial"/>
                <w:b/>
                <w:bCs/>
                <w:color w:val="FFFFFF"/>
                <w:sz w:val="16"/>
                <w:szCs w:val="16"/>
              </w:rPr>
              <w:t xml:space="preserve">Evidence</w:t>
            </w:r>
          </w:p>
        </w:tc>
      </w:tr>
      <w:tr>
        <w:trPr>
          <w:cantSplit/>
          <w:tblHeader w:val="off"/>
        </w:trPr>
        <w:tc>
          <w:tcPr>
            <w:tcW w:type="dxa" w:w="250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10.1 Integration of 2 UAV + 2 UGV</w:t>
            </w:r>
          </w:p>
        </w:tc>
        <w:tc>
          <w:tcPr>
            <w:tcW w:type="dxa" w:w="90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Pass</w:t>
            </w:r>
          </w:p>
        </w:tc>
        <w:tc>
          <w:tcPr>
            <w:tcW w:type="dxa" w:w="7112"/>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Four distinct ids and homes on one socket. Movement after the opening GOTO: uav-01 180.5 m, uav-02 182.1 m, ugv-01 60.0 m, ugv-02 61.7 m.</w:t>
            </w:r>
          </w:p>
        </w:tc>
      </w:tr>
      <w:tr>
        <w:trPr>
          <w:cantSplit/>
          <w:tblHeader w:val="off"/>
        </w:trPr>
        <w:tc>
          <w:tcPr>
            <w:tcW w:type="dxa" w:w="2500"/>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10.2 Information exchange among assets</w:t>
            </w:r>
          </w:p>
        </w:tc>
        <w:tc>
          <w:tcPr>
            <w:tcW w:type="dxa" w:w="900"/>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Pass</w:t>
            </w:r>
          </w:p>
        </w:tc>
        <w:tc>
          <w:tcPr>
            <w:tcW w:type="dxa" w:w="7112"/>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POST /assets/uav-01/detect returned track det-b45262d6 (source uav-01, 17.3865, 78.4875). Task command ed11e8b1-98ec-476a-8525-8ae83bab5738 went to ugv-02, status sent, actor operator:op-1, issued 2026-10-12T18:51:22.183246Z. DuckDB events 538b0724 (goto (pending), stored 2026-10-13 00:21:22.183394) and 5545dad9 (ack goto (ok), stored 2026-10-13 00:21:22.4614). OperatorAction task-nearest-ugv links the same command id. Idempotency recall is one success.</w:t>
            </w:r>
          </w:p>
        </w:tc>
      </w:tr>
      <w:tr>
        <w:trPr>
          <w:cantSplit/>
          <w:tblHeader w:val="off"/>
        </w:trPr>
        <w:tc>
          <w:tcPr>
            <w:tcW w:type="dxa" w:w="250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10.3 C2 through the platform</w:t>
            </w:r>
          </w:p>
        </w:tc>
        <w:tc>
          <w:tcPr>
            <w:tcW w:type="dxa" w:w="90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Pass</w:t>
            </w:r>
          </w:p>
        </w:tc>
        <w:tc>
          <w:tcPr>
            <w:tcW w:type="dxa" w:w="7112"/>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HOLD f9217303-c37d-4b3f-8c3d-5dc699334a35 on uav-02, status sent, ack true, actor operator:op-1, issued 2026-10-12T18:51:22.711561Z. Events cf95272a and a39e6957 (ack hold (ok)). Mission c7989d00-2039-48e5-856d-e80e27f2fdb1 created and started over HTTP, status active at 2026-10-12T18:51:23.121858Z. Mission-start GOTOs are issued with actor mission. Operator HTTP commands use operator:op-1.</w:t>
            </w:r>
          </w:p>
        </w:tc>
      </w:tr>
      <w:tr>
        <w:trPr>
          <w:cantSplit/>
          <w:tblHeader w:val="off"/>
        </w:trPr>
        <w:tc>
          <w:tcPr>
            <w:tcW w:type="dxa" w:w="2500"/>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10.4 One operator, one dashboard</w:t>
            </w:r>
          </w:p>
        </w:tc>
        <w:tc>
          <w:tcPr>
            <w:tcW w:type="dxa" w:w="900"/>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Pass</w:t>
            </w:r>
          </w:p>
        </w:tc>
        <w:tc>
          <w:tcPr>
            <w:tcW w:type="dxa" w:w="7112"/>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GET / returned 200 and referenced dashboard.js. One socket subscriber. The frame carried assets, tracks, alerts, missions, recent commands, and zones for all four fleet ids. Operator-issued commands in the run shared actor operator:op-1.</w:t>
            </w:r>
          </w:p>
        </w:tc>
      </w:tr>
    </w:tbl>
    <w:p>
      <w:pPr>
        <w:spacing w:after="80" w:before="120"/>
      </w:pPr>
      <w:r>
        <w:rPr>
          <w:rFonts w:ascii="Arial" w:cs="Arial" w:eastAsia="Arial" w:hAnsi="Arial"/>
          <w:b w:val="false"/>
          <w:bCs w:val="false"/>
          <w:i w:val="false"/>
          <w:iCs w:val="false"/>
          <w:color w:val="222222"/>
          <w:sz w:val="21"/>
          <w:szCs w:val="21"/>
        </w:rPr>
        <w:t xml:space="preserve">DuckDB event timestamps above are the naive values stored in /tmp/cnc-m5/cnc.duckdb. They match the UTC issued_at values shifted to the laptop's local zone (UTC+5:30).</w:t>
      </w:r>
    </w:p>
    <w:p>
      <w:pPr>
        <w:pStyle w:val="Heading1"/>
        <w:pBdr>
          <w:bottom w:val="single" w:color="1F4E79" w:sz="8" w:space="1"/>
        </w:pBdr>
        <w:spacing w:after="120" w:before="280"/>
      </w:pPr>
      <w:r>
        <w:rPr>
          <w:rFonts w:ascii="Arial" w:cs="Arial" w:eastAsia="Arial" w:hAnsi="Arial"/>
          <w:b/>
          <w:bCs/>
          <w:color w:val="1F4E79"/>
          <w:sz w:val="32"/>
          <w:szCs w:val="32"/>
        </w:rPr>
        <w:t xml:space="preserve">Faults</w:t>
      </w:r>
    </w:p>
    <w:p>
      <w:pPr>
        <w:spacing w:after="80" w:before="0"/>
      </w:pPr>
      <w:r>
        <w:rPr>
          <w:rFonts w:ascii="Arial" w:cs="Arial" w:eastAsia="Arial" w:hAnsi="Arial"/>
          <w:b w:val="false"/>
          <w:bCs w:val="false"/>
          <w:i w:val="false"/>
          <w:iCs w:val="false"/>
          <w:color w:val="222222"/>
          <w:sz w:val="21"/>
          <w:szCs w:val="21"/>
        </w:rPr>
        <w:t xml:space="preserve">Expected text is the acceptance brief. The actual column is what this run recorded.</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1900"/>
        <w:gridCol w:w="2800"/>
        <w:gridCol w:w="5812"/>
      </w:tblGrid>
      <w:tr>
        <w:trPr>
          <w:cantSplit/>
          <w:tblHeader/>
        </w:trPr>
        <w:tc>
          <w:tcPr>
            <w:tcW w:type="dxa" w:w="1900"/>
            <w:tcBorders>
              <w:top w:val="single" w:color="CCCCCC" w:sz="4"/>
              <w:left w:val="single" w:color="CCCCCC" w:sz="4"/>
              <w:bottom w:val="single" w:color="CCCCCC" w:sz="4"/>
              <w:right w:val="single" w:color="CCCCCC" w:sz="4"/>
            </w:tcBorders>
            <w:shd w:fill="1F4E79" w:val="clear"/>
            <w:tcMar>
              <w:top w:type="dxa" w:w="60"/>
              <w:left w:type="dxa" w:w="80"/>
              <w:bottom w:type="dxa" w:w="60"/>
              <w:right w:type="dxa" w:w="80"/>
            </w:tcMar>
            <w:vAlign w:val="top"/>
          </w:tcPr>
          <w:p>
            <w:pPr>
              <w:spacing w:after="0" w:before="0"/>
            </w:pPr>
            <w:r>
              <w:rPr>
                <w:rFonts w:ascii="Arial" w:cs="Arial" w:eastAsia="Arial" w:hAnsi="Arial"/>
                <w:b/>
                <w:bCs/>
                <w:color w:val="FFFFFF"/>
                <w:sz w:val="16"/>
                <w:szCs w:val="16"/>
              </w:rPr>
              <w:t xml:space="preserve">Fault</w:t>
            </w:r>
          </w:p>
        </w:tc>
        <w:tc>
          <w:tcPr>
            <w:tcW w:type="dxa" w:w="2800"/>
            <w:tcBorders>
              <w:top w:val="single" w:color="CCCCCC" w:sz="4"/>
              <w:left w:val="single" w:color="CCCCCC" w:sz="4"/>
              <w:bottom w:val="single" w:color="CCCCCC" w:sz="4"/>
              <w:right w:val="single" w:color="CCCCCC" w:sz="4"/>
            </w:tcBorders>
            <w:shd w:fill="1F4E79" w:val="clear"/>
            <w:tcMar>
              <w:top w:type="dxa" w:w="60"/>
              <w:left w:type="dxa" w:w="80"/>
              <w:bottom w:type="dxa" w:w="60"/>
              <w:right w:type="dxa" w:w="80"/>
            </w:tcMar>
            <w:vAlign w:val="top"/>
          </w:tcPr>
          <w:p>
            <w:pPr>
              <w:spacing w:after="0" w:before="0"/>
            </w:pPr>
            <w:r>
              <w:rPr>
                <w:rFonts w:ascii="Arial" w:cs="Arial" w:eastAsia="Arial" w:hAnsi="Arial"/>
                <w:b/>
                <w:bCs/>
                <w:color w:val="FFFFFF"/>
                <w:sz w:val="16"/>
                <w:szCs w:val="16"/>
              </w:rPr>
              <w:t xml:space="preserve">Expected</w:t>
            </w:r>
          </w:p>
        </w:tc>
        <w:tc>
          <w:tcPr>
            <w:tcW w:type="dxa" w:w="5812"/>
            <w:tcBorders>
              <w:top w:val="single" w:color="CCCCCC" w:sz="4"/>
              <w:left w:val="single" w:color="CCCCCC" w:sz="4"/>
              <w:bottom w:val="single" w:color="CCCCCC" w:sz="4"/>
              <w:right w:val="single" w:color="CCCCCC" w:sz="4"/>
            </w:tcBorders>
            <w:shd w:fill="1F4E79" w:val="clear"/>
            <w:tcMar>
              <w:top w:type="dxa" w:w="60"/>
              <w:left w:type="dxa" w:w="80"/>
              <w:bottom w:type="dxa" w:w="60"/>
              <w:right w:type="dxa" w:w="80"/>
            </w:tcMar>
            <w:vAlign w:val="top"/>
          </w:tcPr>
          <w:p>
            <w:pPr>
              <w:spacing w:after="0" w:before="0"/>
            </w:pPr>
            <w:r>
              <w:rPr>
                <w:rFonts w:ascii="Arial" w:cs="Arial" w:eastAsia="Arial" w:hAnsi="Arial"/>
                <w:b/>
                <w:bCs/>
                <w:color w:val="FFFFFF"/>
                <w:sz w:val="16"/>
                <w:szCs w:val="16"/>
              </w:rPr>
              <w:t xml:space="preserve">Actual</w:t>
            </w:r>
          </w:p>
        </w:tc>
      </w:tr>
      <w:tr>
        <w:trPr>
          <w:cantSplit/>
          <w:tblHeader w:val="off"/>
        </w:trPr>
        <w:tc>
          <w:tcPr>
            <w:tcW w:type="dxa" w:w="190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NATS stopped for 30 s</w:t>
            </w:r>
          </w:p>
        </w:tc>
        <w:tc>
          <w:tcPr>
            <w:tcW w:type="dxa" w:w="280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The command stays pending, then is delivered once when NATS returns.</w:t>
            </w:r>
          </w:p>
        </w:tc>
        <w:tc>
          <w:tcPr>
            <w:tcW w:type="dxa" w:w="5812"/>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docker stop cnc-nats-1 held the broker down for 30.0 s. GOTO 7520bbb3-9290-4530-b08e-ae045866c822 on ugv-01 (17.42, 78.52) returned HTTP 200 in 94 ms with status pending and result {queued: true}, actor operator:op-1, issued 2026-10-12T19:02:25.220205Z. Outbox 01a1317e-a2c4-7fd9-98fb-c099865049e1 on cnc.command.ugv-01 stayed unpublished (attempts 1). Port 4222 accepted connections after docker start. For the following 45 s the same process left the command pending, published_at null, and recall empty. The live JetStream client was not replaced.</w:t>
            </w:r>
          </w:p>
        </w:tc>
      </w:tr>
      <w:tr>
        <w:trPr>
          <w:cantSplit/>
          <w:tblHeader w:val="off"/>
        </w:trPr>
        <w:tc>
          <w:tcPr>
            <w:tcW w:type="dxa" w:w="1900"/>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One vehicle adapter stopped</w:t>
            </w:r>
          </w:p>
        </w:tc>
        <w:tc>
          <w:tcPr>
            <w:tcW w:type="dxa" w:w="2800"/>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The vehicle is marked lost and an Alert is raised.</w:t>
            </w:r>
          </w:p>
        </w:tc>
        <w:tc>
          <w:tcPr>
            <w:tcW w:type="dxa" w:w="5812"/>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ugv-02 (Wolf-2) was offline immediately. Friendly track 3ac2be98-e79d-4cb9-a33f-54b523691060 was active at that instant and lost after 32 s. Alerts whose text contains lost: 0. New alerts after the stop: 0.</w:t>
            </w:r>
          </w:p>
        </w:tc>
      </w:tr>
      <w:tr>
        <w:trPr>
          <w:cantSplit/>
          <w:tblHeader w:val="off"/>
        </w:trPr>
        <w:tc>
          <w:tcPr>
            <w:tcW w:type="dxa" w:w="190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Redis unreachable</w:t>
            </w:r>
          </w:p>
        </w:tc>
        <w:tc>
          <w:tcPr>
            <w:tcW w:type="dxa" w:w="280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The common operating picture falls back to Postgres.</w:t>
            </w:r>
          </w:p>
        </w:tc>
        <w:tc>
          <w:tcPr>
            <w:tcW w:type="dxa" w:w="5812"/>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docker stop cnc-redis. A following HOLD returned HTTP 200. The socket frame still contained all four fleet assets, and uav-01 had moved about 169 m from the pre-outage fix. redis_down was true. After docker start cnc-redis and another HOLD, redis_down was still true and the frame still contained the four assets. The operator picture is the entity store (memory plus the SQLite snapshot). cop_frame does not query Postgres. STORAGE_BACKEND for the process was duckdb. The HOLD itself stayed pending, because the NATS client from the earlier outage was still closed.</w:t>
            </w:r>
          </w:p>
        </w:tc>
      </w:tr>
      <w:tr>
        <w:trPr>
          <w:cantSplit/>
          <w:tblHeader w:val="off"/>
        </w:trPr>
        <w:tc>
          <w:tcPr>
            <w:tcW w:type="dxa" w:w="1900"/>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Process restart</w:t>
            </w:r>
          </w:p>
        </w:tc>
        <w:tc>
          <w:tcPr>
            <w:tcW w:type="dxa" w:w="2800"/>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Operator state comes back.</w:t>
            </w:r>
          </w:p>
        </w:tc>
        <w:tc>
          <w:tcPr>
            <w:tcW w:type="dxa" w:w="5812"/>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The new process loaded uav-01, uav-02, ugv-01, ugv-02 and mission c7989d00-2039-48e5-856d-e80e27f2fdb1. Five prior tracks were present. 22 of the prior alert ids were present (the snapshot load keeps 30). Recent commands after restart: none. The in-memory event ring held 3 new rows. DuckDB still had 92 event rows, including hold events cf95272a / a39e6957 and task events 538b0724 / 5545dad9. The queued GOTO outbox row was published at stored time 2026-10-13 00:34:37.514065 (attempts 3). One ack event followed: ack goto (ok) at 2026-10-13 00:34:38.618726. Recall for ugv-01 + 7520bbb3-9290-4530-b08e-ae045866c822 is a single success. The sim target was 17.42, 78.52, alt 0.</w:t>
            </w:r>
          </w:p>
        </w:tc>
      </w:tr>
    </w:tbl>
    <w:p>
      <w:pPr>
        <w:pStyle w:val="Heading1"/>
        <w:pBdr>
          <w:bottom w:val="single" w:color="1F4E79" w:sz="8" w:space="1"/>
        </w:pBdr>
        <w:spacing w:after="120" w:before="280"/>
      </w:pPr>
      <w:r>
        <w:rPr>
          <w:rFonts w:ascii="Arial" w:cs="Arial" w:eastAsia="Arial" w:hAnsi="Arial"/>
          <w:b/>
          <w:bCs/>
          <w:color w:val="1F4E79"/>
          <w:sz w:val="32"/>
          <w:szCs w:val="32"/>
        </w:rPr>
        <w:t xml:space="preserve">Latency</w:t>
      </w:r>
    </w:p>
    <w:p>
      <w:pPr>
        <w:spacing w:after="80" w:before="0"/>
      </w:pPr>
      <w:r>
        <w:rPr>
          <w:rFonts w:ascii="Arial" w:cs="Arial" w:eastAsia="Arial" w:hAnsi="Arial"/>
          <w:b w:val="false"/>
          <w:bCs w:val="false"/>
          <w:i w:val="false"/>
          <w:iCs w:val="false"/>
          <w:color w:val="222222"/>
          <w:sz w:val="21"/>
          <w:szCs w:val="21"/>
        </w:rPr>
        <w:t xml:space="preserve">Samples were taken on this laptop while NATS and Redis were up, before the fault windows. Percentiles use linear interpolation on the sorted samples (the same convention as NumPy's default percentile). Times are milliseconds, rounded to the nearest millisecond.</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3512"/>
        <w:gridCol w:w="900"/>
        <w:gridCol w:w="900"/>
        <w:gridCol w:w="1000"/>
        <w:gridCol w:w="1000"/>
        <w:gridCol w:w="3200"/>
      </w:tblGrid>
      <w:tr>
        <w:trPr>
          <w:cantSplit/>
          <w:tblHeader/>
        </w:trPr>
        <w:tc>
          <w:tcPr>
            <w:tcW w:type="dxa" w:w="3512"/>
            <w:tcBorders>
              <w:top w:val="single" w:color="CCCCCC" w:sz="4"/>
              <w:left w:val="single" w:color="CCCCCC" w:sz="4"/>
              <w:bottom w:val="single" w:color="CCCCCC" w:sz="4"/>
              <w:right w:val="single" w:color="CCCCCC" w:sz="4"/>
            </w:tcBorders>
            <w:shd w:fill="1F4E79" w:val="clear"/>
            <w:tcMar>
              <w:top w:type="dxa" w:w="60"/>
              <w:left w:type="dxa" w:w="80"/>
              <w:bottom w:type="dxa" w:w="60"/>
              <w:right w:type="dxa" w:w="80"/>
            </w:tcMar>
            <w:vAlign w:val="top"/>
          </w:tcPr>
          <w:p>
            <w:pPr>
              <w:spacing w:after="0" w:before="0"/>
            </w:pPr>
            <w:r>
              <w:rPr>
                <w:rFonts w:ascii="Arial" w:cs="Arial" w:eastAsia="Arial" w:hAnsi="Arial"/>
                <w:b/>
                <w:bCs/>
                <w:color w:val="FFFFFF"/>
                <w:sz w:val="16"/>
                <w:szCs w:val="16"/>
              </w:rPr>
              <w:t xml:space="preserve">Path</w:t>
            </w:r>
          </w:p>
        </w:tc>
        <w:tc>
          <w:tcPr>
            <w:tcW w:type="dxa" w:w="900"/>
            <w:tcBorders>
              <w:top w:val="single" w:color="CCCCCC" w:sz="4"/>
              <w:left w:val="single" w:color="CCCCCC" w:sz="4"/>
              <w:bottom w:val="single" w:color="CCCCCC" w:sz="4"/>
              <w:right w:val="single" w:color="CCCCCC" w:sz="4"/>
            </w:tcBorders>
            <w:shd w:fill="1F4E79" w:val="clear"/>
            <w:tcMar>
              <w:top w:type="dxa" w:w="60"/>
              <w:left w:type="dxa" w:w="80"/>
              <w:bottom w:type="dxa" w:w="60"/>
              <w:right w:type="dxa" w:w="80"/>
            </w:tcMar>
            <w:vAlign w:val="top"/>
          </w:tcPr>
          <w:p>
            <w:pPr>
              <w:spacing w:after="0" w:before="0"/>
            </w:pPr>
            <w:r>
              <w:rPr>
                <w:rFonts w:ascii="Arial" w:cs="Arial" w:eastAsia="Arial" w:hAnsi="Arial"/>
                <w:b/>
                <w:bCs/>
                <w:color w:val="FFFFFF"/>
                <w:sz w:val="16"/>
                <w:szCs w:val="16"/>
              </w:rPr>
              <w:t xml:space="preserve">n</w:t>
            </w:r>
          </w:p>
        </w:tc>
        <w:tc>
          <w:tcPr>
            <w:tcW w:type="dxa" w:w="900"/>
            <w:tcBorders>
              <w:top w:val="single" w:color="CCCCCC" w:sz="4"/>
              <w:left w:val="single" w:color="CCCCCC" w:sz="4"/>
              <w:bottom w:val="single" w:color="CCCCCC" w:sz="4"/>
              <w:right w:val="single" w:color="CCCCCC" w:sz="4"/>
            </w:tcBorders>
            <w:shd w:fill="1F4E79" w:val="clear"/>
            <w:tcMar>
              <w:top w:type="dxa" w:w="60"/>
              <w:left w:type="dxa" w:w="80"/>
              <w:bottom w:type="dxa" w:w="60"/>
              <w:right w:type="dxa" w:w="80"/>
            </w:tcMar>
            <w:vAlign w:val="top"/>
          </w:tcPr>
          <w:p>
            <w:pPr>
              <w:spacing w:after="0" w:before="0"/>
            </w:pPr>
            <w:r>
              <w:rPr>
                <w:rFonts w:ascii="Arial" w:cs="Arial" w:eastAsia="Arial" w:hAnsi="Arial"/>
                <w:b/>
                <w:bCs/>
                <w:color w:val="FFFFFF"/>
                <w:sz w:val="16"/>
                <w:szCs w:val="16"/>
              </w:rPr>
              <w:t xml:space="preserve">p50</w:t>
            </w:r>
          </w:p>
        </w:tc>
        <w:tc>
          <w:tcPr>
            <w:tcW w:type="dxa" w:w="1000"/>
            <w:tcBorders>
              <w:top w:val="single" w:color="CCCCCC" w:sz="4"/>
              <w:left w:val="single" w:color="CCCCCC" w:sz="4"/>
              <w:bottom w:val="single" w:color="CCCCCC" w:sz="4"/>
              <w:right w:val="single" w:color="CCCCCC" w:sz="4"/>
            </w:tcBorders>
            <w:shd w:fill="1F4E79" w:val="clear"/>
            <w:tcMar>
              <w:top w:type="dxa" w:w="60"/>
              <w:left w:type="dxa" w:w="80"/>
              <w:bottom w:type="dxa" w:w="60"/>
              <w:right w:type="dxa" w:w="80"/>
            </w:tcMar>
            <w:vAlign w:val="top"/>
          </w:tcPr>
          <w:p>
            <w:pPr>
              <w:spacing w:after="0" w:before="0"/>
            </w:pPr>
            <w:r>
              <w:rPr>
                <w:rFonts w:ascii="Arial" w:cs="Arial" w:eastAsia="Arial" w:hAnsi="Arial"/>
                <w:b/>
                <w:bCs/>
                <w:color w:val="FFFFFF"/>
                <w:sz w:val="16"/>
                <w:szCs w:val="16"/>
              </w:rPr>
              <w:t xml:space="preserve">p95</w:t>
            </w:r>
          </w:p>
        </w:tc>
        <w:tc>
          <w:tcPr>
            <w:tcW w:type="dxa" w:w="1000"/>
            <w:tcBorders>
              <w:top w:val="single" w:color="CCCCCC" w:sz="4"/>
              <w:left w:val="single" w:color="CCCCCC" w:sz="4"/>
              <w:bottom w:val="single" w:color="CCCCCC" w:sz="4"/>
              <w:right w:val="single" w:color="CCCCCC" w:sz="4"/>
            </w:tcBorders>
            <w:shd w:fill="1F4E79" w:val="clear"/>
            <w:tcMar>
              <w:top w:type="dxa" w:w="60"/>
              <w:left w:type="dxa" w:w="80"/>
              <w:bottom w:type="dxa" w:w="60"/>
              <w:right w:type="dxa" w:w="80"/>
            </w:tcMar>
            <w:vAlign w:val="top"/>
          </w:tcPr>
          <w:p>
            <w:pPr>
              <w:spacing w:after="0" w:before="0"/>
            </w:pPr>
            <w:r>
              <w:rPr>
                <w:rFonts w:ascii="Arial" w:cs="Arial" w:eastAsia="Arial" w:hAnsi="Arial"/>
                <w:b/>
                <w:bCs/>
                <w:color w:val="FFFFFF"/>
                <w:sz w:val="16"/>
                <w:szCs w:val="16"/>
              </w:rPr>
              <w:t xml:space="preserve">p99</w:t>
            </w:r>
          </w:p>
        </w:tc>
        <w:tc>
          <w:tcPr>
            <w:tcW w:type="dxa" w:w="3200"/>
            <w:tcBorders>
              <w:top w:val="single" w:color="CCCCCC" w:sz="4"/>
              <w:left w:val="single" w:color="CCCCCC" w:sz="4"/>
              <w:bottom w:val="single" w:color="CCCCCC" w:sz="4"/>
              <w:right w:val="single" w:color="CCCCCC" w:sz="4"/>
            </w:tcBorders>
            <w:shd w:fill="1F4E79" w:val="clear"/>
            <w:tcMar>
              <w:top w:type="dxa" w:w="60"/>
              <w:left w:type="dxa" w:w="80"/>
              <w:bottom w:type="dxa" w:w="60"/>
              <w:right w:type="dxa" w:w="80"/>
            </w:tcMar>
            <w:vAlign w:val="top"/>
          </w:tcPr>
          <w:p>
            <w:pPr>
              <w:spacing w:after="0" w:before="0"/>
            </w:pPr>
            <w:r>
              <w:rPr>
                <w:rFonts w:ascii="Arial" w:cs="Arial" w:eastAsia="Arial" w:hAnsi="Arial"/>
                <w:b/>
                <w:bCs/>
                <w:color w:val="FFFFFF"/>
                <w:sz w:val="16"/>
                <w:szCs w:val="16"/>
              </w:rPr>
              <w:t xml:space="preserve">Target</w:t>
            </w:r>
          </w:p>
        </w:tc>
      </w:tr>
      <w:tr>
        <w:trPr>
          <w:cantSplit/>
          <w:tblHeader w:val="off"/>
        </w:trPr>
        <w:tc>
          <w:tcPr>
            <w:tcW w:type="dxa" w:w="3512"/>
            <w:tcBorders>
              <w:top w:val="single" w:color="CCCCCC" w:sz="4"/>
              <w:left w:val="single" w:color="CCCCCC" w:sz="4"/>
              <w:bottom w:val="single" w:color="CCCCCC" w:sz="4"/>
              <w:right w:val="single" w:color="CCCCCC" w:sz="4"/>
            </w:tcBorders>
            <w:shd w:fill="FDE9D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Telemetry sample (asset.last_seen) to WebSocket frame</w:t>
            </w:r>
          </w:p>
        </w:tc>
        <w:tc>
          <w:tcPr>
            <w:tcW w:type="dxa" w:w="900"/>
            <w:tcBorders>
              <w:top w:val="single" w:color="CCCCCC" w:sz="4"/>
              <w:left w:val="single" w:color="CCCCCC" w:sz="4"/>
              <w:bottom w:val="single" w:color="CCCCCC" w:sz="4"/>
              <w:right w:val="single" w:color="CCCCCC" w:sz="4"/>
            </w:tcBorders>
            <w:shd w:fill="FDE9D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3,493</w:t>
            </w:r>
          </w:p>
        </w:tc>
        <w:tc>
          <w:tcPr>
            <w:tcW w:type="dxa" w:w="900"/>
            <w:tcBorders>
              <w:top w:val="single" w:color="CCCCCC" w:sz="4"/>
              <w:left w:val="single" w:color="CCCCCC" w:sz="4"/>
              <w:bottom w:val="single" w:color="CCCCCC" w:sz="4"/>
              <w:right w:val="single" w:color="CCCCCC" w:sz="4"/>
            </w:tcBorders>
            <w:shd w:fill="FDE9D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860</w:t>
            </w:r>
          </w:p>
        </w:tc>
        <w:tc>
          <w:tcPr>
            <w:tcW w:type="dxa" w:w="1000"/>
            <w:tcBorders>
              <w:top w:val="single" w:color="CCCCCC" w:sz="4"/>
              <w:left w:val="single" w:color="CCCCCC" w:sz="4"/>
              <w:bottom w:val="single" w:color="CCCCCC" w:sz="4"/>
              <w:right w:val="single" w:color="CCCCCC" w:sz="4"/>
            </w:tcBorders>
            <w:shd w:fill="FDE9D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1,395</w:t>
            </w:r>
          </w:p>
        </w:tc>
        <w:tc>
          <w:tcPr>
            <w:tcW w:type="dxa" w:w="1000"/>
            <w:tcBorders>
              <w:top w:val="single" w:color="CCCCCC" w:sz="4"/>
              <w:left w:val="single" w:color="CCCCCC" w:sz="4"/>
              <w:bottom w:val="single" w:color="CCCCCC" w:sz="4"/>
              <w:right w:val="single" w:color="CCCCCC" w:sz="4"/>
            </w:tcBorders>
            <w:shd w:fill="FDE9D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2,969</w:t>
            </w:r>
          </w:p>
        </w:tc>
        <w:tc>
          <w:tcPr>
            <w:tcW w:type="dxa" w:w="3200"/>
            <w:tcBorders>
              <w:top w:val="single" w:color="CCCCCC" w:sz="4"/>
              <w:left w:val="single" w:color="CCCCCC" w:sz="4"/>
              <w:bottom w:val="single" w:color="CCCCCC" w:sz="4"/>
              <w:right w:val="single" w:color="CCCCCC" w:sz="4"/>
            </w:tcBorders>
            <w:shd w:fill="FDE9D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p95 under 500 ms. Missed on this laptop.</w:t>
            </w:r>
          </w:p>
        </w:tc>
      </w:tr>
      <w:tr>
        <w:trPr>
          <w:cantSplit/>
          <w:tblHeader w:val="off"/>
        </w:trPr>
        <w:tc>
          <w:tcPr>
            <w:tcW w:type="dxa" w:w="3512"/>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GOTO HTTP issue to ack response</w:t>
            </w:r>
          </w:p>
        </w:tc>
        <w:tc>
          <w:tcPr>
            <w:tcW w:type="dxa" w:w="900"/>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37</w:t>
            </w:r>
          </w:p>
        </w:tc>
        <w:tc>
          <w:tcPr>
            <w:tcW w:type="dxa" w:w="900"/>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165</w:t>
            </w:r>
          </w:p>
        </w:tc>
        <w:tc>
          <w:tcPr>
            <w:tcW w:type="dxa" w:w="1000"/>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437</w:t>
            </w:r>
          </w:p>
        </w:tc>
        <w:tc>
          <w:tcPr>
            <w:tcW w:type="dxa" w:w="1000"/>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531</w:t>
            </w:r>
          </w:p>
        </w:tc>
        <w:tc>
          <w:tcPr>
            <w:tcW w:type="dxa" w:w="3200"/>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No numeric target in the repo docs.</w:t>
            </w:r>
          </w:p>
        </w:tc>
      </w:tr>
      <w:tr>
        <w:trPr>
          <w:cantSplit/>
          <w:tblHeader w:val="off"/>
        </w:trPr>
        <w:tc>
          <w:tcPr>
            <w:tcW w:type="dxa" w:w="3512"/>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Alert timestamp to WebSocket frame</w:t>
            </w:r>
          </w:p>
        </w:tc>
        <w:tc>
          <w:tcPr>
            <w:tcW w:type="dxa" w:w="90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14</w:t>
            </w:r>
          </w:p>
        </w:tc>
        <w:tc>
          <w:tcPr>
            <w:tcW w:type="dxa" w:w="90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953</w:t>
            </w:r>
          </w:p>
        </w:tc>
        <w:tc>
          <w:tcPr>
            <w:tcW w:type="dxa" w:w="100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1,734</w:t>
            </w:r>
          </w:p>
        </w:tc>
        <w:tc>
          <w:tcPr>
            <w:tcW w:type="dxa" w:w="100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1,942</w:t>
            </w:r>
          </w:p>
        </w:tc>
        <w:tc>
          <w:tcPr>
            <w:tcW w:type="dxa" w:w="3200"/>
            <w:tcBorders>
              <w:top w:val="single" w:color="CCCCCC" w:sz="4"/>
              <w:left w:val="single" w:color="CCCCCC" w:sz="4"/>
              <w:bottom w:val="single" w:color="CCCCCC" w:sz="4"/>
              <w:right w:val="single" w:color="CCCCCC" w:sz="4"/>
            </w:tcBorders>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No numeric target in the repo docs.</w:t>
            </w:r>
          </w:p>
        </w:tc>
      </w:tr>
      <w:tr>
        <w:trPr>
          <w:cantSplit/>
          <w:tblHeader w:val="off"/>
        </w:trPr>
        <w:tc>
          <w:tcPr>
            <w:tcW w:type="dxa" w:w="3512"/>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Keep-out zone insert to the frame that shows the alert</w:t>
            </w:r>
          </w:p>
        </w:tc>
        <w:tc>
          <w:tcPr>
            <w:tcW w:type="dxa" w:w="900"/>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14</w:t>
            </w:r>
          </w:p>
        </w:tc>
        <w:tc>
          <w:tcPr>
            <w:tcW w:type="dxa" w:w="900"/>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1,830</w:t>
            </w:r>
          </w:p>
        </w:tc>
        <w:tc>
          <w:tcPr>
            <w:tcW w:type="dxa" w:w="1000"/>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3,370</w:t>
            </w:r>
          </w:p>
        </w:tc>
        <w:tc>
          <w:tcPr>
            <w:tcW w:type="dxa" w:w="1000"/>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3,431</w:t>
            </w:r>
          </w:p>
        </w:tc>
        <w:tc>
          <w:tcPr>
            <w:tcW w:type="dxa" w:w="3200"/>
            <w:tcBorders>
              <w:top w:val="single" w:color="CCCCCC" w:sz="4"/>
              <w:left w:val="single" w:color="CCCCCC" w:sz="4"/>
              <w:bottom w:val="single" w:color="CCCCCC" w:sz="4"/>
              <w:right w:val="single" w:color="CCCCCC" w:sz="4"/>
            </w:tcBorders>
            <w:shd w:fill="F3F6F9" w:val="clear"/>
            <w:tcMar>
              <w:top w:type="dxa" w:w="60"/>
              <w:left w:type="dxa" w:w="80"/>
              <w:bottom w:type="dxa" w:w="60"/>
              <w:right w:type="dxa" w:w="80"/>
            </w:tcMar>
            <w:vAlign w:val="top"/>
          </w:tcPr>
          <w:p>
            <w:pPr>
              <w:spacing w:after="0" w:before="0"/>
            </w:pPr>
            <w:r>
              <w:rPr>
                <w:rFonts w:ascii="Arial" w:cs="Arial" w:eastAsia="Arial" w:hAnsi="Arial"/>
                <w:b w:val="false"/>
                <w:bCs w:val="false"/>
                <w:color w:val="222222"/>
                <w:sz w:val="16"/>
                <w:szCs w:val="16"/>
              </w:rPr>
              <w:t xml:space="preserve">Includes the telemetry scan (about 0.8 s) plus the push above.</w:t>
            </w:r>
          </w:p>
        </w:tc>
      </w:tr>
    </w:tbl>
    <w:p>
      <w:pPr>
        <w:spacing w:after="80" w:before="120"/>
      </w:pPr>
      <w:r>
        <w:rPr>
          <w:rFonts w:ascii="Arial" w:cs="Arial" w:eastAsia="Arial" w:hAnsi="Arial"/>
          <w:b w:val="false"/>
          <w:bCs w:val="false"/>
          <w:i w:val="false"/>
          <w:iCs w:val="false"/>
          <w:color w:val="222222"/>
          <w:sz w:val="21"/>
          <w:szCs w:val="21"/>
        </w:rPr>
        <w:t xml:space="preserve">No sample had a negative clock difference. The minimum telemetry sample was 516 ms, so every measured frame in this set was already over the 500 ms line.</w:t>
      </w:r>
    </w:p>
    <w:p>
      <w:pPr>
        <w:pStyle w:val="Heading1"/>
        <w:pBdr>
          <w:bottom w:val="single" w:color="1F4E79" w:sz="8" w:space="1"/>
        </w:pBdr>
        <w:spacing w:after="120" w:before="280"/>
      </w:pPr>
      <w:r>
        <w:rPr>
          <w:rFonts w:ascii="Arial" w:cs="Arial" w:eastAsia="Arial" w:hAnsi="Arial"/>
          <w:b/>
          <w:bCs/>
          <w:color w:val="1F4E79"/>
          <w:sz w:val="32"/>
          <w:szCs w:val="32"/>
        </w:rPr>
        <w:t xml:space="preserve">Fix applied before this run</w:t>
      </w:r>
    </w:p>
    <w:p>
      <w:pPr>
        <w:spacing w:after="80" w:before="0"/>
      </w:pPr>
      <w:r>
        <w:rPr>
          <w:rFonts w:ascii="Arial" w:cs="Arial" w:eastAsia="Arial" w:hAnsi="Arial"/>
          <w:b w:val="false"/>
          <w:bCs w:val="false"/>
          <w:i w:val="false"/>
          <w:iCs w:val="false"/>
          <w:color w:val="222222"/>
          <w:sz w:val="21"/>
          <w:szCs w:val="21"/>
        </w:rPr>
        <w:t xml:space="preserve">The restart shake-out published the queued GOTO and the command consumer answered asset not found because the demo fleet was not registered yet. That ack completed the JetStream delivery, so the vehicle never executed the command.</w:t>
      </w:r>
    </w:p>
    <w:p>
      <w:pPr>
        <w:spacing w:after="80" w:before="0"/>
      </w:pPr>
      <w:r>
        <w:rPr>
          <w:rFonts w:ascii="Arial" w:cs="Arial" w:eastAsia="Arial" w:hAnsi="Arial"/>
          <w:b w:val="false"/>
          <w:bCs w:val="false"/>
          <w:i w:val="false"/>
          <w:iCs w:val="false"/>
          <w:color w:val="222222"/>
          <w:sz w:val="21"/>
          <w:szCs w:val="21"/>
        </w:rPr>
        <w:t xml:space="preserve">src/operator_app/command_bus.py now raises when the adapter is missing. The pull consumer naks the message and JetStream redelivers it. On this run the redelivery executed once: one ack goto (ok) event, one recall success, and the sim target at 17.42, 78.52.</w:t>
      </w:r>
    </w:p>
    <w:p>
      <w:pPr>
        <w:spacing w:after="80" w:before="0"/>
      </w:pPr>
      <w:r>
        <w:rPr>
          <w:rFonts w:ascii="Arial" w:cs="Arial" w:eastAsia="Arial" w:hAnsi="Arial"/>
          <w:b w:val="false"/>
          <w:bCs w:val="false"/>
          <w:i w:val="false"/>
          <w:iCs w:val="false"/>
          <w:color w:val="222222"/>
          <w:sz w:val="21"/>
          <w:szCs w:val="21"/>
        </w:rPr>
        <w:t xml:space="preserve">No other product behavior was changed to match the expected fault column. The same-process NATS recovery, the lost-track Alert, and a Postgres picture were left as measured.</w:t>
      </w:r>
    </w:p>
    <w:p>
      <w:pPr>
        <w:spacing w:after="80" w:before="0"/>
      </w:pPr>
      <w:r>
        <w:rPr>
          <w:rFonts w:ascii="Arial" w:cs="Arial" w:eastAsia="Arial" w:hAnsi="Arial"/>
          <w:b w:val="false"/>
          <w:bCs w:val="false"/>
          <w:i w:val="false"/>
          <w:iCs w:val="false"/>
          <w:color w:val="222222"/>
          <w:sz w:val="21"/>
          <w:szCs w:val="21"/>
        </w:rPr>
        <w:t xml:space="preserve">Bringing the operator process back on port 8000 exposed a second defect. ensure_jetstream logged a failed dial with str(exc).splitlines()[0]. A TimeoutError from the NATS client has an empty message, so that lookup raised IndexError and the process exited during startup. The handler now uses the exception class name when the message is empty, and the dial still returns false. src/data/test_bus.py covers an empty TimeoutError.</w:t>
      </w:r>
    </w:p>
    <w:p>
      <w:pPr>
        <w:pStyle w:val="Heading1"/>
        <w:pBdr>
          <w:bottom w:val="single" w:color="1F4E79" w:sz="8" w:space="1"/>
        </w:pBdr>
        <w:spacing w:after="120" w:before="280"/>
      </w:pPr>
      <w:r>
        <w:rPr>
          <w:rFonts w:ascii="Arial" w:cs="Arial" w:eastAsia="Arial" w:hAnsi="Arial"/>
          <w:b/>
          <w:bCs/>
          <w:color w:val="1F4E79"/>
          <w:sz w:val="32"/>
          <w:szCs w:val="32"/>
        </w:rPr>
        <w:t xml:space="preserve">Regression suite</w:t>
      </w:r>
    </w:p>
    <w:p>
      <w:pPr>
        <w:spacing w:after="80" w:before="0"/>
      </w:pPr>
      <w:r>
        <w:rPr>
          <w:rFonts w:ascii="Arial" w:cs="Arial" w:eastAsia="Arial" w:hAnsi="Arial"/>
          <w:b w:val="false"/>
          <w:bCs w:val="false"/>
          <w:i w:val="false"/>
          <w:iCs w:val="false"/>
          <w:color w:val="222222"/>
          <w:sz w:val="21"/>
          <w:szCs w:val="21"/>
        </w:rPr>
        <w:t xml:space="preserve">After the acceptance run, from the repository root on the default store paths:</w:t>
      </w:r>
    </w:p>
    <w:p>
      <w:pPr>
        <w:spacing w:after="80" w:before="0"/>
      </w:pPr>
      <w:r>
        <w:rPr>
          <w:rFonts w:ascii="Consolas" w:cs="Consolas" w:eastAsia="Consolas" w:hAnsi="Consolas"/>
          <w:b w:val="false"/>
          <w:bCs w:val="false"/>
          <w:i w:val="false"/>
          <w:iCs w:val="false"/>
          <w:color w:val="222222"/>
          <w:sz w:val="20"/>
          <w:szCs w:val="20"/>
        </w:rPr>
        <w:t xml:space="preserve">.venv/bin/python -m pytest -q --tb=line</w:t>
      </w:r>
    </w:p>
    <w:p>
      <w:pPr>
        <w:spacing w:after="80" w:before="0"/>
      </w:pPr>
      <w:r>
        <w:rPr>
          <w:rFonts w:ascii="Arial" w:cs="Arial" w:eastAsia="Arial" w:hAnsi="Arial"/>
          <w:b w:val="false"/>
          <w:bCs w:val="false"/>
          <w:i w:val="false"/>
          <w:iCs w:val="false"/>
          <w:color w:val="222222"/>
          <w:sz w:val="21"/>
          <w:szCs w:val="21"/>
        </w:rPr>
        <w:t xml:space="preserve">83 passed in 27.36 s. Exit code 0. The count includes the empty-TimeoutError dial test added after the acceptance run.</w:t>
      </w:r>
    </w:p>
    <w:p>
      <w:pPr>
        <w:pStyle w:val="Heading1"/>
        <w:pBdr>
          <w:bottom w:val="single" w:color="1F4E79" w:sz="8" w:space="1"/>
        </w:pBdr>
        <w:spacing w:after="120" w:before="280"/>
      </w:pPr>
      <w:r>
        <w:rPr>
          <w:rFonts w:ascii="Arial" w:cs="Arial" w:eastAsia="Arial" w:hAnsi="Arial"/>
          <w:b/>
          <w:bCs/>
          <w:color w:val="1F4E79"/>
          <w:sz w:val="32"/>
          <w:szCs w:val="32"/>
        </w:rPr>
        <w:t xml:space="preserve">Known gaps</w:t>
      </w:r>
    </w:p>
    <w:p>
      <w:pPr>
        <w:pStyle w:val="ListParagraph"/>
        <w:numPr>
          <w:ilvl w:val="0"/>
          <w:numId w:val="2"/>
        </w:numPr>
        <w:spacing w:after="40" w:before="40"/>
      </w:pPr>
      <w:r>
        <w:rPr>
          <w:rFonts w:ascii="Arial" w:cs="Arial" w:eastAsia="Arial" w:hAnsi="Arial"/>
          <w:color w:val="222222"/>
          <w:sz w:val="21"/>
          <w:szCs w:val="21"/>
        </w:rPr>
        <w:t xml:space="preserve">The operator picture is the entity store and the SQLite snapshot. PostgresSnapshot.connect is unimplemented, so this process cannot start with STORAGE_BACKEND=postgres.</w:t>
      </w:r>
    </w:p>
    <w:p>
      <w:pPr>
        <w:pStyle w:val="ListParagraph"/>
        <w:numPr>
          <w:ilvl w:val="0"/>
          <w:numId w:val="2"/>
        </w:numPr>
        <w:spacing w:after="40" w:before="40"/>
      </w:pPr>
      <w:r>
        <w:rPr>
          <w:rFonts w:ascii="Arial" w:cs="Arial" w:eastAsia="Arial" w:hAnsi="Arial"/>
          <w:color w:val="222222"/>
          <w:sz w:val="21"/>
          <w:szCs w:val="21"/>
        </w:rPr>
        <w:t xml:space="preserve">A failed Redis ping is remembered for the life of the process. Frames continue from the entity store, and the process does not resume the Redis overlay when Redis returns.</w:t>
      </w:r>
    </w:p>
    <w:p>
      <w:pPr>
        <w:pStyle w:val="ListParagraph"/>
        <w:numPr>
          <w:ilvl w:val="0"/>
          <w:numId w:val="2"/>
        </w:numPr>
        <w:spacing w:after="40" w:before="40"/>
      </w:pPr>
      <w:r>
        <w:rPr>
          <w:rFonts w:ascii="Arial" w:cs="Arial" w:eastAsia="Arial" w:hAnsi="Arial"/>
          <w:color w:val="222222"/>
          <w:sz w:val="21"/>
          <w:szCs w:val="21"/>
        </w:rPr>
        <w:t xml:space="preserve">lifecycle_tick moves a track to lost after 25 seconds without telemetry. It does not raise an Alert. adapter.stop() sets the asset offline immediately.</w:t>
      </w:r>
    </w:p>
    <w:p>
      <w:pPr>
        <w:pStyle w:val="ListParagraph"/>
        <w:numPr>
          <w:ilvl w:val="0"/>
          <w:numId w:val="2"/>
        </w:numPr>
        <w:spacing w:after="40" w:before="40"/>
      </w:pPr>
      <w:r>
        <w:rPr>
          <w:rFonts w:ascii="Arial" w:cs="Arial" w:eastAsia="Arial" w:hAnsi="Arial"/>
          <w:color w:val="222222"/>
          <w:sz w:val="21"/>
          <w:szCs w:val="21"/>
        </w:rPr>
        <w:t xml:space="preserve">After the broker returns, a process that still holds the old JetStream client leaves unpublished outbox rows pending. Delivery of the queued command happened in the restarted process.</w:t>
      </w:r>
    </w:p>
    <w:p>
      <w:pPr>
        <w:pStyle w:val="ListParagraph"/>
        <w:numPr>
          <w:ilvl w:val="0"/>
          <w:numId w:val="2"/>
        </w:numPr>
        <w:spacing w:after="40" w:before="40"/>
      </w:pPr>
      <w:r>
        <w:rPr>
          <w:rFonts w:ascii="Arial" w:cs="Arial" w:eastAsia="Arial" w:hAnsi="Arial"/>
          <w:color w:val="222222"/>
          <w:sz w:val="21"/>
          <w:szCs w:val="21"/>
        </w:rPr>
        <w:t xml:space="preserve">Restart restores SQLite assets, missions, tracks, and the newest alerts. The in-memory command list starts empty. The in-memory event ring starts empty. DuckDB event rows remain.</w:t>
      </w:r>
    </w:p>
    <w:p>
      <w:pPr>
        <w:pStyle w:val="ListParagraph"/>
        <w:numPr>
          <w:ilvl w:val="0"/>
          <w:numId w:val="2"/>
        </w:numPr>
        <w:spacing w:after="40" w:before="40"/>
      </w:pPr>
      <w:r>
        <w:rPr>
          <w:rFonts w:ascii="Arial" w:cs="Arial" w:eastAsia="Arial" w:hAnsi="Arial"/>
          <w:color w:val="222222"/>
          <w:sz w:val="21"/>
          <w:szCs w:val="21"/>
        </w:rPr>
        <w:t xml:space="preserve">The security stamp is the stub session operator:op-1. Audit failure stays fail-open.</w:t>
      </w:r>
    </w:p>
    <w:p>
      <w:pPr>
        <w:pStyle w:val="ListParagraph"/>
        <w:numPr>
          <w:ilvl w:val="0"/>
          <w:numId w:val="2"/>
        </w:numPr>
        <w:spacing w:after="40" w:before="40"/>
      </w:pPr>
      <w:r>
        <w:rPr>
          <w:rFonts w:ascii="Arial" w:cs="Arial" w:eastAsia="Arial" w:hAnsi="Arial"/>
          <w:color w:val="222222"/>
          <w:sz w:val="21"/>
          <w:szCs w:val="21"/>
        </w:rPr>
        <w:t xml:space="preserve">The fleet is the in-process sim (SimAssetAdapter), not ArduPilot SITL or ROS 2.</w:t>
      </w:r>
    </w:p>
    <w:p>
      <w:pPr>
        <w:pStyle w:val="ListParagraph"/>
        <w:numPr>
          <w:ilvl w:val="0"/>
          <w:numId w:val="2"/>
        </w:numPr>
        <w:spacing w:after="40" w:before="40"/>
      </w:pPr>
      <w:r>
        <w:rPr>
          <w:rFonts w:ascii="Arial" w:cs="Arial" w:eastAsia="Arial" w:hAnsi="Arial"/>
          <w:color w:val="222222"/>
          <w:sz w:val="21"/>
          <w:szCs w:val="21"/>
        </w:rPr>
        <w:t xml:space="preserve">Latency figures are this laptop's loop, NATS, Redis, and one WebSocket client. They are not a field-radio measurement.</w:t>
      </w:r>
    </w:p>
    <w:p>
      <w:pPr>
        <w:pStyle w:val="ListParagraph"/>
        <w:numPr>
          <w:ilvl w:val="0"/>
          <w:numId w:val="2"/>
        </w:numPr>
        <w:spacing w:after="40" w:before="40"/>
      </w:pPr>
      <w:r>
        <w:rPr>
          <w:rFonts w:ascii="Arial" w:cs="Arial" w:eastAsia="Arial" w:hAnsi="Arial"/>
          <w:color w:val="222222"/>
          <w:sz w:val="21"/>
          <w:szCs w:val="21"/>
        </w:rPr>
        <w:t xml:space="preserve">docs/ARCHITECTURE_DATA.md was left as it stood.</w:t>
      </w:r>
    </w:p>
    <w:sectPr>
      <w:headerReference w:type="default" r:id="rId6"/>
      <w:footerReference w:type="default" r:id="rId7"/>
      <w:pgSz w:w="12240" w:h="15840" w:orient="portrait"/>
      <w:pgMar w:top="1008" w:right="864" w:bottom="100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6" w:space="1"/>
      </w:pBdr>
      <w:spacing w:before="80"/>
    </w:pPr>
    <w:r>
      <w:rPr>
        <w:rFonts w:ascii="Arial" w:cs="Arial" w:eastAsia="Arial" w:hAnsi="Arial"/>
        <w:color w:val="666666"/>
        <w:sz w:val="16"/>
        <w:szCs w:val="16"/>
      </w:rPr>
      <w:t xml:space="preserve">473de7e    </w:t>
    </w: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1"/>
      </w:pBdr>
      <w:spacing w:after="120"/>
    </w:pPr>
    <w:r>
      <w:rPr>
        <w:rFonts w:ascii="Arial" w:cs="Arial" w:eastAsia="Arial" w:hAnsi="Arial"/>
        <w:b/>
        <w:bCs/>
        <w:color w:val="1F4E79"/>
        <w:sz w:val="16"/>
        <w:szCs w:val="16"/>
      </w:rPr>
      <w:t xml:space="preserve">CNC / RCI</w:t>
    </w:r>
    <w:r>
      <w:rPr>
        <w:rFonts w:ascii="Arial" w:cs="Arial" w:eastAsia="Arial" w:hAnsi="Arial"/>
        <w:color w:val="666666"/>
        <w:sz w:val="16"/>
        <w:szCs w:val="16"/>
      </w:rPr>
      <w:t xml:space="preserve">    M5 acceptance test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1F4E79"/>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1F4E79"/>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2026-10-12T19:21:33.421Z</dcterms:created>
  <dcterms:modified xsi:type="dcterms:W3CDTF">2026-10-12T19:21:33.449Z</dcterms:modified>
</cp:coreProperties>
</file>

<file path=docProps/custom.xml><?xml version="1.0" encoding="utf-8"?>
<Properties xmlns="http://schemas.openxmlformats.org/officeDocument/2006/custom-properties" xmlns:vt="http://schemas.openxmlformats.org/officeDocument/2006/docPropsVTypes"/>
</file>