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bkvxqbvqshg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Comprehensive Sitemap for Manic Organix, Inc.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xfqlsytc6v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Homepage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Hero Section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Introduction to Manic Organix, Inc. (vision, mission, and key activities)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Call-to-Action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Links to Explore Products, Visit the Virtual Laboratory, or Collaborate in Real-Time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Featured Sections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 of the Digital Health Ecosystem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Highlights of AI-Powered Innovations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Fresh Produce Marketplace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Testimonials and Case Studies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Footer Preview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Quick links, contact info, and social media.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396zvuoa9u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About Us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Our Mission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Statement of purpose, commitment to innovation, and health-conscious values.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Our Story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Evolution from leafy greens farming to cutting-edge agri-biotechnology.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Leadership Team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Profiles of key personnel with expertise in agriculture and biotechnology.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Sustainability Goals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Environmental impact, sustainable farming methods, and community initiatives.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Partners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Collaborations with health-conscious businesses and research institutions.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ybdlk14bvv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Products &amp; Services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Fresh Produce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Catalog of leafy greens with descriptions, benefits, and nutritional profiles.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Subscription plans for consumers and businesses.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Agri-Medicines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Overview of biotechnology-derived products.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Digital Health Ecosystem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Introduction to the farm-to-table pipeline and services offered.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Wholesale &amp; Retail Opportunities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Details for business clients.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u0q6zyxbux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Virtual Laboratory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Interactive 3D Lab Tour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Explore the R&amp;D processes virtually.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Highlights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Breakthroughs in biotechnology and agri-medicine.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Educational 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Papers, infographics, and videos explaining biotech processes.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Ask a Scientist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Submit queries and engage with experts virtually.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3jymni79up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Collaboration Center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Virtual Meeting Rooms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Text, video, and VoIP-enabled spaces for team and external meetings.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Knowledge 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Centralized space for shared resources, files, and collaborative notes.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Forums and Chatrooms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Public and private discussions on agri-tech, biotech, and health topics.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Industry Partnerships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Spaces for engaging with prospective partners and collaborators.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6v8c3eetx3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 Innovations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Proprietary AI Models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AgriYieldAI™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Predictive analytics for optimizing crop yield and quality.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BioSynthAI™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AI-powered platform for the discovery of new agri-medicines.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FarmFlowAI™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Automation of farming processes, including irrigation and harvesting.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NutriTrackAI™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Real-time monitoring of nutritional profiles in crops.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GreenChainAI™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Blockchain-powered solution for ensuring transparency and traceability in the farm-to-table pipeline.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Patents &amp; Innovations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Overview of intellectual property and future developments.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elm6aomrj2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7. Sustainability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Sustainable Practices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Detailed methodologies used in farming and biotech processes.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Impact 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Metrics on environmental impact and community contributions.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Future Goals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Upcoming initiatives in sustainability and eco-friendly technology.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1qoj52l7j2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8. Careers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Openings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List of roles in agri-tech and biotech divisions.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Internship Programs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Opportunities for students and researchers.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Culture &amp;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What it's like to work at Manic Organix, Inc.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nwuefccb0w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9. Contact Us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Email, phone, and chat options for inquiries.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Inquiries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form for partnerships and collaborations.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 surveys and suggestions.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cz15afijjm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10. Comprehensive Footer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Quick Links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About Us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 &amp; Services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Innovations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Sustainability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Careers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Us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Contact Information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 Number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Media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Icons and links for Twitter, LinkedIn, Instagram, and Facebook.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Newsletter Signup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Form to subscribe for updates.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Information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Terms of Use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Privacy Policy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Accessibility Statement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 &amp; Certifications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Icons and short descriptions of recognized achievements.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