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br/>
        <w:br/>
        <w:t>SAP Full-Stack Development</w:t>
        <w:br/>
        <w:t>Practical Guide</w:t>
      </w:r>
    </w:p>
    <w:p>
      <w:pPr>
        <w:jc w:val="center"/>
      </w:pPr>
      <w:r>
        <w:rPr>
          <w:sz w:val="28"/>
        </w:rPr>
        <w:t>RAP • CAP with Node.js • SAPUI5 • Fiori elements • SAP BTP</w:t>
      </w:r>
    </w:p>
    <w:p>
      <w:pPr>
        <w:jc w:val="center"/>
      </w:pPr>
      <w:r>
        <w:br/>
        <w:t>A guided SDLC handbook for developers, reviewers, technical leads and architects</w:t>
        <w:br/>
        <w:t>Version 4.0 | October 2026 | Learning and delivery edition</w:t>
        <w:br/>
        <w:t>Owner: SAP Engineering Practice</w:t>
      </w:r>
    </w:p>
    <w:tbl>
      <w:tblPr>
        <w:tblStyle w:val="TableGrid"/>
        <w:tblW w:type="auto" w:w="0"/>
        <w:tblLook w:firstColumn="1" w:firstRow="1" w:lastColumn="0" w:lastRow="0" w:noHBand="0" w:noVBand="1" w:val="04A0"/>
      </w:tblPr>
      <w:tblGrid>
        <w:gridCol w:w="10123"/>
      </w:tblGrid>
      <w:tr>
        <w:trPr>
          <w:tblHeader w:val="true"/>
        </w:trPr>
        <w:tc>
          <w:tcPr>
            <w:tcW w:type="dxa" w:w="10123"/>
            <w:shd w:fill="F2F2F2"/>
            <w:tcMar>
              <w:top w:w="90" w:type="dxa"/>
              <w:start w:w="100" w:type="dxa"/>
              <w:bottom w:w="90" w:type="dxa"/>
              <w:end w:w="100" w:type="dxa"/>
            </w:tcMar>
          </w:tcPr>
          <w:p>
            <w:r>
              <w:rPr>
                <w:b/>
              </w:rPr>
              <w:t xml:space="preserve">How this edition is different  </w:t>
            </w:r>
            <w:r>
              <w:t>This edition explains why each activity exists, when to make each decision, how to carry it out, what evidence to produce and when to ask for specialist review. Checklists remain at the end of each phase, but the main content reads as a guide.</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Field</w:t>
            </w:r>
          </w:p>
        </w:tc>
        <w:tc>
          <w:tcPr>
            <w:tcW w:type="dxa" w:w="5061"/>
            <w:shd w:fill="E7E6E6"/>
            <w:vAlign w:val="center"/>
            <w:tcMar>
              <w:top w:w="90" w:type="dxa"/>
              <w:start w:w="100" w:type="dxa"/>
              <w:bottom w:w="90" w:type="dxa"/>
              <w:end w:w="100" w:type="dxa"/>
            </w:tcMar>
          </w:tcPr>
          <w:p>
            <w:r>
              <w:rPr>
                <w:b/>
                <w:color w:val="000000"/>
                <w:sz w:val="18"/>
              </w:rPr>
              <w:t>Value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Title</w:t>
            </w:r>
          </w:p>
        </w:tc>
        <w:tc>
          <w:tcPr>
            <w:tcW w:type="dxa" w:w="5061"/>
            <w:vAlign w:val="center"/>
            <w:tcMar>
              <w:top w:w="90" w:type="dxa"/>
              <w:start w:w="100" w:type="dxa"/>
              <w:bottom w:w="90" w:type="dxa"/>
              <w:end w:w="100" w:type="dxa"/>
            </w:tcMar>
          </w:tcPr>
          <w:p>
            <w:pPr>
              <w:spacing w:after="40"/>
            </w:pPr>
            <w:r>
              <w:rPr>
                <w:rFonts w:ascii="Aptos" w:hAnsi="Aptos"/>
                <w:color w:val="000000"/>
                <w:sz w:val="18"/>
              </w:rPr>
              <w:t>SAP Full-Stack Development Practical Guide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Version</w:t>
            </w:r>
          </w:p>
        </w:tc>
        <w:tc>
          <w:tcPr>
            <w:tcW w:type="dxa" w:w="5061"/>
            <w:vAlign w:val="center"/>
            <w:tcMar>
              <w:top w:w="90" w:type="dxa"/>
              <w:start w:w="100" w:type="dxa"/>
              <w:bottom w:w="90" w:type="dxa"/>
              <w:end w:w="100" w:type="dxa"/>
            </w:tcMar>
          </w:tcPr>
          <w:p>
            <w:pPr>
              <w:spacing w:after="40"/>
            </w:pPr>
            <w:r>
              <w:rPr>
                <w:rFonts w:ascii="Aptos" w:hAnsi="Aptos"/>
                <w:color w:val="000000"/>
                <w:sz w:val="18"/>
              </w:rPr>
              <w:t>4.0</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Effective date</w:t>
            </w:r>
          </w:p>
        </w:tc>
        <w:tc>
          <w:tcPr>
            <w:tcW w:type="dxa" w:w="5061"/>
            <w:vAlign w:val="center"/>
            <w:tcMar>
              <w:top w:w="90" w:type="dxa"/>
              <w:start w:w="100" w:type="dxa"/>
              <w:bottom w:w="90" w:type="dxa"/>
              <w:end w:w="100" w:type="dxa"/>
            </w:tcMar>
          </w:tcPr>
          <w:p>
            <w:pPr>
              <w:spacing w:after="40"/>
            </w:pPr>
            <w:r>
              <w:rPr>
                <w:rFonts w:ascii="Aptos" w:hAnsi="Aptos"/>
                <w:color w:val="000000"/>
                <w:sz w:val="18"/>
              </w:rPr>
              <w:t>October 2026</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Audience</w:t>
            </w:r>
          </w:p>
        </w:tc>
        <w:tc>
          <w:tcPr>
            <w:tcW w:type="dxa" w:w="5061"/>
            <w:vAlign w:val="center"/>
            <w:tcMar>
              <w:top w:w="90" w:type="dxa"/>
              <w:start w:w="100" w:type="dxa"/>
              <w:bottom w:w="90" w:type="dxa"/>
              <w:end w:w="100" w:type="dxa"/>
            </w:tcMar>
          </w:tcPr>
          <w:p>
            <w:pPr>
              <w:spacing w:after="40"/>
            </w:pPr>
            <w:r>
              <w:rPr>
                <w:rFonts w:ascii="Aptos" w:hAnsi="Aptos"/>
                <w:color w:val="000000"/>
                <w:sz w:val="18"/>
              </w:rPr>
              <w:t>Junior and senior developers, reviewers, technical leads, architects and delivery stakeholders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Scope</w:t>
            </w:r>
          </w:p>
        </w:tc>
        <w:tc>
          <w:tcPr>
            <w:tcW w:type="dxa" w:w="5061"/>
            <w:vAlign w:val="center"/>
            <w:tcMar>
              <w:top w:w="90" w:type="dxa"/>
              <w:start w:w="100" w:type="dxa"/>
              <w:bottom w:w="90" w:type="dxa"/>
              <w:end w:w="100" w:type="dxa"/>
            </w:tcMar>
          </w:tcPr>
          <w:p>
            <w:pPr>
              <w:spacing w:after="40"/>
            </w:pPr>
            <w:r>
              <w:rPr>
                <w:rFonts w:ascii="Aptos" w:hAnsi="Aptos"/>
                <w:color w:val="000000"/>
                <w:sz w:val="18"/>
              </w:rPr>
              <w:t>RAP, CAP Node.js, JavaScript, SAPUI5, Fiori elements, SAP HANA Cloud, SAP BTP Cloud Foundry and S/4HANA integration</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Review cycle</w:t>
            </w:r>
          </w:p>
        </w:tc>
        <w:tc>
          <w:tcPr>
            <w:tcW w:type="dxa" w:w="5061"/>
            <w:vAlign w:val="center"/>
            <w:tcMar>
              <w:top w:w="90" w:type="dxa"/>
              <w:start w:w="100" w:type="dxa"/>
              <w:bottom w:w="90" w:type="dxa"/>
              <w:end w:w="100" w:type="dxa"/>
            </w:tcMar>
          </w:tcPr>
          <w:p>
            <w:pPr>
              <w:spacing w:after="40"/>
            </w:pPr>
            <w:r>
              <w:rPr>
                <w:rFonts w:ascii="Aptos" w:hAnsi="Aptos"/>
                <w:color w:val="000000"/>
                <w:sz w:val="18"/>
              </w:rPr>
              <w:t>Annual and after material SAP platform, security or clean-core changes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Project supplement</w:t>
            </w:r>
          </w:p>
        </w:tc>
        <w:tc>
          <w:tcPr>
            <w:tcW w:type="dxa" w:w="5061"/>
            <w:vAlign w:val="center"/>
            <w:tcMar>
              <w:top w:w="90" w:type="dxa"/>
              <w:start w:w="100" w:type="dxa"/>
              <w:bottom w:w="90" w:type="dxa"/>
              <w:end w:w="100" w:type="dxa"/>
            </w:tcMar>
          </w:tcPr>
          <w:p>
            <w:pPr>
              <w:spacing w:after="40"/>
            </w:pPr>
            <w:r>
              <w:rPr>
                <w:rFonts w:ascii="Aptos" w:hAnsi="Aptos"/>
                <w:color w:val="000000"/>
                <w:sz w:val="18"/>
              </w:rPr>
              <w:t>Add target versions, naming rules, SLAs, approved services, security classification and exception owners</w:t>
            </w:r>
          </w:p>
        </w:tc>
      </w:tr>
    </w:tbl>
    <w:p>
      <w:pPr>
        <w:pStyle w:val="Heading2"/>
      </w:pPr>
      <w:r>
        <w:t>Version History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Version</w:t>
            </w:r>
          </w:p>
        </w:tc>
        <w:tc>
          <w:tcPr>
            <w:tcW w:type="dxa" w:w="3374"/>
            <w:shd w:fill="E7E6E6"/>
            <w:vAlign w:val="center"/>
            <w:tcMar>
              <w:top w:w="90" w:type="dxa"/>
              <w:start w:w="100" w:type="dxa"/>
              <w:bottom w:w="90" w:type="dxa"/>
              <w:end w:w="100" w:type="dxa"/>
            </w:tcMar>
          </w:tcPr>
          <w:p>
            <w:r>
              <w:rPr>
                <w:b/>
                <w:color w:val="000000"/>
                <w:sz w:val="18"/>
              </w:rPr>
              <w:t>Date</w:t>
            </w:r>
          </w:p>
        </w:tc>
        <w:tc>
          <w:tcPr>
            <w:tcW w:type="dxa" w:w="3374"/>
            <w:shd w:fill="E7E6E6"/>
            <w:vAlign w:val="center"/>
            <w:tcMar>
              <w:top w:w="90" w:type="dxa"/>
              <w:start w:w="100" w:type="dxa"/>
              <w:bottom w:w="90" w:type="dxa"/>
              <w:end w:w="100" w:type="dxa"/>
            </w:tcMar>
          </w:tcPr>
          <w:p>
            <w:r>
              <w:rPr>
                <w:b/>
                <w:color w:val="000000"/>
                <w:sz w:val="18"/>
              </w:rPr>
              <w:t>Summary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3.0</w:t>
            </w:r>
          </w:p>
        </w:tc>
        <w:tc>
          <w:tcPr>
            <w:tcW w:type="dxa" w:w="3374"/>
            <w:vAlign w:val="center"/>
            <w:tcMar>
              <w:top w:w="90" w:type="dxa"/>
              <w:start w:w="100" w:type="dxa"/>
              <w:bottom w:w="90" w:type="dxa"/>
              <w:end w:w="100" w:type="dxa"/>
            </w:tcMar>
          </w:tcPr>
          <w:p>
            <w:pPr>
              <w:spacing w:after="40"/>
            </w:pPr>
            <w:r>
              <w:rPr>
                <w:rFonts w:ascii="Aptos" w:hAnsi="Aptos"/>
                <w:color w:val="000000"/>
                <w:sz w:val="18"/>
              </w:rPr>
              <w:t>October 2026</w:t>
            </w:r>
          </w:p>
        </w:tc>
        <w:tc>
          <w:tcPr>
            <w:tcW w:type="dxa" w:w="3374"/>
            <w:vAlign w:val="center"/>
            <w:tcMar>
              <w:top w:w="90" w:type="dxa"/>
              <w:start w:w="100" w:type="dxa"/>
              <w:bottom w:w="90" w:type="dxa"/>
              <w:end w:w="100" w:type="dxa"/>
            </w:tcMar>
          </w:tcPr>
          <w:p>
            <w:pPr>
              <w:spacing w:after="40"/>
            </w:pPr>
            <w:r>
              <w:rPr>
                <w:rFonts w:ascii="Aptos" w:hAnsi="Aptos"/>
                <w:color w:val="000000"/>
                <w:sz w:val="18"/>
              </w:rPr>
              <w:t>Consolidated publication standard.</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4.0</w:t>
            </w:r>
          </w:p>
        </w:tc>
        <w:tc>
          <w:tcPr>
            <w:tcW w:type="dxa" w:w="3374"/>
            <w:vAlign w:val="center"/>
            <w:tcMar>
              <w:top w:w="90" w:type="dxa"/>
              <w:start w:w="100" w:type="dxa"/>
              <w:bottom w:w="90" w:type="dxa"/>
              <w:end w:w="100" w:type="dxa"/>
            </w:tcMar>
          </w:tcPr>
          <w:p>
            <w:pPr>
              <w:spacing w:after="40"/>
            </w:pPr>
            <w:r>
              <w:rPr>
                <w:rFonts w:ascii="Aptos" w:hAnsi="Aptos"/>
                <w:color w:val="000000"/>
                <w:sz w:val="18"/>
              </w:rPr>
              <w:t>October 2026</w:t>
            </w:r>
          </w:p>
        </w:tc>
        <w:tc>
          <w:tcPr>
            <w:tcW w:type="dxa" w:w="3374"/>
            <w:vAlign w:val="center"/>
            <w:tcMar>
              <w:top w:w="90" w:type="dxa"/>
              <w:start w:w="100" w:type="dxa"/>
              <w:bottom w:w="90" w:type="dxa"/>
              <w:end w:w="100" w:type="dxa"/>
            </w:tcMar>
          </w:tcPr>
          <w:p>
            <w:pPr>
              <w:spacing w:after="40"/>
            </w:pPr>
            <w:r>
              <w:rPr>
                <w:rFonts w:ascii="Aptos" w:hAnsi="Aptos"/>
                <w:color w:val="000000"/>
                <w:sz w:val="18"/>
              </w:rPr>
              <w:t>Rewritten as an explanatory SDLC guide for junior-to-architect audiences, with why/when/how guidance, decision paths and worked neutral examples.</w:t>
            </w:r>
          </w:p>
        </w:tc>
      </w:tr>
    </w:tbl>
    <w:p>
      <w:pPr>
        <w:pStyle w:val="Heading1"/>
      </w:pPr>
      <w:r>
        <w:t>Contents</w:t>
      </w:r>
    </w:p>
    <w:p>
      <w:r>
        <w:fldChar w:fldCharType="begin"/>
        <w:instrText xml:space="preserve"> TOC \o "1-3" \h \z \u </w:instrText>
        <w:fldChar w:fldCharType="separate"/>
        <w:t>(TOC will populate after updating fields)</w:t>
        <w:fldChar w:fldCharType="end"/>
      </w:r>
    </w:p>
    <w:p>
      <w:pPr>
        <w:pStyle w:val="Heading1"/>
      </w:pPr>
      <w:r>
        <w:t>1. How to Read and Apply This Guide</w:t>
      </w:r>
    </w:p>
    <w:p>
      <w:r>
        <w:t>A full-stack SAP application is not just a user interface plus an OData service. It is a chain of decisions about transaction ownership, data contracts, user experience, authorisation, persistence, integration, deployment and support. A weak decision early in the project usually appears later as difficult testing, upgrade risk or production instability. This guide therefore follows the order in which those decisions should be made.</w:t>
      </w:r>
    </w:p>
    <w:p>
      <w:r>
        <w:t>Junior developers should read the lifecycle chapters in sequence for a new project. Experienced developers can use the decision sections as reference points. Architects and reviewers should use the phase exit criteria to judge whether a project is ready to move forward.</w:t>
      </w:r>
    </w:p>
    <w:tbl>
      <w:tblPr>
        <w:tblStyle w:val="TableGrid"/>
        <w:tblW w:type="auto" w:w="0"/>
        <w:tblLook w:firstColumn="1" w:firstRow="1" w:lastColumn="0" w:lastRow="0" w:noHBand="0" w:noVBand="1" w:val="04A0"/>
      </w:tblPr>
      <w:tblGrid>
        <w:gridCol w:w="10123"/>
      </w:tblGrid>
      <w:tr>
        <w:trPr>
          <w:tblHeader w:val="true"/>
        </w:trPr>
        <w:tc>
          <w:tcPr>
            <w:tcW w:type="dxa" w:w="10123"/>
            <w:shd w:fill="F2F2F2"/>
            <w:tcMar>
              <w:top w:w="90" w:type="dxa"/>
              <w:start w:w="100" w:type="dxa"/>
              <w:bottom w:w="90" w:type="dxa"/>
              <w:end w:w="100" w:type="dxa"/>
            </w:tcMar>
          </w:tcPr>
          <w:p>
            <w:r>
              <w:rPr>
                <w:b/>
              </w:rPr>
              <w:t xml:space="preserve">Working rule  </w:t>
            </w:r>
            <w:r>
              <w:t>Do not start with “Which technology do I want to use?” Start with “Who owns the business transaction and data, who consumes it, and what must remain stable over time?”</w:t>
            </w:r>
          </w:p>
        </w:tc>
      </w:tr>
    </w:tbl>
    <w:p>
      <w:pPr>
        <w:pStyle w:val="Heading2"/>
      </w:pPr>
      <w:r>
        <w:t>1.1 Normative language</w:t>
      </w:r>
    </w:p>
    <w:p>
      <w:pPr>
        <w:pStyle w:val="ListBullet"/>
      </w:pPr>
      <w:r>
        <w:t>MUST is mandatory. A change that breaks the rule does not merge or release without an approved exception.</w:t>
      </w:r>
    </w:p>
    <w:p>
      <w:pPr>
        <w:pStyle w:val="ListBullet"/>
      </w:pPr>
      <w:r>
        <w:t>SHOULD is the expected approach. Deviation needs a written reason and evidence that the alternative is safe.</w:t>
      </w:r>
    </w:p>
    <w:p>
      <w:pPr>
        <w:pStyle w:val="ListBullet"/>
      </w:pPr>
      <w:r>
        <w:t>MAY is optional. Use it only when it adds value and does not introduce unnecessary complexity.</w:t>
      </w:r>
    </w:p>
    <w:p>
      <w:pPr>
        <w:pStyle w:val="Heading2"/>
      </w:pPr>
      <w:r>
        <w:t>1.2 When a junior developer should escalate</w:t>
      </w:r>
    </w:p>
    <w:p>
      <w:r>
        <w:t>The guide is intended to make everyday engineering decisions self-service. Escalation is still appropriate when the decision changes ownership, security, data integrity or operational exposure.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Escalate when</w:t>
            </w:r>
          </w:p>
        </w:tc>
        <w:tc>
          <w:tcPr>
            <w:tcW w:type="dxa" w:w="5061"/>
            <w:shd w:fill="E7E6E6"/>
            <w:vAlign w:val="center"/>
            <w:tcMar>
              <w:top w:w="90" w:type="dxa"/>
              <w:start w:w="100" w:type="dxa"/>
              <w:bottom w:w="90" w:type="dxa"/>
              <w:end w:w="100" w:type="dxa"/>
            </w:tcMar>
          </w:tcPr>
          <w:p>
            <w:r>
              <w:rPr>
                <w:b/>
                <w:color w:val="000000"/>
                <w:sz w:val="18"/>
              </w:rPr>
              <w:t>Why specialist review is needed</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A standard S/4HANA table or internal object is proposed</w:t>
            </w:r>
          </w:p>
        </w:tc>
        <w:tc>
          <w:tcPr>
            <w:tcW w:type="dxa" w:w="5061"/>
            <w:vAlign w:val="center"/>
            <w:tcMar>
              <w:top w:w="90" w:type="dxa"/>
              <w:start w:w="100" w:type="dxa"/>
              <w:bottom w:w="90" w:type="dxa"/>
              <w:end w:w="100" w:type="dxa"/>
            </w:tcMar>
          </w:tcPr>
          <w:p>
            <w:pPr>
              <w:spacing w:after="40"/>
            </w:pPr>
            <w:r>
              <w:rPr>
                <w:rFonts w:ascii="Aptos" w:hAnsi="Aptos"/>
                <w:color w:val="000000"/>
                <w:sz w:val="18"/>
              </w:rPr>
              <w:t>This affects clean-core classification and upgrade risk.</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A BAPI or legacy API commits internally</w:t>
            </w:r>
          </w:p>
        </w:tc>
        <w:tc>
          <w:tcPr>
            <w:tcW w:type="dxa" w:w="5061"/>
            <w:vAlign w:val="center"/>
            <w:tcMar>
              <w:top w:w="90" w:type="dxa"/>
              <w:start w:w="100" w:type="dxa"/>
              <w:bottom w:w="90" w:type="dxa"/>
              <w:end w:w="100" w:type="dxa"/>
            </w:tcMar>
          </w:tcPr>
          <w:p>
            <w:pPr>
              <w:spacing w:after="40"/>
            </w:pPr>
            <w:r>
              <w:rPr>
                <w:rFonts w:ascii="Aptos" w:hAnsi="Aptos"/>
                <w:color w:val="000000"/>
                <w:sz w:val="18"/>
              </w:rPr>
              <w:t>This can break RAP save-sequence consistency.</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A new multitenant SaaS design is proposed</w:t>
            </w:r>
          </w:p>
        </w:tc>
        <w:tc>
          <w:tcPr>
            <w:tcW w:type="dxa" w:w="5061"/>
            <w:vAlign w:val="center"/>
            <w:tcMar>
              <w:top w:w="90" w:type="dxa"/>
              <w:start w:w="100" w:type="dxa"/>
              <w:bottom w:w="90" w:type="dxa"/>
              <w:end w:w="100" w:type="dxa"/>
            </w:tcMar>
          </w:tcPr>
          <w:p>
            <w:pPr>
              <w:spacing w:after="40"/>
            </w:pPr>
            <w:r>
              <w:rPr>
                <w:rFonts w:ascii="Aptos" w:hAnsi="Aptos"/>
                <w:color w:val="000000"/>
                <w:sz w:val="18"/>
              </w:rPr>
              <w:t>Tenant isolation, subscription and upgrade lifecycle are architectural concerns.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Personal, payroll, health or highly restricted data is involved</w:t>
            </w:r>
          </w:p>
        </w:tc>
        <w:tc>
          <w:tcPr>
            <w:tcW w:type="dxa" w:w="5061"/>
            <w:vAlign w:val="center"/>
            <w:tcMar>
              <w:top w:w="90" w:type="dxa"/>
              <w:start w:w="100" w:type="dxa"/>
              <w:bottom w:w="90" w:type="dxa"/>
              <w:end w:w="100" w:type="dxa"/>
            </w:tcMar>
          </w:tcPr>
          <w:p>
            <w:pPr>
              <w:spacing w:after="40"/>
            </w:pPr>
            <w:r>
              <w:rPr>
                <w:rFonts w:ascii="Aptos" w:hAnsi="Aptos"/>
                <w:color w:val="000000"/>
                <w:sz w:val="18"/>
              </w:rPr>
              <w:t>Privacy, retention, masking and audit rules require security and data-owner input.</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A public endpoint, anonymous route or internet-facing integration is required</w:t>
            </w:r>
          </w:p>
        </w:tc>
        <w:tc>
          <w:tcPr>
            <w:tcW w:type="dxa" w:w="5061"/>
            <w:vAlign w:val="center"/>
            <w:tcMar>
              <w:top w:w="90" w:type="dxa"/>
              <w:start w:w="100" w:type="dxa"/>
              <w:bottom w:w="90" w:type="dxa"/>
              <w:end w:w="100" w:type="dxa"/>
            </w:tcMar>
          </w:tcPr>
          <w:p>
            <w:pPr>
              <w:spacing w:after="40"/>
            </w:pPr>
            <w:r>
              <w:rPr>
                <w:rFonts w:ascii="Aptos" w:hAnsi="Aptos"/>
                <w:color w:val="000000"/>
                <w:sz w:val="18"/>
              </w:rPr>
              <w:t>Threat modelling and platform security controls must be reviewed.</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A microservice split is proposed</w:t>
            </w:r>
          </w:p>
        </w:tc>
        <w:tc>
          <w:tcPr>
            <w:tcW w:type="dxa" w:w="5061"/>
            <w:vAlign w:val="center"/>
            <w:tcMar>
              <w:top w:w="90" w:type="dxa"/>
              <w:start w:w="100" w:type="dxa"/>
              <w:bottom w:w="90" w:type="dxa"/>
              <w:end w:w="100" w:type="dxa"/>
            </w:tcMar>
          </w:tcPr>
          <w:p>
            <w:pPr>
              <w:spacing w:after="40"/>
            </w:pPr>
            <w:r>
              <w:rPr>
                <w:rFonts w:ascii="Aptos" w:hAnsi="Aptos"/>
                <w:color w:val="000000"/>
                <w:sz w:val="18"/>
              </w:rPr>
              <w:t>Service boundaries add deployment, consistency, monitoring and support cost.</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Performance remains outside agreed targets after evidence-based tuning</w:t>
            </w:r>
          </w:p>
        </w:tc>
        <w:tc>
          <w:tcPr>
            <w:tcW w:type="dxa" w:w="5061"/>
            <w:vAlign w:val="center"/>
            <w:tcMar>
              <w:top w:w="90" w:type="dxa"/>
              <w:start w:w="100" w:type="dxa"/>
              <w:bottom w:w="90" w:type="dxa"/>
              <w:end w:w="100" w:type="dxa"/>
            </w:tcMar>
          </w:tcPr>
          <w:p>
            <w:pPr>
              <w:spacing w:after="40"/>
            </w:pPr>
            <w:r>
              <w:rPr>
                <w:rFonts w:ascii="Aptos" w:hAnsi="Aptos"/>
                <w:color w:val="000000"/>
                <w:sz w:val="18"/>
              </w:rPr>
              <w:t>Database, UI and platform specialists may need to interpret traces and plans.</w:t>
            </w:r>
          </w:p>
        </w:tc>
      </w:tr>
    </w:tbl>
    <w:p>
      <w:pPr>
        <w:pStyle w:val="Heading1"/>
      </w:pPr>
      <w:r>
        <w:t>2. The SAP Full-Stack Mental Model</w:t>
      </w:r>
    </w:p>
    <w:p>
      <w:r>
        <w:t>A useful mental model is to separate the system into responsibilities. Each responsibility should have one clear owner. When responsibilities are mixed, the same rule is often reimplemented in several places.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Responsibility</w:t>
            </w:r>
          </w:p>
        </w:tc>
        <w:tc>
          <w:tcPr>
            <w:tcW w:type="dxa" w:w="3374"/>
            <w:shd w:fill="E7E6E6"/>
            <w:vAlign w:val="center"/>
            <w:tcMar>
              <w:top w:w="90" w:type="dxa"/>
              <w:start w:w="100" w:type="dxa"/>
              <w:bottom w:w="90" w:type="dxa"/>
              <w:end w:w="100" w:type="dxa"/>
            </w:tcMar>
          </w:tcPr>
          <w:p>
            <w:r>
              <w:rPr>
                <w:b/>
                <w:color w:val="000000"/>
                <w:sz w:val="18"/>
              </w:rPr>
              <w:t>Where it normally belongs</w:t>
            </w:r>
          </w:p>
        </w:tc>
        <w:tc>
          <w:tcPr>
            <w:tcW w:type="dxa" w:w="3374"/>
            <w:shd w:fill="E7E6E6"/>
            <w:vAlign w:val="center"/>
            <w:tcMar>
              <w:top w:w="90" w:type="dxa"/>
              <w:start w:w="100" w:type="dxa"/>
              <w:bottom w:w="90" w:type="dxa"/>
              <w:end w:w="100" w:type="dxa"/>
            </w:tcMar>
          </w:tcPr>
          <w:p>
            <w:r>
              <w:rPr>
                <w:b/>
                <w:color w:val="000000"/>
                <w:sz w:val="18"/>
              </w:rPr>
              <w:t>Why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Business transaction and invariants</w:t>
            </w:r>
          </w:p>
        </w:tc>
        <w:tc>
          <w:tcPr>
            <w:tcW w:type="dxa" w:w="3374"/>
            <w:vAlign w:val="center"/>
            <w:tcMar>
              <w:top w:w="90" w:type="dxa"/>
              <w:start w:w="100" w:type="dxa"/>
              <w:bottom w:w="90" w:type="dxa"/>
              <w:end w:w="100" w:type="dxa"/>
            </w:tcMar>
          </w:tcPr>
          <w:p>
            <w:pPr>
              <w:spacing w:after="40"/>
            </w:pPr>
            <w:r>
              <w:rPr>
                <w:rFonts w:ascii="Aptos" w:hAnsi="Aptos"/>
                <w:color w:val="000000"/>
                <w:sz w:val="18"/>
              </w:rPr>
              <w:t>RAP when the transaction belongs to S/4HANA; CAP domain/service layer for side-by-side capability</w:t>
            </w:r>
          </w:p>
        </w:tc>
        <w:tc>
          <w:tcPr>
            <w:tcW w:type="dxa" w:w="3374"/>
            <w:vAlign w:val="center"/>
            <w:tcMar>
              <w:top w:w="90" w:type="dxa"/>
              <w:start w:w="100" w:type="dxa"/>
              <w:bottom w:w="90" w:type="dxa"/>
              <w:end w:w="100" w:type="dxa"/>
            </w:tcMar>
          </w:tcPr>
          <w:p>
            <w:pPr>
              <w:spacing w:after="40"/>
            </w:pPr>
            <w:r>
              <w:rPr>
                <w:rFonts w:ascii="Aptos" w:hAnsi="Aptos"/>
                <w:color w:val="000000"/>
                <w:sz w:val="18"/>
              </w:rPr>
              <w:t>The system of record must remain authoritative.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Consumer contract</w:t>
            </w:r>
          </w:p>
        </w:tc>
        <w:tc>
          <w:tcPr>
            <w:tcW w:type="dxa" w:w="3374"/>
            <w:vAlign w:val="center"/>
            <w:tcMar>
              <w:top w:w="90" w:type="dxa"/>
              <w:start w:w="100" w:type="dxa"/>
              <w:bottom w:w="90" w:type="dxa"/>
              <w:end w:w="100" w:type="dxa"/>
            </w:tcMar>
          </w:tcPr>
          <w:p>
            <w:pPr>
              <w:spacing w:after="40"/>
            </w:pPr>
            <w:r>
              <w:rPr>
                <w:rFonts w:ascii="Aptos" w:hAnsi="Aptos"/>
                <w:color w:val="000000"/>
                <w:sz w:val="18"/>
              </w:rPr>
              <w:t>RAP projection/service or CAP service projection</w:t>
            </w:r>
          </w:p>
        </w:tc>
        <w:tc>
          <w:tcPr>
            <w:tcW w:type="dxa" w:w="3374"/>
            <w:vAlign w:val="center"/>
            <w:tcMar>
              <w:top w:w="90" w:type="dxa"/>
              <w:start w:w="100" w:type="dxa"/>
              <w:bottom w:w="90" w:type="dxa"/>
              <w:end w:w="100" w:type="dxa"/>
            </w:tcMar>
          </w:tcPr>
          <w:p>
            <w:pPr>
              <w:spacing w:after="40"/>
            </w:pPr>
            <w:r>
              <w:rPr>
                <w:rFonts w:ascii="Aptos" w:hAnsi="Aptos"/>
                <w:color w:val="000000"/>
                <w:sz w:val="18"/>
              </w:rPr>
              <w:t>Consumers should not depend on persistence details.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User interaction</w:t>
            </w:r>
          </w:p>
        </w:tc>
        <w:tc>
          <w:tcPr>
            <w:tcW w:type="dxa" w:w="3374"/>
            <w:vAlign w:val="center"/>
            <w:tcMar>
              <w:top w:w="90" w:type="dxa"/>
              <w:start w:w="100" w:type="dxa"/>
              <w:bottom w:w="90" w:type="dxa"/>
              <w:end w:w="100" w:type="dxa"/>
            </w:tcMar>
          </w:tcPr>
          <w:p>
            <w:pPr>
              <w:spacing w:after="40"/>
            </w:pPr>
            <w:r>
              <w:rPr>
                <w:rFonts w:ascii="Aptos" w:hAnsi="Aptos"/>
                <w:color w:val="000000"/>
                <w:sz w:val="18"/>
              </w:rPr>
              <w:t>Fiori elements or SAPUI5</w:t>
            </w:r>
          </w:p>
        </w:tc>
        <w:tc>
          <w:tcPr>
            <w:tcW w:type="dxa" w:w="3374"/>
            <w:vAlign w:val="center"/>
            <w:tcMar>
              <w:top w:w="90" w:type="dxa"/>
              <w:start w:w="100" w:type="dxa"/>
              <w:bottom w:w="90" w:type="dxa"/>
              <w:end w:w="100" w:type="dxa"/>
            </w:tcMar>
          </w:tcPr>
          <w:p>
            <w:pPr>
              <w:spacing w:after="40"/>
            </w:pPr>
            <w:r>
              <w:rPr>
                <w:rFonts w:ascii="Aptos" w:hAnsi="Aptos"/>
                <w:color w:val="000000"/>
                <w:sz w:val="18"/>
              </w:rPr>
              <w:t>The UI coordinates interaction but does not enforce business security.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Authentication</w:t>
            </w:r>
          </w:p>
        </w:tc>
        <w:tc>
          <w:tcPr>
            <w:tcW w:type="dxa" w:w="3374"/>
            <w:vAlign w:val="center"/>
            <w:tcMar>
              <w:top w:w="90" w:type="dxa"/>
              <w:start w:w="100" w:type="dxa"/>
              <w:bottom w:w="90" w:type="dxa"/>
              <w:end w:w="100" w:type="dxa"/>
            </w:tcMar>
          </w:tcPr>
          <w:p>
            <w:pPr>
              <w:spacing w:after="40"/>
            </w:pPr>
            <w:r>
              <w:rPr>
                <w:rFonts w:ascii="Aptos" w:hAnsi="Aptos"/>
                <w:color w:val="000000"/>
                <w:sz w:val="18"/>
              </w:rPr>
              <w:t>SAP BTP identity and application-router services</w:t>
            </w:r>
          </w:p>
        </w:tc>
        <w:tc>
          <w:tcPr>
            <w:tcW w:type="dxa" w:w="3374"/>
            <w:vAlign w:val="center"/>
            <w:tcMar>
              <w:top w:w="90" w:type="dxa"/>
              <w:start w:w="100" w:type="dxa"/>
              <w:bottom w:w="90" w:type="dxa"/>
              <w:end w:w="100" w:type="dxa"/>
            </w:tcMar>
          </w:tcPr>
          <w:p>
            <w:pPr>
              <w:spacing w:after="40"/>
            </w:pPr>
            <w:r>
              <w:rPr>
                <w:rFonts w:ascii="Aptos" w:hAnsi="Aptos"/>
                <w:color w:val="000000"/>
                <w:sz w:val="18"/>
              </w:rPr>
              <w:t>Applications should not implement passwords, sessions or cryptography.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Authorisation</w:t>
            </w:r>
          </w:p>
        </w:tc>
        <w:tc>
          <w:tcPr>
            <w:tcW w:type="dxa" w:w="3374"/>
            <w:vAlign w:val="center"/>
            <w:tcMar>
              <w:top w:w="90" w:type="dxa"/>
              <w:start w:w="100" w:type="dxa"/>
              <w:bottom w:w="90" w:type="dxa"/>
              <w:end w:w="100" w:type="dxa"/>
            </w:tcMar>
          </w:tcPr>
          <w:p>
            <w:pPr>
              <w:spacing w:after="40"/>
            </w:pPr>
            <w:r>
              <w:rPr>
                <w:rFonts w:ascii="Aptos" w:hAnsi="Aptos"/>
                <w:color w:val="000000"/>
                <w:sz w:val="18"/>
              </w:rPr>
              <w:t>RAP DCL/behaviour authorisation or CAP @requires/@restrict</w:t>
            </w:r>
          </w:p>
        </w:tc>
        <w:tc>
          <w:tcPr>
            <w:tcW w:type="dxa" w:w="3374"/>
            <w:vAlign w:val="center"/>
            <w:tcMar>
              <w:top w:w="90" w:type="dxa"/>
              <w:start w:w="100" w:type="dxa"/>
              <w:bottom w:w="90" w:type="dxa"/>
              <w:end w:w="100" w:type="dxa"/>
            </w:tcMar>
          </w:tcPr>
          <w:p>
            <w:pPr>
              <w:spacing w:after="40"/>
            </w:pPr>
            <w:r>
              <w:rPr>
                <w:rFonts w:ascii="Aptos" w:hAnsi="Aptos"/>
                <w:color w:val="000000"/>
                <w:sz w:val="18"/>
              </w:rPr>
              <w:t>Authorisation must be enforced server-side.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Persistence</w:t>
            </w:r>
          </w:p>
        </w:tc>
        <w:tc>
          <w:tcPr>
            <w:tcW w:type="dxa" w:w="3374"/>
            <w:vAlign w:val="center"/>
            <w:tcMar>
              <w:top w:w="90" w:type="dxa"/>
              <w:start w:w="100" w:type="dxa"/>
              <w:bottom w:w="90" w:type="dxa"/>
              <w:end w:w="100" w:type="dxa"/>
            </w:tcMar>
          </w:tcPr>
          <w:p>
            <w:pPr>
              <w:spacing w:after="40"/>
            </w:pPr>
            <w:r>
              <w:rPr>
                <w:rFonts w:ascii="Aptos" w:hAnsi="Aptos"/>
                <w:color w:val="000000"/>
                <w:sz w:val="18"/>
              </w:rPr>
              <w:t>S/4HANA-owned objects for RAP; SAP HANA Cloud for CAP-owned data</w:t>
            </w:r>
          </w:p>
        </w:tc>
        <w:tc>
          <w:tcPr>
            <w:tcW w:type="dxa" w:w="3374"/>
            <w:vAlign w:val="center"/>
            <w:tcMar>
              <w:top w:w="90" w:type="dxa"/>
              <w:start w:w="100" w:type="dxa"/>
              <w:bottom w:w="90" w:type="dxa"/>
              <w:end w:w="100" w:type="dxa"/>
            </w:tcMar>
          </w:tcPr>
          <w:p>
            <w:pPr>
              <w:spacing w:after="40"/>
            </w:pPr>
            <w:r>
              <w:rPr>
                <w:rFonts w:ascii="Aptos" w:hAnsi="Aptos"/>
                <w:color w:val="000000"/>
                <w:sz w:val="18"/>
              </w:rPr>
              <w:t>Ownership determines transaction and lifecycle.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Integration</w:t>
            </w:r>
          </w:p>
        </w:tc>
        <w:tc>
          <w:tcPr>
            <w:tcW w:type="dxa" w:w="3374"/>
            <w:vAlign w:val="center"/>
            <w:tcMar>
              <w:top w:w="90" w:type="dxa"/>
              <w:start w:w="100" w:type="dxa"/>
              <w:bottom w:w="90" w:type="dxa"/>
              <w:end w:w="100" w:type="dxa"/>
            </w:tcMar>
          </w:tcPr>
          <w:p>
            <w:pPr>
              <w:spacing w:after="40"/>
            </w:pPr>
            <w:r>
              <w:rPr>
                <w:rFonts w:ascii="Aptos" w:hAnsi="Aptos"/>
                <w:color w:val="000000"/>
                <w:sz w:val="18"/>
              </w:rPr>
              <w:t>Released APIs, destinations and events</w:t>
            </w:r>
          </w:p>
        </w:tc>
        <w:tc>
          <w:tcPr>
            <w:tcW w:type="dxa" w:w="3374"/>
            <w:vAlign w:val="center"/>
            <w:tcMar>
              <w:top w:w="90" w:type="dxa"/>
              <w:start w:w="100" w:type="dxa"/>
              <w:bottom w:w="90" w:type="dxa"/>
              <w:end w:w="100" w:type="dxa"/>
            </w:tcMar>
          </w:tcPr>
          <w:p>
            <w:pPr>
              <w:spacing w:after="40"/>
            </w:pPr>
            <w:r>
              <w:rPr>
                <w:rFonts w:ascii="Aptos" w:hAnsi="Aptos"/>
                <w:color w:val="000000"/>
                <w:sz w:val="18"/>
              </w:rPr>
              <w:t>Stable interfaces reduce coupling and support clean core.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Operations</w:t>
            </w:r>
          </w:p>
        </w:tc>
        <w:tc>
          <w:tcPr>
            <w:tcW w:type="dxa" w:w="3374"/>
            <w:vAlign w:val="center"/>
            <w:tcMar>
              <w:top w:w="90" w:type="dxa"/>
              <w:start w:w="100" w:type="dxa"/>
              <w:bottom w:w="90" w:type="dxa"/>
              <w:end w:w="100" w:type="dxa"/>
            </w:tcMar>
          </w:tcPr>
          <w:p>
            <w:pPr>
              <w:spacing w:after="40"/>
            </w:pPr>
            <w:r>
              <w:rPr>
                <w:rFonts w:ascii="Aptos" w:hAnsi="Aptos"/>
                <w:color w:val="000000"/>
                <w:sz w:val="18"/>
              </w:rPr>
              <w:t>Cloud Foundry/Kyma platform controls, logs, metrics and runbooks</w:t>
            </w:r>
          </w:p>
        </w:tc>
        <w:tc>
          <w:tcPr>
            <w:tcW w:type="dxa" w:w="3374"/>
            <w:vAlign w:val="center"/>
            <w:tcMar>
              <w:top w:w="90" w:type="dxa"/>
              <w:start w:w="100" w:type="dxa"/>
              <w:bottom w:w="90" w:type="dxa"/>
              <w:end w:w="100" w:type="dxa"/>
            </w:tcMar>
          </w:tcPr>
          <w:p>
            <w:pPr>
              <w:spacing w:after="40"/>
            </w:pPr>
            <w:r>
              <w:rPr>
                <w:rFonts w:ascii="Aptos" w:hAnsi="Aptos"/>
                <w:color w:val="000000"/>
                <w:sz w:val="18"/>
              </w:rPr>
              <w:t>The application must be supportable after development ends.</w:t>
            </w:r>
          </w:p>
        </w:tc>
      </w:tr>
    </w:tbl>
    <w:p>
      <w:pPr>
        <w:pStyle w:val="Code"/>
      </w:pPr>
      <w:r>
        <w:t>User</w:t>
      </w:r>
    </w:p>
    <w:p>
      <w:pPr>
        <w:pStyle w:val="Code"/>
      </w:pPr>
      <w:r>
        <w:t xml:space="preserve">  -&gt; Fiori elements or SAPUI5</w:t>
      </w:r>
    </w:p>
    <w:p>
      <w:pPr>
        <w:pStyle w:val="Code"/>
      </w:pPr>
      <w:r>
        <w:t xml:space="preserve">  -&gt; Application Router / service binding</w:t>
      </w:r>
    </w:p>
    <w:p>
      <w:pPr>
        <w:pStyle w:val="Code"/>
      </w:pPr>
      <w:r>
        <w:t xml:space="preserve">  -&gt; RAP or CAP service contract</w:t>
      </w:r>
    </w:p>
    <w:p>
      <w:pPr>
        <w:pStyle w:val="Code"/>
      </w:pPr>
      <w:r>
        <w:t xml:space="preserve">  -&gt; Authorisation and business behaviour</w:t>
      </w:r>
    </w:p>
    <w:p>
      <w:pPr>
        <w:pStyle w:val="Code"/>
      </w:pPr>
      <w:r>
        <w:t xml:space="preserve">  -&gt; Owned persistence or released remote API</w:t>
      </w:r>
    </w:p>
    <w:p>
      <w:pPr>
        <w:pStyle w:val="Code"/>
      </w:pPr>
      <w:r>
        <w:t xml:space="preserve">  -&gt; Structured messages and targeted UI refresh</w:t>
      </w:r>
    </w:p>
    <w:p>
      <w:pPr>
        <w:pStyle w:val="Heading1"/>
      </w:pPr>
      <w:r>
        <w:t>3. Phase 1: Discover the Problem Before Designing the Solution</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Discovery prevents the team from solving the wrong problem or reproducing a standard SAP capability in custom code. It also reveals the system of record, user roles and non-functional constraints that drive the framework decision.</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A product owner can describe the in-scope business outcome, users, data ownership, exceptions and success measures without relying on a proposed technology.</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Run short workshops with business, process, security, data and support representatives. Capture facts and open decisions separately. Validate whether a standard SAP application or configuration already covers the need.</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Problem statement, process boundary, user/persona list, data inventory, integration inventory, preliminary NFRs and fit-gap record.</w:t>
            </w:r>
          </w:p>
        </w:tc>
      </w:tr>
    </w:tbl>
    <w:p>
      <w:pPr>
        <w:pStyle w:val="Heading2"/>
      </w:pPr>
      <w:r>
        <w:t>3.1 Questions to answer</w:t>
      </w:r>
    </w:p>
    <w:p>
      <w:pPr>
        <w:pStyle w:val="ListBullet"/>
      </w:pPr>
      <w:r>
        <w:t>What business outcome changes if the application is delivered?</w:t>
      </w:r>
    </w:p>
    <w:p>
      <w:pPr>
        <w:pStyle w:val="ListBullet"/>
      </w:pPr>
      <w:r>
        <w:t>Which users perform the process, and what may each role view or change?</w:t>
      </w:r>
    </w:p>
    <w:p>
      <w:pPr>
        <w:pStyle w:val="ListBullet"/>
      </w:pPr>
      <w:r>
        <w:t>Which system is authoritative for each business object?</w:t>
      </w:r>
    </w:p>
    <w:p>
      <w:pPr>
        <w:pStyle w:val="ListBullet"/>
      </w:pPr>
      <w:r>
        <w:t>Is the process an extension of an S/4HANA transaction, or a new cross-system capability?</w:t>
      </w:r>
    </w:p>
    <w:p>
      <w:pPr>
        <w:pStyle w:val="ListBullet"/>
      </w:pPr>
      <w:r>
        <w:t>How many records, users and requests are expected at normal and peak load?</w:t>
      </w:r>
    </w:p>
    <w:p>
      <w:pPr>
        <w:pStyle w:val="ListBullet"/>
      </w:pPr>
      <w:r>
        <w:t>What happens if S/4HANA, a remote API or SAP HANA Cloud is temporarily unavailable?</w:t>
      </w:r>
    </w:p>
    <w:p>
      <w:pPr>
        <w:pStyle w:val="ListBullet"/>
      </w:pPr>
      <w:r>
        <w:t>What personal, confidential or regulated information is processed?</w:t>
      </w:r>
    </w:p>
    <w:p>
      <w:pPr>
        <w:pStyle w:val="ListBullet"/>
      </w:pPr>
      <w:r>
        <w:t>Can the requirement be met by a standard SAP application, in-app extensibility or SAP Build configuration?</w:t>
      </w:r>
    </w:p>
    <w:p>
      <w:pPr>
        <w:pStyle w:val="Heading2"/>
      </w:pPr>
      <w:r>
        <w:t>3.2 Worked example: framing the capability</w:t>
      </w:r>
    </w:p>
    <w:p>
      <w:r>
        <w:t>Suppose a team asks for “a supplier approval application.” That phrase does not identify the transaction owner. Discovery should reveal whether the application approves a supplier master change inside S/4HANA, orchestrates risk information from several systems, or merely provides a new screen over existing data. The first is likely RAP, the second is likely CAP, and the third may require no custom application at all.</w:t>
      </w:r>
    </w:p>
    <w:tbl>
      <w:tblPr>
        <w:tblStyle w:val="TableGrid"/>
        <w:tblW w:type="auto" w:w="0"/>
        <w:tblLook w:firstColumn="1" w:firstRow="1" w:lastColumn="0" w:lastRow="0" w:noHBand="0" w:noVBand="1" w:val="04A0"/>
      </w:tblPr>
      <w:tblGrid>
        <w:gridCol w:w="10123"/>
      </w:tblGrid>
      <w:tr>
        <w:trPr>
          <w:tblHeader w:val="true"/>
        </w:trPr>
        <w:tc>
          <w:tcPr>
            <w:tcW w:type="dxa" w:w="10123"/>
            <w:shd w:fill="F2F2F2"/>
            <w:tcMar>
              <w:top w:w="90" w:type="dxa"/>
              <w:start w:w="100" w:type="dxa"/>
              <w:bottom w:w="90" w:type="dxa"/>
              <w:end w:w="100" w:type="dxa"/>
            </w:tcMar>
          </w:tcPr>
          <w:p>
            <w:r>
              <w:rPr>
                <w:b/>
              </w:rPr>
              <w:t xml:space="preserve">Phase exit test  </w:t>
            </w:r>
            <w:r>
              <w:t>If the team cannot identify data ownership and the authoritative transaction, do not select RAP or CAP yet.</w:t>
            </w:r>
          </w:p>
        </w:tc>
      </w:tr>
    </w:tbl>
    <w:p>
      <w:pPr>
        <w:pStyle w:val="Heading1"/>
      </w:pPr>
      <w:r>
        <w:t>4. Phase 2: Choose the Architecture and Framework</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Framework selection determines transaction semantics, deployment lifecycle, clean-core exposure, developer skills and operational ownership. Reversing the decision after the data and service model are built is expensive.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The team can explain the selected framework using business ownership and lifecycle facts, not personal preference.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Use the decision path below, record an Architecture Decision Record (ADR), and test uncertain assumptions with a small technical spike.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Approved framework, UI, persistence, integration, tenant and deployment decisions.</w:t>
            </w:r>
          </w:p>
        </w:tc>
      </w:tr>
    </w:tbl>
    <w:p>
      <w:pPr>
        <w:pStyle w:val="Heading2"/>
      </w:pPr>
      <w:r>
        <w:t>4.1 RAP or CAP: decision path</w:t>
      </w:r>
    </w:p>
    <w:p>
      <w:pPr>
        <w:pStyle w:val="ListNumber"/>
      </w:pPr>
      <w:r>
        <w:t>Ask where the business transaction belongs. If it is an S/4HANA-owned object and must participate in the S/4HANA logical unit of work, start with RAP.</w:t>
      </w:r>
    </w:p>
    <w:p>
      <w:pPr>
        <w:pStyle w:val="ListNumber"/>
      </w:pPr>
      <w:r>
        <w:t>If the capability combines SAP and non-SAP systems, requires independent deployment, uses BTP services, or owns its own side-by-side data, start with CAP.</w:t>
      </w:r>
    </w:p>
    <w:p>
      <w:pPr>
        <w:pStyle w:val="ListNumber"/>
      </w:pPr>
      <w:r>
        <w:t>If both are true, use a hybrid design: keep S/4HANA rules in RAP and cross-system orchestration in CAP.</w:t>
      </w:r>
    </w:p>
    <w:p>
      <w:pPr>
        <w:pStyle w:val="ListNumber"/>
      </w:pPr>
      <w:r>
        <w:t>If neither is clear, return to discovery. Technology cannot resolve unknown ownership.</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Signal</w:t>
            </w:r>
          </w:p>
        </w:tc>
        <w:tc>
          <w:tcPr>
            <w:tcW w:type="dxa" w:w="3374"/>
            <w:shd w:fill="E7E6E6"/>
            <w:vAlign w:val="center"/>
            <w:tcMar>
              <w:top w:w="90" w:type="dxa"/>
              <w:start w:w="100" w:type="dxa"/>
              <w:bottom w:w="90" w:type="dxa"/>
              <w:end w:w="100" w:type="dxa"/>
            </w:tcMar>
          </w:tcPr>
          <w:p>
            <w:r>
              <w:rPr>
                <w:b/>
                <w:color w:val="000000"/>
                <w:sz w:val="18"/>
              </w:rPr>
              <w:t>RAP is stronger when</w:t>
            </w:r>
          </w:p>
        </w:tc>
        <w:tc>
          <w:tcPr>
            <w:tcW w:type="dxa" w:w="3374"/>
            <w:shd w:fill="E7E6E6"/>
            <w:vAlign w:val="center"/>
            <w:tcMar>
              <w:top w:w="90" w:type="dxa"/>
              <w:start w:w="100" w:type="dxa"/>
              <w:bottom w:w="90" w:type="dxa"/>
              <w:end w:w="100" w:type="dxa"/>
            </w:tcMar>
          </w:tcPr>
          <w:p>
            <w:r>
              <w:rPr>
                <w:b/>
                <w:color w:val="000000"/>
                <w:sz w:val="18"/>
              </w:rPr>
              <w:t>CAP is stronger when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Transaction ownership</w:t>
            </w:r>
          </w:p>
        </w:tc>
        <w:tc>
          <w:tcPr>
            <w:tcW w:type="dxa" w:w="3374"/>
            <w:vAlign w:val="center"/>
            <w:tcMar>
              <w:top w:w="90" w:type="dxa"/>
              <w:start w:w="100" w:type="dxa"/>
              <w:bottom w:w="90" w:type="dxa"/>
              <w:end w:w="100" w:type="dxa"/>
            </w:tcMar>
          </w:tcPr>
          <w:p>
            <w:pPr>
              <w:spacing w:after="40"/>
            </w:pPr>
            <w:r>
              <w:rPr>
                <w:rFonts w:ascii="Aptos" w:hAnsi="Aptos"/>
                <w:color w:val="000000"/>
                <w:sz w:val="18"/>
              </w:rPr>
              <w:t>S/4HANA owns the business object and save sequence.</w:t>
            </w:r>
          </w:p>
        </w:tc>
        <w:tc>
          <w:tcPr>
            <w:tcW w:type="dxa" w:w="3374"/>
            <w:vAlign w:val="center"/>
            <w:tcMar>
              <w:top w:w="90" w:type="dxa"/>
              <w:start w:w="100" w:type="dxa"/>
              <w:bottom w:w="90" w:type="dxa"/>
              <w:end w:w="100" w:type="dxa"/>
            </w:tcMar>
          </w:tcPr>
          <w:p>
            <w:pPr>
              <w:spacing w:after="40"/>
            </w:pPr>
            <w:r>
              <w:rPr>
                <w:rFonts w:ascii="Aptos" w:hAnsi="Aptos"/>
                <w:color w:val="000000"/>
                <w:sz w:val="18"/>
              </w:rPr>
              <w:t>The application owns a side-by-side capability or orchestrates systems.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Data</w:t>
            </w:r>
          </w:p>
        </w:tc>
        <w:tc>
          <w:tcPr>
            <w:tcW w:type="dxa" w:w="3374"/>
            <w:vAlign w:val="center"/>
            <w:tcMar>
              <w:top w:w="90" w:type="dxa"/>
              <w:start w:w="100" w:type="dxa"/>
              <w:bottom w:w="90" w:type="dxa"/>
              <w:end w:w="100" w:type="dxa"/>
            </w:tcMar>
          </w:tcPr>
          <w:p>
            <w:pPr>
              <w:spacing w:after="40"/>
            </w:pPr>
            <w:r>
              <w:rPr>
                <w:rFonts w:ascii="Aptos" w:hAnsi="Aptos"/>
                <w:color w:val="000000"/>
                <w:sz w:val="18"/>
              </w:rPr>
              <w:t>Primary data is in S/4HANA and follows SAP LUW semantics.</w:t>
            </w:r>
          </w:p>
        </w:tc>
        <w:tc>
          <w:tcPr>
            <w:tcW w:type="dxa" w:w="3374"/>
            <w:vAlign w:val="center"/>
            <w:tcMar>
              <w:top w:w="90" w:type="dxa"/>
              <w:start w:w="100" w:type="dxa"/>
              <w:bottom w:w="90" w:type="dxa"/>
              <w:end w:w="100" w:type="dxa"/>
            </w:tcMar>
          </w:tcPr>
          <w:p>
            <w:pPr>
              <w:spacing w:after="40"/>
            </w:pPr>
            <w:r>
              <w:rPr>
                <w:rFonts w:ascii="Aptos" w:hAnsi="Aptos"/>
                <w:color w:val="000000"/>
                <w:sz w:val="18"/>
              </w:rPr>
              <w:t>Application data is in SAP HANA Cloud or gathered from several sources.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Lifecycle</w:t>
            </w:r>
          </w:p>
        </w:tc>
        <w:tc>
          <w:tcPr>
            <w:tcW w:type="dxa" w:w="3374"/>
            <w:vAlign w:val="center"/>
            <w:tcMar>
              <w:top w:w="90" w:type="dxa"/>
              <w:start w:w="100" w:type="dxa"/>
              <w:bottom w:w="90" w:type="dxa"/>
              <w:end w:w="100" w:type="dxa"/>
            </w:tcMar>
          </w:tcPr>
          <w:p>
            <w:pPr>
              <w:spacing w:after="40"/>
            </w:pPr>
            <w:r>
              <w:rPr>
                <w:rFonts w:ascii="Aptos" w:hAnsi="Aptos"/>
                <w:color w:val="000000"/>
                <w:sz w:val="18"/>
              </w:rPr>
              <w:t>Release follows S/4HANA transport and upgrade cadence.</w:t>
            </w:r>
          </w:p>
        </w:tc>
        <w:tc>
          <w:tcPr>
            <w:tcW w:type="dxa" w:w="3374"/>
            <w:vAlign w:val="center"/>
            <w:tcMar>
              <w:top w:w="90" w:type="dxa"/>
              <w:start w:w="100" w:type="dxa"/>
              <w:bottom w:w="90" w:type="dxa"/>
              <w:end w:w="100" w:type="dxa"/>
            </w:tcMar>
          </w:tcPr>
          <w:p>
            <w:pPr>
              <w:spacing w:after="40"/>
            </w:pPr>
            <w:r>
              <w:rPr>
                <w:rFonts w:ascii="Aptos" w:hAnsi="Aptos"/>
                <w:color w:val="000000"/>
                <w:sz w:val="18"/>
              </w:rPr>
              <w:t>Release must be independent of S/4HANA.</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Platform services</w:t>
            </w:r>
          </w:p>
        </w:tc>
        <w:tc>
          <w:tcPr>
            <w:tcW w:type="dxa" w:w="3374"/>
            <w:vAlign w:val="center"/>
            <w:tcMar>
              <w:top w:w="90" w:type="dxa"/>
              <w:start w:w="100" w:type="dxa"/>
              <w:bottom w:w="90" w:type="dxa"/>
              <w:end w:w="100" w:type="dxa"/>
            </w:tcMar>
          </w:tcPr>
          <w:p>
            <w:pPr>
              <w:spacing w:after="40"/>
            </w:pPr>
            <w:r>
              <w:rPr>
                <w:rFonts w:ascii="Aptos" w:hAnsi="Aptos"/>
                <w:color w:val="000000"/>
                <w:sz w:val="18"/>
              </w:rPr>
              <w:t>Limited need outside ABAP platform.</w:t>
            </w:r>
          </w:p>
        </w:tc>
        <w:tc>
          <w:tcPr>
            <w:tcW w:type="dxa" w:w="3374"/>
            <w:vAlign w:val="center"/>
            <w:tcMar>
              <w:top w:w="90" w:type="dxa"/>
              <w:start w:w="100" w:type="dxa"/>
              <w:bottom w:w="90" w:type="dxa"/>
              <w:end w:w="100" w:type="dxa"/>
            </w:tcMar>
          </w:tcPr>
          <w:p>
            <w:pPr>
              <w:spacing w:after="40"/>
            </w:pPr>
            <w:r>
              <w:rPr>
                <w:rFonts w:ascii="Aptos" w:hAnsi="Aptos"/>
                <w:color w:val="000000"/>
                <w:sz w:val="18"/>
              </w:rPr>
              <w:t>Needs messaging, AI, document, workflow, multitenancy or Node.js libraries.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Integration</w:t>
            </w:r>
          </w:p>
        </w:tc>
        <w:tc>
          <w:tcPr>
            <w:tcW w:type="dxa" w:w="3374"/>
            <w:vAlign w:val="center"/>
            <w:tcMar>
              <w:top w:w="90" w:type="dxa"/>
              <w:start w:w="100" w:type="dxa"/>
              <w:bottom w:w="90" w:type="dxa"/>
              <w:end w:w="100" w:type="dxa"/>
            </w:tcMar>
          </w:tcPr>
          <w:p>
            <w:pPr>
              <w:spacing w:after="40"/>
            </w:pPr>
            <w:r>
              <w:rPr>
                <w:rFonts w:ascii="Aptos" w:hAnsi="Aptos"/>
                <w:color w:val="000000"/>
                <w:sz w:val="18"/>
              </w:rPr>
              <w:t>Mostly within S/4HANA.</w:t>
            </w:r>
          </w:p>
        </w:tc>
        <w:tc>
          <w:tcPr>
            <w:tcW w:type="dxa" w:w="3374"/>
            <w:vAlign w:val="center"/>
            <w:tcMar>
              <w:top w:w="90" w:type="dxa"/>
              <w:start w:w="100" w:type="dxa"/>
              <w:bottom w:w="90" w:type="dxa"/>
              <w:end w:w="100" w:type="dxa"/>
            </w:tcMar>
          </w:tcPr>
          <w:p>
            <w:pPr>
              <w:spacing w:after="40"/>
            </w:pPr>
            <w:r>
              <w:rPr>
                <w:rFonts w:ascii="Aptos" w:hAnsi="Aptos"/>
                <w:color w:val="000000"/>
                <w:sz w:val="18"/>
              </w:rPr>
              <w:t>Multiple SAP/non-SAP APIs and events.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Clean core</w:t>
            </w:r>
          </w:p>
        </w:tc>
        <w:tc>
          <w:tcPr>
            <w:tcW w:type="dxa" w:w="3374"/>
            <w:vAlign w:val="center"/>
            <w:tcMar>
              <w:top w:w="90" w:type="dxa"/>
              <w:start w:w="100" w:type="dxa"/>
              <w:bottom w:w="90" w:type="dxa"/>
              <w:end w:w="100" w:type="dxa"/>
            </w:tcMar>
          </w:tcPr>
          <w:p>
            <w:pPr>
              <w:spacing w:after="40"/>
            </w:pPr>
            <w:r>
              <w:rPr>
                <w:rFonts w:ascii="Aptos" w:hAnsi="Aptos"/>
                <w:color w:val="000000"/>
                <w:sz w:val="18"/>
              </w:rPr>
              <w:t>ABAP Cloud and released objects on-stack.</w:t>
            </w:r>
          </w:p>
        </w:tc>
        <w:tc>
          <w:tcPr>
            <w:tcW w:type="dxa" w:w="3374"/>
            <w:vAlign w:val="center"/>
            <w:tcMar>
              <w:top w:w="90" w:type="dxa"/>
              <w:start w:w="100" w:type="dxa"/>
              <w:bottom w:w="90" w:type="dxa"/>
              <w:end w:w="100" w:type="dxa"/>
            </w:tcMar>
          </w:tcPr>
          <w:p>
            <w:pPr>
              <w:spacing w:after="40"/>
            </w:pPr>
            <w:r>
              <w:rPr>
                <w:rFonts w:ascii="Aptos" w:hAnsi="Aptos"/>
                <w:color w:val="000000"/>
                <w:sz w:val="18"/>
              </w:rPr>
              <w:t>Side-by-side decoupling through released APIs/events.</w:t>
            </w:r>
          </w:p>
        </w:tc>
      </w:tr>
    </w:tbl>
    <w:p>
      <w:pPr>
        <w:pStyle w:val="Heading2"/>
      </w:pPr>
      <w:r>
        <w:t>4.2 Managed RAP, unmanaged save or unmanaged RAP</w:t>
      </w:r>
    </w:p>
    <w:p>
      <w:r>
        <w:t>Managed RAP is the default because the framework supplies standard interaction, buffering and save behaviour. The developer then concentrates on business rules. Unmanaged RAP transfers much more responsibility to the developer, including buffer, CRUD, locks and save handling. Use that responsibility only when existing business logic genuinely requires it.</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Situation</w:t>
            </w:r>
          </w:p>
        </w:tc>
        <w:tc>
          <w:tcPr>
            <w:tcW w:type="dxa" w:w="3374"/>
            <w:shd w:fill="E7E6E6"/>
            <w:vAlign w:val="center"/>
            <w:tcMar>
              <w:top w:w="90" w:type="dxa"/>
              <w:start w:w="100" w:type="dxa"/>
              <w:bottom w:w="90" w:type="dxa"/>
              <w:end w:w="100" w:type="dxa"/>
            </w:tcMar>
          </w:tcPr>
          <w:p>
            <w:r>
              <w:rPr>
                <w:b/>
                <w:color w:val="000000"/>
                <w:sz w:val="18"/>
              </w:rPr>
              <w:t>Choose</w:t>
            </w:r>
          </w:p>
        </w:tc>
        <w:tc>
          <w:tcPr>
            <w:tcW w:type="dxa" w:w="3374"/>
            <w:shd w:fill="E7E6E6"/>
            <w:vAlign w:val="center"/>
            <w:tcMar>
              <w:top w:w="90" w:type="dxa"/>
              <w:start w:w="100" w:type="dxa"/>
              <w:bottom w:w="90" w:type="dxa"/>
              <w:end w:w="100" w:type="dxa"/>
            </w:tcMar>
          </w:tcPr>
          <w:p>
            <w:r>
              <w:rPr>
                <w:b/>
                <w:color w:val="000000"/>
                <w:sz w:val="18"/>
              </w:rPr>
              <w:t>Reason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New custom BO with application-owned tables</w:t>
            </w:r>
          </w:p>
        </w:tc>
        <w:tc>
          <w:tcPr>
            <w:tcW w:type="dxa" w:w="3374"/>
            <w:vAlign w:val="center"/>
            <w:tcMar>
              <w:top w:w="90" w:type="dxa"/>
              <w:start w:w="100" w:type="dxa"/>
              <w:bottom w:w="90" w:type="dxa"/>
              <w:end w:w="100" w:type="dxa"/>
            </w:tcMar>
          </w:tcPr>
          <w:p>
            <w:pPr>
              <w:spacing w:after="40"/>
            </w:pPr>
            <w:r>
              <w:rPr>
                <w:rFonts w:ascii="Aptos" w:hAnsi="Aptos"/>
                <w:color w:val="000000"/>
                <w:sz w:val="18"/>
              </w:rPr>
              <w:t>Managed RAP</w:t>
            </w:r>
          </w:p>
        </w:tc>
        <w:tc>
          <w:tcPr>
            <w:tcW w:type="dxa" w:w="3374"/>
            <w:vAlign w:val="center"/>
            <w:tcMar>
              <w:top w:w="90" w:type="dxa"/>
              <w:start w:w="100" w:type="dxa"/>
              <w:bottom w:w="90" w:type="dxa"/>
              <w:end w:w="100" w:type="dxa"/>
            </w:tcMar>
          </w:tcPr>
          <w:p>
            <w:pPr>
              <w:spacing w:after="40"/>
            </w:pPr>
            <w:r>
              <w:rPr>
                <w:rFonts w:ascii="Aptos" w:hAnsi="Aptos"/>
                <w:color w:val="000000"/>
                <w:sz w:val="18"/>
              </w:rPr>
              <w:t>Standard CRUD, locks, ETags and draft can be provided by the framework.</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Managed interaction but final write must use an approved API/BAPI</w:t>
            </w:r>
          </w:p>
        </w:tc>
        <w:tc>
          <w:tcPr>
            <w:tcW w:type="dxa" w:w="3374"/>
            <w:vAlign w:val="center"/>
            <w:tcMar>
              <w:top w:w="90" w:type="dxa"/>
              <w:start w:w="100" w:type="dxa"/>
              <w:bottom w:w="90" w:type="dxa"/>
              <w:end w:w="100" w:type="dxa"/>
            </w:tcMar>
          </w:tcPr>
          <w:p>
            <w:pPr>
              <w:spacing w:after="40"/>
            </w:pPr>
            <w:r>
              <w:rPr>
                <w:rFonts w:ascii="Aptos" w:hAnsi="Aptos"/>
                <w:color w:val="000000"/>
                <w:sz w:val="18"/>
              </w:rPr>
              <w:t>Managed with unmanaged save</w:t>
            </w:r>
          </w:p>
        </w:tc>
        <w:tc>
          <w:tcPr>
            <w:tcW w:type="dxa" w:w="3374"/>
            <w:vAlign w:val="center"/>
            <w:tcMar>
              <w:top w:w="90" w:type="dxa"/>
              <w:start w:w="100" w:type="dxa"/>
              <w:bottom w:w="90" w:type="dxa"/>
              <w:end w:w="100" w:type="dxa"/>
            </w:tcMar>
          </w:tcPr>
          <w:p>
            <w:pPr>
              <w:spacing w:after="40"/>
            </w:pPr>
            <w:r>
              <w:rPr>
                <w:rFonts w:ascii="Aptos" w:hAnsi="Aptos"/>
                <w:color w:val="000000"/>
                <w:sz w:val="18"/>
              </w:rPr>
              <w:t>Keep framework-managed interaction while delegating final persistence, after proving save compatibility.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Legacy BO owns read, lock, numbering, buffer and save</w:t>
            </w:r>
          </w:p>
        </w:tc>
        <w:tc>
          <w:tcPr>
            <w:tcW w:type="dxa" w:w="3374"/>
            <w:vAlign w:val="center"/>
            <w:tcMar>
              <w:top w:w="90" w:type="dxa"/>
              <w:start w:w="100" w:type="dxa"/>
              <w:bottom w:w="90" w:type="dxa"/>
              <w:end w:w="100" w:type="dxa"/>
            </w:tcMar>
          </w:tcPr>
          <w:p>
            <w:pPr>
              <w:spacing w:after="40"/>
            </w:pPr>
            <w:r>
              <w:rPr>
                <w:rFonts w:ascii="Aptos" w:hAnsi="Aptos"/>
                <w:color w:val="000000"/>
                <w:sz w:val="18"/>
              </w:rPr>
              <w:t>Unmanaged RAP</w:t>
            </w:r>
          </w:p>
        </w:tc>
        <w:tc>
          <w:tcPr>
            <w:tcW w:type="dxa" w:w="3374"/>
            <w:vAlign w:val="center"/>
            <w:tcMar>
              <w:top w:w="90" w:type="dxa"/>
              <w:start w:w="100" w:type="dxa"/>
              <w:bottom w:w="90" w:type="dxa"/>
              <w:end w:w="100" w:type="dxa"/>
            </w:tcMar>
          </w:tcPr>
          <w:p>
            <w:pPr>
              <w:spacing w:after="40"/>
            </w:pPr>
            <w:r>
              <w:rPr>
                <w:rFonts w:ascii="Aptos" w:hAnsi="Aptos"/>
                <w:color w:val="000000"/>
                <w:sz w:val="18"/>
              </w:rPr>
              <w:t>The existing transaction cannot be represented safely by the managed provider.</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Read-only database-backed report</w:t>
            </w:r>
          </w:p>
        </w:tc>
        <w:tc>
          <w:tcPr>
            <w:tcW w:type="dxa" w:w="3374"/>
            <w:vAlign w:val="center"/>
            <w:tcMar>
              <w:top w:w="90" w:type="dxa"/>
              <w:start w:w="100" w:type="dxa"/>
              <w:bottom w:w="90" w:type="dxa"/>
              <w:end w:w="100" w:type="dxa"/>
            </w:tcMar>
          </w:tcPr>
          <w:p>
            <w:pPr>
              <w:spacing w:after="40"/>
            </w:pPr>
            <w:r>
              <w:rPr>
                <w:rFonts w:ascii="Aptos" w:hAnsi="Aptos"/>
                <w:color w:val="000000"/>
                <w:sz w:val="18"/>
              </w:rPr>
              <w:t>CDS query/read-only service</w:t>
            </w:r>
          </w:p>
        </w:tc>
        <w:tc>
          <w:tcPr>
            <w:tcW w:type="dxa" w:w="3374"/>
            <w:vAlign w:val="center"/>
            <w:tcMar>
              <w:top w:w="90" w:type="dxa"/>
              <w:start w:w="100" w:type="dxa"/>
              <w:bottom w:w="90" w:type="dxa"/>
              <w:end w:w="100" w:type="dxa"/>
            </w:tcMar>
          </w:tcPr>
          <w:p>
            <w:pPr>
              <w:spacing w:after="40"/>
            </w:pPr>
            <w:r>
              <w:rPr>
                <w:rFonts w:ascii="Aptos" w:hAnsi="Aptos"/>
                <w:color w:val="000000"/>
                <w:sz w:val="18"/>
              </w:rPr>
              <w:t>No transactional behaviour is needed.</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Read-only non-database source</w:t>
            </w:r>
          </w:p>
        </w:tc>
        <w:tc>
          <w:tcPr>
            <w:tcW w:type="dxa" w:w="3374"/>
            <w:vAlign w:val="center"/>
            <w:tcMar>
              <w:top w:w="90" w:type="dxa"/>
              <w:start w:w="100" w:type="dxa"/>
              <w:bottom w:w="90" w:type="dxa"/>
              <w:end w:w="100" w:type="dxa"/>
            </w:tcMar>
          </w:tcPr>
          <w:p>
            <w:pPr>
              <w:spacing w:after="40"/>
            </w:pPr>
            <w:r>
              <w:rPr>
                <w:rFonts w:ascii="Aptos" w:hAnsi="Aptos"/>
                <w:color w:val="000000"/>
                <w:sz w:val="18"/>
              </w:rPr>
              <w:t>Unmanaged query/custom entity</w:t>
            </w:r>
          </w:p>
        </w:tc>
        <w:tc>
          <w:tcPr>
            <w:tcW w:type="dxa" w:w="3374"/>
            <w:vAlign w:val="center"/>
            <w:tcMar>
              <w:top w:w="90" w:type="dxa"/>
              <w:start w:w="100" w:type="dxa"/>
              <w:bottom w:w="90" w:type="dxa"/>
              <w:end w:w="100" w:type="dxa"/>
            </w:tcMar>
          </w:tcPr>
          <w:p>
            <w:pPr>
              <w:spacing w:after="40"/>
            </w:pPr>
            <w:r>
              <w:rPr>
                <w:rFonts w:ascii="Aptos" w:hAnsi="Aptos"/>
                <w:color w:val="000000"/>
                <w:sz w:val="18"/>
              </w:rPr>
              <w:t>Use only when standard SQL pushdown cannot serve the source.</w:t>
            </w:r>
          </w:p>
        </w:tc>
      </w:tr>
    </w:tbl>
    <w:p>
      <w:r>
        <w:t>Before selecting managed with unmanaged save for a BAPI, confirm whether the API performs an internal commit, how late numbering is returned, how partial failures are mapped, and whether the complete save can be rolled back. If those answers are uncertain, a technical spike and senior ABAP review are required.</w:t>
      </w:r>
    </w:p>
    <w:p>
      <w:pPr>
        <w:pStyle w:val="Heading2"/>
      </w:pPr>
      <w:r>
        <w:t>4.3 Fiori elements or freestyle SAPUI5</w:t>
      </w:r>
    </w:p>
    <w:p>
      <w:r>
        <w:t>Fiori elements is not a “low-code” compromise. It is the preferred way to build common enterprise experiences because the service metadata drives consistent floorplans, messages, navigation and adaptation. Freestyle SAPUI5 is appropriate when the interaction itself is genuinely specialised.</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Question</w:t>
            </w:r>
          </w:p>
        </w:tc>
        <w:tc>
          <w:tcPr>
            <w:tcW w:type="dxa" w:w="3374"/>
            <w:shd w:fill="E7E6E6"/>
            <w:vAlign w:val="center"/>
            <w:tcMar>
              <w:top w:w="90" w:type="dxa"/>
              <w:start w:w="100" w:type="dxa"/>
              <w:bottom w:w="90" w:type="dxa"/>
              <w:end w:w="100" w:type="dxa"/>
            </w:tcMar>
          </w:tcPr>
          <w:p>
            <w:r>
              <w:rPr>
                <w:b/>
                <w:color w:val="000000"/>
                <w:sz w:val="18"/>
              </w:rPr>
              <w:t>Choose Fiori elements when</w:t>
            </w:r>
          </w:p>
        </w:tc>
        <w:tc>
          <w:tcPr>
            <w:tcW w:type="dxa" w:w="3374"/>
            <w:shd w:fill="E7E6E6"/>
            <w:vAlign w:val="center"/>
            <w:tcMar>
              <w:top w:w="90" w:type="dxa"/>
              <w:start w:w="100" w:type="dxa"/>
              <w:bottom w:w="90" w:type="dxa"/>
              <w:end w:w="100" w:type="dxa"/>
            </w:tcMar>
          </w:tcPr>
          <w:p>
            <w:r>
              <w:rPr>
                <w:b/>
                <w:color w:val="000000"/>
                <w:sz w:val="18"/>
              </w:rPr>
              <w:t>Choose freestyle when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Page pattern</w:t>
            </w:r>
          </w:p>
        </w:tc>
        <w:tc>
          <w:tcPr>
            <w:tcW w:type="dxa" w:w="3374"/>
            <w:vAlign w:val="center"/>
            <w:tcMar>
              <w:top w:w="90" w:type="dxa"/>
              <w:start w:w="100" w:type="dxa"/>
              <w:bottom w:w="90" w:type="dxa"/>
              <w:end w:w="100" w:type="dxa"/>
            </w:tcMar>
          </w:tcPr>
          <w:p>
            <w:pPr>
              <w:spacing w:after="40"/>
            </w:pPr>
            <w:r>
              <w:rPr>
                <w:rFonts w:ascii="Aptos" w:hAnsi="Aptos"/>
                <w:color w:val="000000"/>
                <w:sz w:val="18"/>
              </w:rPr>
              <w:t>List Report, Object Page, worklist or analytical floorplan fits.</w:t>
            </w:r>
          </w:p>
        </w:tc>
        <w:tc>
          <w:tcPr>
            <w:tcW w:type="dxa" w:w="3374"/>
            <w:vAlign w:val="center"/>
            <w:tcMar>
              <w:top w:w="90" w:type="dxa"/>
              <w:start w:w="100" w:type="dxa"/>
              <w:bottom w:w="90" w:type="dxa"/>
              <w:end w:w="100" w:type="dxa"/>
            </w:tcMar>
          </w:tcPr>
          <w:p>
            <w:pPr>
              <w:spacing w:after="40"/>
            </w:pPr>
            <w:r>
              <w:rPr>
                <w:rFonts w:ascii="Aptos" w:hAnsi="Aptos"/>
                <w:color w:val="000000"/>
                <w:sz w:val="18"/>
              </w:rPr>
              <w:t>The interaction is canvas-like, highly visual or cannot be assembled from supported building blocks.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Customisation</w:t>
            </w:r>
          </w:p>
        </w:tc>
        <w:tc>
          <w:tcPr>
            <w:tcW w:type="dxa" w:w="3374"/>
            <w:vAlign w:val="center"/>
            <w:tcMar>
              <w:top w:w="90" w:type="dxa"/>
              <w:start w:w="100" w:type="dxa"/>
              <w:bottom w:w="90" w:type="dxa"/>
              <w:end w:w="100" w:type="dxa"/>
            </w:tcMar>
          </w:tcPr>
          <w:p>
            <w:pPr>
              <w:spacing w:after="40"/>
            </w:pPr>
            <w:r>
              <w:rPr>
                <w:rFonts w:ascii="Aptos" w:hAnsi="Aptos"/>
                <w:color w:val="000000"/>
                <w:sz w:val="18"/>
              </w:rPr>
              <w:t>A few custom actions, sections or building blocks are sufficient.</w:t>
            </w:r>
          </w:p>
        </w:tc>
        <w:tc>
          <w:tcPr>
            <w:tcW w:type="dxa" w:w="3374"/>
            <w:vAlign w:val="center"/>
            <w:tcMar>
              <w:top w:w="90" w:type="dxa"/>
              <w:start w:w="100" w:type="dxa"/>
              <w:bottom w:w="90" w:type="dxa"/>
              <w:end w:w="100" w:type="dxa"/>
            </w:tcMar>
          </w:tcPr>
          <w:p>
            <w:pPr>
              <w:spacing w:after="40"/>
            </w:pPr>
            <w:r>
              <w:rPr>
                <w:rFonts w:ascii="Aptos" w:hAnsi="Aptos"/>
                <w:color w:val="000000"/>
                <w:sz w:val="18"/>
              </w:rPr>
              <w:t>Most of the page behaviour must be custom.</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Maintenance</w:t>
            </w:r>
          </w:p>
        </w:tc>
        <w:tc>
          <w:tcPr>
            <w:tcW w:type="dxa" w:w="3374"/>
            <w:vAlign w:val="center"/>
            <w:tcMar>
              <w:top w:w="90" w:type="dxa"/>
              <w:start w:w="100" w:type="dxa"/>
              <w:bottom w:w="90" w:type="dxa"/>
              <w:end w:w="100" w:type="dxa"/>
            </w:tcMar>
          </w:tcPr>
          <w:p>
            <w:pPr>
              <w:spacing w:after="40"/>
            </w:pPr>
            <w:r>
              <w:rPr>
                <w:rFonts w:ascii="Aptos" w:hAnsi="Aptos"/>
                <w:color w:val="000000"/>
                <w:sz w:val="18"/>
              </w:rPr>
              <w:t>Consistency and upgrade efficiency are priorities.</w:t>
            </w:r>
          </w:p>
        </w:tc>
        <w:tc>
          <w:tcPr>
            <w:tcW w:type="dxa" w:w="3374"/>
            <w:vAlign w:val="center"/>
            <w:tcMar>
              <w:top w:w="90" w:type="dxa"/>
              <w:start w:w="100" w:type="dxa"/>
              <w:bottom w:w="90" w:type="dxa"/>
              <w:end w:w="100" w:type="dxa"/>
            </w:tcMar>
          </w:tcPr>
          <w:p>
            <w:pPr>
              <w:spacing w:after="40"/>
            </w:pPr>
            <w:r>
              <w:rPr>
                <w:rFonts w:ascii="Aptos" w:hAnsi="Aptos"/>
                <w:color w:val="000000"/>
                <w:sz w:val="18"/>
              </w:rPr>
              <w:t>The project accepts full accessibility, performance and regression ownership.</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Team skill</w:t>
            </w:r>
          </w:p>
        </w:tc>
        <w:tc>
          <w:tcPr>
            <w:tcW w:type="dxa" w:w="3374"/>
            <w:vAlign w:val="center"/>
            <w:tcMar>
              <w:top w:w="90" w:type="dxa"/>
              <w:start w:w="100" w:type="dxa"/>
              <w:bottom w:w="90" w:type="dxa"/>
              <w:end w:w="100" w:type="dxa"/>
            </w:tcMar>
          </w:tcPr>
          <w:p>
            <w:pPr>
              <w:spacing w:after="40"/>
            </w:pPr>
            <w:r>
              <w:rPr>
                <w:rFonts w:ascii="Aptos" w:hAnsi="Aptos"/>
                <w:color w:val="000000"/>
                <w:sz w:val="18"/>
              </w:rPr>
              <w:t>Team understands OData annotations and Fiori patterns.</w:t>
            </w:r>
          </w:p>
        </w:tc>
        <w:tc>
          <w:tcPr>
            <w:tcW w:type="dxa" w:w="3374"/>
            <w:vAlign w:val="center"/>
            <w:tcMar>
              <w:top w:w="90" w:type="dxa"/>
              <w:start w:w="100" w:type="dxa"/>
              <w:bottom w:w="90" w:type="dxa"/>
              <w:end w:w="100" w:type="dxa"/>
            </w:tcMar>
          </w:tcPr>
          <w:p>
            <w:pPr>
              <w:spacing w:after="40"/>
            </w:pPr>
            <w:r>
              <w:rPr>
                <w:rFonts w:ascii="Aptos" w:hAnsi="Aptos"/>
                <w:color w:val="000000"/>
                <w:sz w:val="18"/>
              </w:rPr>
              <w:t>Team has strong SAPUI5 and web engineering skills.</w:t>
            </w:r>
          </w:p>
        </w:tc>
      </w:tr>
    </w:tbl>
    <w:p>
      <w:pPr>
        <w:pStyle w:val="Heading2"/>
      </w:pPr>
      <w:r>
        <w:t>4.4 Other decisions beginners often overlook</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Decision</w:t>
            </w:r>
          </w:p>
        </w:tc>
        <w:tc>
          <w:tcPr>
            <w:tcW w:type="dxa" w:w="3374"/>
            <w:shd w:fill="E7E6E6"/>
            <w:vAlign w:val="center"/>
            <w:tcMar>
              <w:top w:w="90" w:type="dxa"/>
              <w:start w:w="100" w:type="dxa"/>
              <w:bottom w:w="90" w:type="dxa"/>
              <w:end w:w="100" w:type="dxa"/>
            </w:tcMar>
          </w:tcPr>
          <w:p>
            <w:r>
              <w:rPr>
                <w:b/>
                <w:color w:val="000000"/>
                <w:sz w:val="18"/>
              </w:rPr>
              <w:t>Default</w:t>
            </w:r>
          </w:p>
        </w:tc>
        <w:tc>
          <w:tcPr>
            <w:tcW w:type="dxa" w:w="3374"/>
            <w:shd w:fill="E7E6E6"/>
            <w:vAlign w:val="center"/>
            <w:tcMar>
              <w:top w:w="90" w:type="dxa"/>
              <w:start w:w="100" w:type="dxa"/>
              <w:bottom w:w="90" w:type="dxa"/>
              <w:end w:w="100" w:type="dxa"/>
            </w:tcMar>
          </w:tcPr>
          <w:p>
            <w:r>
              <w:rPr>
                <w:b/>
                <w:color w:val="000000"/>
                <w:sz w:val="18"/>
              </w:rPr>
              <w:t>Change the default only when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OData version</w:t>
            </w:r>
          </w:p>
        </w:tc>
        <w:tc>
          <w:tcPr>
            <w:tcW w:type="dxa" w:w="3374"/>
            <w:vAlign w:val="center"/>
            <w:tcMar>
              <w:top w:w="90" w:type="dxa"/>
              <w:start w:w="100" w:type="dxa"/>
              <w:bottom w:w="90" w:type="dxa"/>
              <w:end w:w="100" w:type="dxa"/>
            </w:tcMar>
          </w:tcPr>
          <w:p>
            <w:pPr>
              <w:spacing w:after="40"/>
            </w:pPr>
            <w:r>
              <w:rPr>
                <w:rFonts w:ascii="Aptos" w:hAnsi="Aptos"/>
                <w:color w:val="000000"/>
                <w:sz w:val="18"/>
              </w:rPr>
              <w:t>V4</w:t>
            </w:r>
          </w:p>
        </w:tc>
        <w:tc>
          <w:tcPr>
            <w:tcW w:type="dxa" w:w="3374"/>
            <w:vAlign w:val="center"/>
            <w:tcMar>
              <w:top w:w="90" w:type="dxa"/>
              <w:start w:w="100" w:type="dxa"/>
              <w:bottom w:w="90" w:type="dxa"/>
              <w:end w:w="100" w:type="dxa"/>
            </w:tcMar>
          </w:tcPr>
          <w:p>
            <w:pPr>
              <w:spacing w:after="40"/>
            </w:pPr>
            <w:r>
              <w:rPr>
                <w:rFonts w:ascii="Aptos" w:hAnsi="Aptos"/>
                <w:color w:val="000000"/>
                <w:sz w:val="18"/>
              </w:rPr>
              <w:t>A target release or existing contract prevents V4.</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CAP handler</w:t>
            </w:r>
          </w:p>
        </w:tc>
        <w:tc>
          <w:tcPr>
            <w:tcW w:type="dxa" w:w="3374"/>
            <w:vAlign w:val="center"/>
            <w:tcMar>
              <w:top w:w="90" w:type="dxa"/>
              <w:start w:w="100" w:type="dxa"/>
              <w:bottom w:w="90" w:type="dxa"/>
              <w:end w:w="100" w:type="dxa"/>
            </w:tcMar>
          </w:tcPr>
          <w:p>
            <w:pPr>
              <w:spacing w:after="40"/>
            </w:pPr>
            <w:r>
              <w:rPr>
                <w:rFonts w:ascii="Aptos" w:hAnsi="Aptos"/>
                <w:color w:val="000000"/>
                <w:sz w:val="18"/>
              </w:rPr>
              <w:t>Generic provider</w:t>
            </w:r>
          </w:p>
        </w:tc>
        <w:tc>
          <w:tcPr>
            <w:tcW w:type="dxa" w:w="3374"/>
            <w:vAlign w:val="center"/>
            <w:tcMar>
              <w:top w:w="90" w:type="dxa"/>
              <w:start w:w="100" w:type="dxa"/>
              <w:bottom w:w="90" w:type="dxa"/>
              <w:end w:w="100" w:type="dxa"/>
            </w:tcMar>
          </w:tcPr>
          <w:p>
            <w:pPr>
              <w:spacing w:after="40"/>
            </w:pPr>
            <w:r>
              <w:rPr>
                <w:rFonts w:ascii="Aptos" w:hAnsi="Aptos"/>
                <w:color w:val="000000"/>
                <w:sz w:val="18"/>
              </w:rPr>
              <w:t>A real domain command or orchestration is required.</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Service decomposition</w:t>
            </w:r>
          </w:p>
        </w:tc>
        <w:tc>
          <w:tcPr>
            <w:tcW w:type="dxa" w:w="3374"/>
            <w:vAlign w:val="center"/>
            <w:tcMar>
              <w:top w:w="90" w:type="dxa"/>
              <w:start w:w="100" w:type="dxa"/>
              <w:bottom w:w="90" w:type="dxa"/>
              <w:end w:w="100" w:type="dxa"/>
            </w:tcMar>
          </w:tcPr>
          <w:p>
            <w:pPr>
              <w:spacing w:after="40"/>
            </w:pPr>
            <w:r>
              <w:rPr>
                <w:rFonts w:ascii="Aptos" w:hAnsi="Aptos"/>
                <w:color w:val="000000"/>
                <w:sz w:val="18"/>
              </w:rPr>
              <w:t>Modular monolith</w:t>
            </w:r>
          </w:p>
        </w:tc>
        <w:tc>
          <w:tcPr>
            <w:tcW w:type="dxa" w:w="3374"/>
            <w:vAlign w:val="center"/>
            <w:tcMar>
              <w:top w:w="90" w:type="dxa"/>
              <w:start w:w="100" w:type="dxa"/>
              <w:bottom w:w="90" w:type="dxa"/>
              <w:end w:w="100" w:type="dxa"/>
            </w:tcMar>
          </w:tcPr>
          <w:p>
            <w:pPr>
              <w:spacing w:after="40"/>
            </w:pPr>
            <w:r>
              <w:rPr>
                <w:rFonts w:ascii="Aptos" w:hAnsi="Aptos"/>
                <w:color w:val="000000"/>
                <w:sz w:val="18"/>
              </w:rPr>
              <w:t>Independent ownership, scale and failure boundaries are proven.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Integration style</w:t>
            </w:r>
          </w:p>
        </w:tc>
        <w:tc>
          <w:tcPr>
            <w:tcW w:type="dxa" w:w="3374"/>
            <w:vAlign w:val="center"/>
            <w:tcMar>
              <w:top w:w="90" w:type="dxa"/>
              <w:start w:w="100" w:type="dxa"/>
              <w:bottom w:w="90" w:type="dxa"/>
              <w:end w:w="100" w:type="dxa"/>
            </w:tcMar>
          </w:tcPr>
          <w:p>
            <w:pPr>
              <w:spacing w:after="40"/>
            </w:pPr>
            <w:r>
              <w:rPr>
                <w:rFonts w:ascii="Aptos" w:hAnsi="Aptos"/>
                <w:color w:val="000000"/>
                <w:sz w:val="18"/>
              </w:rPr>
              <w:t>Synchronous API</w:t>
            </w:r>
          </w:p>
        </w:tc>
        <w:tc>
          <w:tcPr>
            <w:tcW w:type="dxa" w:w="3374"/>
            <w:vAlign w:val="center"/>
            <w:tcMar>
              <w:top w:w="90" w:type="dxa"/>
              <w:start w:w="100" w:type="dxa"/>
              <w:bottom w:w="90" w:type="dxa"/>
              <w:end w:w="100" w:type="dxa"/>
            </w:tcMar>
          </w:tcPr>
          <w:p>
            <w:pPr>
              <w:spacing w:after="40"/>
            </w:pPr>
            <w:r>
              <w:rPr>
                <w:rFonts w:ascii="Aptos" w:hAnsi="Aptos"/>
                <w:color w:val="000000"/>
                <w:sz w:val="18"/>
              </w:rPr>
              <w:t>Eventual result is acceptable and fan-out/recovery is designed.</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Tenant model</w:t>
            </w:r>
          </w:p>
        </w:tc>
        <w:tc>
          <w:tcPr>
            <w:tcW w:type="dxa" w:w="3374"/>
            <w:vAlign w:val="center"/>
            <w:tcMar>
              <w:top w:w="90" w:type="dxa"/>
              <w:start w:w="100" w:type="dxa"/>
              <w:bottom w:w="90" w:type="dxa"/>
              <w:end w:w="100" w:type="dxa"/>
            </w:tcMar>
          </w:tcPr>
          <w:p>
            <w:pPr>
              <w:spacing w:after="40"/>
            </w:pPr>
            <w:r>
              <w:rPr>
                <w:rFonts w:ascii="Aptos" w:hAnsi="Aptos"/>
                <w:color w:val="000000"/>
                <w:sz w:val="18"/>
              </w:rPr>
              <w:t>Single tenant for client-specific app</w:t>
            </w:r>
          </w:p>
        </w:tc>
        <w:tc>
          <w:tcPr>
            <w:tcW w:type="dxa" w:w="3374"/>
            <w:vAlign w:val="center"/>
            <w:tcMar>
              <w:top w:w="90" w:type="dxa"/>
              <w:start w:w="100" w:type="dxa"/>
              <w:bottom w:w="90" w:type="dxa"/>
              <w:end w:w="100" w:type="dxa"/>
            </w:tcMar>
          </w:tcPr>
          <w:p>
            <w:pPr>
              <w:spacing w:after="40"/>
            </w:pPr>
            <w:r>
              <w:rPr>
                <w:rFonts w:ascii="Aptos" w:hAnsi="Aptos"/>
                <w:color w:val="000000"/>
                <w:sz w:val="18"/>
              </w:rPr>
              <w:t>The solution is a SaaS product with tenant subscription and isolation lifecycle.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Application router</w:t>
            </w:r>
          </w:p>
        </w:tc>
        <w:tc>
          <w:tcPr>
            <w:tcW w:type="dxa" w:w="3374"/>
            <w:vAlign w:val="center"/>
            <w:tcMar>
              <w:top w:w="90" w:type="dxa"/>
              <w:start w:w="100" w:type="dxa"/>
              <w:bottom w:w="90" w:type="dxa"/>
              <w:end w:w="100" w:type="dxa"/>
            </w:tcMar>
          </w:tcPr>
          <w:p>
            <w:pPr>
              <w:spacing w:after="40"/>
            </w:pPr>
            <w:r>
              <w:rPr>
                <w:rFonts w:ascii="Aptos" w:hAnsi="Aptos"/>
                <w:color w:val="000000"/>
                <w:sz w:val="18"/>
              </w:rPr>
              <w:t>Managed router</w:t>
            </w:r>
          </w:p>
        </w:tc>
        <w:tc>
          <w:tcPr>
            <w:tcW w:type="dxa" w:w="3374"/>
            <w:vAlign w:val="center"/>
            <w:tcMar>
              <w:top w:w="90" w:type="dxa"/>
              <w:start w:w="100" w:type="dxa"/>
              <w:bottom w:w="90" w:type="dxa"/>
              <w:end w:w="100" w:type="dxa"/>
            </w:tcMar>
          </w:tcPr>
          <w:p>
            <w:pPr>
              <w:spacing w:after="40"/>
            </w:pPr>
            <w:r>
              <w:rPr>
                <w:rFonts w:ascii="Aptos" w:hAnsi="Aptos"/>
                <w:color w:val="000000"/>
                <w:sz w:val="18"/>
              </w:rPr>
              <w:t>Custom runtime routing/session behavior cannot be met otherwise.</w:t>
            </w:r>
          </w:p>
        </w:tc>
      </w:tr>
    </w:tbl>
    <w:tbl>
      <w:tblPr>
        <w:tblStyle w:val="TableGrid"/>
        <w:tblW w:type="auto" w:w="0"/>
        <w:tblLook w:firstColumn="1" w:firstRow="1" w:lastColumn="0" w:lastRow="0" w:noHBand="0" w:noVBand="1" w:val="04A0"/>
      </w:tblPr>
      <w:tblGrid>
        <w:gridCol w:w="10123"/>
      </w:tblGrid>
      <w:tr>
        <w:trPr>
          <w:tblHeader w:val="true"/>
        </w:trPr>
        <w:tc>
          <w:tcPr>
            <w:tcW w:type="dxa" w:w="10123"/>
            <w:shd w:fill="F2F2F2"/>
            <w:tcMar>
              <w:top w:w="90" w:type="dxa"/>
              <w:start w:w="100" w:type="dxa"/>
              <w:bottom w:w="90" w:type="dxa"/>
              <w:end w:w="100" w:type="dxa"/>
            </w:tcMar>
          </w:tcPr>
          <w:p>
            <w:r>
              <w:rPr>
                <w:b/>
              </w:rPr>
              <w:t xml:space="preserve">Decision record template  </w:t>
            </w:r>
            <w:r>
              <w:t>Context: what facts drive the decision? Options: what alternatives were considered? Decision: what was selected? Consequences: what becomes easier or harder? Evidence: what spike, documentation or measurement supports it? Review trigger: what future change would reopen it?</w:t>
            </w:r>
          </w:p>
        </w:tc>
      </w:tr>
    </w:tbl>
    <w:p>
      <w:pPr>
        <w:pStyle w:val="Heading1"/>
      </w:pPr>
      <w:r>
        <w:t>5. Phase 3: Design the Domain, Service and Data Contracts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A good design makes business meaning explicit before code grows. It keeps consumers independent from persistence and prevents UI-specific decisions leaking into the core model.</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Entities, keys, lifecycle ownership, service operations, authorisation, error semantics and data migration are understood before feature implementation starts.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Model business language with CDS, review with process and data owners, then create consumer-specific projections. Walk through create, read, change, delete and failure scenarios.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Domain model, service contract, behaviour design, role matrix, error catalogue and migration plan.</w:t>
            </w:r>
          </w:p>
        </w:tc>
      </w:tr>
    </w:tbl>
    <w:p>
      <w:pPr>
        <w:pStyle w:val="Heading2"/>
      </w:pPr>
      <w:r>
        <w:t>5.1 Model the business, not the screen</w:t>
      </w:r>
    </w:p>
    <w:p>
      <w:r>
        <w:t>Screens change more often than the business meaning of data. A field named “InputBox3” or a model that copies every column from a source table is not a domain model. Use business names, deliberate types and explicit lifecycle relationships.</w:t>
      </w:r>
    </w:p>
    <w:p>
      <w:pPr>
        <w:pStyle w:val="ListBullet"/>
      </w:pPr>
      <w:r>
        <w:t>Use compositions when the child exists only as part of the parent lifecycle.</w:t>
      </w:r>
    </w:p>
    <w:p>
      <w:pPr>
        <w:pStyle w:val="ListBullet"/>
      </w:pPr>
      <w:r>
        <w:t>Use associations when the target has its own lifecycle and is referenced.</w:t>
      </w:r>
    </w:p>
    <w:p>
      <w:pPr>
        <w:pStyle w:val="ListBullet"/>
      </w:pPr>
      <w:r>
        <w:t>Choose immutable technical keys for identity; keep mutable business numbers as alternate identifiers where needed.</w:t>
      </w:r>
    </w:p>
    <w:p>
      <w:pPr>
        <w:pStyle w:val="ListBullet"/>
      </w:pPr>
      <w:r>
        <w:t>Define length, precision, scale, mandatory status and valid ranges deliberately.</w:t>
      </w:r>
    </w:p>
    <w:p>
      <w:pPr>
        <w:pStyle w:val="ListBullet"/>
      </w:pPr>
      <w:r>
        <w:t>Keep UI annotations in consumption/service layers rather than reusable interface models.</w:t>
      </w:r>
    </w:p>
    <w:p>
      <w:pPr>
        <w:pStyle w:val="Heading2"/>
      </w:pPr>
      <w:r>
        <w:t>5.2 Service contract design</w:t>
      </w:r>
    </w:p>
    <w:p>
      <w:r>
        <w:t>A service is a promise to consumers. Expose only what the consumer needs, use actions for business commands and preserve compatibility. Persistence entities are implementation details; projections are the contract boundary.</w:t>
      </w:r>
    </w:p>
    <w:p>
      <w:pPr>
        <w:pStyle w:val="Code"/>
      </w:pPr>
      <w:r>
        <w:t>using { cuid, managed } from '@sap/cds/common';</w:t>
      </w:r>
    </w:p>
    <w:p>
      <w:pPr>
        <w:pStyle w:val="Code"/>
      </w:pPr>
      <w:r>
        <w:t>namespace sample.orders;</w:t>
      </w:r>
    </w:p>
    <w:p>
      <w:pPr>
        <w:pStyle w:val="Code"/>
      </w:pPr>
    </w:p>
    <w:p>
      <w:pPr>
        <w:pStyle w:val="Code"/>
      </w:pPr>
      <w:r>
        <w:t>entity Orders : cuid, managed {</w:t>
      </w:r>
    </w:p>
    <w:p>
      <w:pPr>
        <w:pStyle w:val="Code"/>
      </w:pPr>
      <w:r>
        <w:t xml:space="preserve">  orderNumber : String(20) not null;</w:t>
      </w:r>
    </w:p>
    <w:p>
      <w:pPr>
        <w:pStyle w:val="Code"/>
      </w:pPr>
      <w:r>
        <w:t xml:space="preserve">  status      : String(20) default 'DRAFT';</w:t>
      </w:r>
    </w:p>
    <w:p>
      <w:pPr>
        <w:pStyle w:val="Code"/>
      </w:pPr>
      <w:r>
        <w:t xml:space="preserve">  currency    : String(3);</w:t>
      </w:r>
    </w:p>
    <w:p>
      <w:pPr>
        <w:pStyle w:val="Code"/>
      </w:pPr>
      <w:r>
        <w:t xml:space="preserve">  total       : Decimal(15,2);</w:t>
      </w:r>
    </w:p>
    <w:p>
      <w:pPr>
        <w:pStyle w:val="Code"/>
      </w:pPr>
      <w:r>
        <w:t xml:space="preserve">  items       : Composition of many Items on items.parent = $self;</w:t>
      </w:r>
    </w:p>
    <w:p>
      <w:pPr>
        <w:pStyle w:val="Code"/>
      </w:pPr>
      <w:r>
        <w:t>}</w:t>
      </w:r>
    </w:p>
    <w:p>
      <w:pPr>
        <w:pStyle w:val="Code"/>
      </w:pPr>
    </w:p>
    <w:p>
      <w:pPr>
        <w:pStyle w:val="Code"/>
      </w:pPr>
      <w:r>
        <w:t>entity Items : cuid {</w:t>
      </w:r>
    </w:p>
    <w:p>
      <w:pPr>
        <w:pStyle w:val="Code"/>
      </w:pPr>
      <w:r>
        <w:t xml:space="preserve">  parent   : Association to Orders not null;</w:t>
      </w:r>
    </w:p>
    <w:p>
      <w:pPr>
        <w:pStyle w:val="Code"/>
      </w:pPr>
      <w:r>
        <w:t xml:space="preserve">  product  : String(40) not null;</w:t>
      </w:r>
    </w:p>
    <w:p>
      <w:pPr>
        <w:pStyle w:val="Code"/>
      </w:pPr>
      <w:r>
        <w:t xml:space="preserve">  quantity : Decimal(13,3);</w:t>
      </w:r>
    </w:p>
    <w:p>
      <w:pPr>
        <w:pStyle w:val="Code"/>
      </w:pPr>
      <w:r>
        <w:t xml:space="preserve">  unit     : String(3);</w:t>
      </w:r>
    </w:p>
    <w:p>
      <w:pPr>
        <w:pStyle w:val="Code"/>
      </w:pPr>
      <w:r>
        <w:t>}</w:t>
      </w:r>
    </w:p>
    <w:p>
      <w:pPr>
        <w:pStyle w:val="Code"/>
      </w:pPr>
      <w:r>
        <w:t>using { sample.orders as db } from '../db/schema';</w:t>
      </w:r>
    </w:p>
    <w:p>
      <w:pPr>
        <w:pStyle w:val="Code"/>
      </w:pPr>
    </w:p>
    <w:p>
      <w:pPr>
        <w:pStyle w:val="Code"/>
      </w:pPr>
      <w:r>
        <w:t>service OrderService @(requires: 'authenticated-user') {</w:t>
      </w:r>
    </w:p>
    <w:p>
      <w:pPr>
        <w:pStyle w:val="Code"/>
      </w:pPr>
      <w:r>
        <w:t xml:space="preserve">  @restrict: [</w:t>
      </w:r>
    </w:p>
    <w:p>
      <w:pPr>
        <w:pStyle w:val="Code"/>
      </w:pPr>
      <w:r>
        <w:t xml:space="preserve">    { grant: 'READ', to: 'OrderViewer' },</w:t>
      </w:r>
    </w:p>
    <w:p>
      <w:pPr>
        <w:pStyle w:val="Code"/>
      </w:pPr>
      <w:r>
        <w:t xml:space="preserve">    { grant: '*', to: 'OrderManager' }</w:t>
      </w:r>
    </w:p>
    <w:p>
      <w:pPr>
        <w:pStyle w:val="Code"/>
      </w:pPr>
      <w:r>
        <w:t xml:space="preserve">  ]</w:t>
      </w:r>
    </w:p>
    <w:p>
      <w:pPr>
        <w:pStyle w:val="Code"/>
      </w:pPr>
      <w:r>
        <w:t xml:space="preserve">  entity Orders as projection on db.Orders;</w:t>
      </w:r>
    </w:p>
    <w:p>
      <w:pPr>
        <w:pStyle w:val="Code"/>
      </w:pPr>
      <w:r>
        <w:t xml:space="preserve">  action approve(ID: UUID) returns Orders;</w:t>
      </w:r>
    </w:p>
    <w:p>
      <w:pPr>
        <w:pStyle w:val="Code"/>
      </w:pPr>
      <w:r>
        <w:t>}</w:t>
      </w:r>
    </w:p>
    <w:p>
      <w:r>
        <w:t>In this neutral example, the domain model owns persistence and the service projection controls exposure. The `approve` operation is an action because approval is an explicit business command with side effects.</w:t>
      </w:r>
    </w:p>
    <w:p>
      <w:pPr>
        <w:pStyle w:val="Heading2"/>
      </w:pPr>
      <w:r>
        <w:t>5.3 Design authorisation before UI</w:t>
      </w:r>
    </w:p>
    <w:p>
      <w:r>
        <w:t>Start from business roles and data boundaries. For each entity and action, define who can read, create, change, delete or execute it, and whether access depends on company code, sales organisation, plant, owner or tenant. The UI may hide unavailable actions, but the backend must reject unauthorised requests.</w:t>
      </w:r>
    </w:p>
    <w:p>
      <w:pPr>
        <w:pStyle w:val="Heading2"/>
      </w:pPr>
      <w:r>
        <w:t>5.4 Design errors as part of the contract</w:t>
      </w:r>
    </w:p>
    <w:p>
      <w:r>
        <w:t>A useful error tells the consumer what failed, where it failed and what can be done next. Use stable error keys, a target field or entity where possible, and a safe user-facing message. Log diagnostic detail separately with a correlation ID. Do not return database messages, stack traces or remote credentials.</w:t>
      </w:r>
    </w:p>
    <w:p>
      <w:pPr>
        <w:pStyle w:val="Heading1"/>
      </w:pPr>
      <w:r>
        <w:t>6. Phase 4: Establish the Engineering Foundation</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A project becomes difficult to improve once inconsistent structure and manual quality practices spread. Establishing the baseline early makes the desired path the easiest path.</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A new developer can clone, configure and run the project using the README; the first pipeline already runs lint, tests, build and security checks.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Generate supported projects, pin runtimes, create branch rules, configure local and cloud profiles, and commit a working skeleton before building features.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Repository, README, environment profiles, pipeline, initial deployment and coding conventions.</w:t>
            </w:r>
          </w:p>
        </w:tc>
      </w:tr>
    </w:tbl>
    <w:p>
      <w:pPr>
        <w:pStyle w:val="Heading2"/>
      </w:pPr>
      <w:r>
        <w:t>6.1 RAP project baseline</w:t>
      </w:r>
    </w:p>
    <w:p>
      <w:pPr>
        <w:pStyle w:val="ListBullet"/>
      </w:pPr>
      <w:r>
        <w:t>Use ABAP Development Tools and the ABAP language version required by the target clean-core model.</w:t>
      </w:r>
    </w:p>
    <w:p>
      <w:pPr>
        <w:pStyle w:val="ListBullet"/>
      </w:pPr>
      <w:r>
        <w:t>Create packages with clear transport ownership and dependency direction.</w:t>
      </w:r>
    </w:p>
    <w:p>
      <w:pPr>
        <w:pStyle w:val="ListBullet"/>
      </w:pPr>
      <w:r>
        <w:t>Configure central ATC variants before feature growth.</w:t>
      </w:r>
    </w:p>
    <w:p>
      <w:pPr>
        <w:pStyle w:val="ListBullet"/>
      </w:pPr>
      <w:r>
        <w:t>Create the CDS root, behaviour definition, service definition/binding and a minimal test slice to prove the path.</w:t>
      </w:r>
    </w:p>
    <w:p>
      <w:pPr>
        <w:pStyle w:val="Heading2"/>
      </w:pPr>
      <w:r>
        <w:t>6.2 CAP project baseline</w:t>
      </w:r>
    </w:p>
    <w:p>
      <w:pPr>
        <w:pStyle w:val="Code"/>
      </w:pPr>
      <w:r>
        <w:t>cds init sample-app --nodejs</w:t>
      </w:r>
    </w:p>
    <w:p>
      <w:pPr>
        <w:pStyle w:val="Code"/>
      </w:pPr>
      <w:r>
        <w:t>cd sample-app</w:t>
      </w:r>
    </w:p>
    <w:p>
      <w:pPr>
        <w:pStyle w:val="Code"/>
      </w:pPr>
      <w:r>
        <w:t>cds add hana</w:t>
      </w:r>
    </w:p>
    <w:p>
      <w:pPr>
        <w:pStyle w:val="Code"/>
      </w:pPr>
      <w:r>
        <w:t>cds add mta</w:t>
      </w:r>
    </w:p>
    <w:p>
      <w:pPr>
        <w:pStyle w:val="Code"/>
      </w:pPr>
      <w:r>
        <w:t>npm install</w:t>
      </w:r>
    </w:p>
    <w:p>
      <w:pPr>
        <w:pStyle w:val="Code"/>
      </w:pPr>
      <w:r>
        <w:t>cds watch</w:t>
      </w:r>
    </w:p>
    <w:p>
      <w:r>
        <w:t>Use the Node.js LTS version supported by the project’s CAP release. Commit the lockfile. Separate local mocked configuration from production service bindings, and never commit production credentials.</w:t>
      </w:r>
    </w:p>
    <w:p>
      <w:pPr>
        <w:pStyle w:val="Code"/>
      </w:pPr>
      <w:r>
        <w:t>app/                         # Fiori elements / SAPUI5</w:t>
      </w:r>
    </w:p>
    <w:p>
      <w:pPr>
        <w:pStyle w:val="Code"/>
      </w:pPr>
      <w:r>
        <w:t>db/                          # domain model and HANA artifacts</w:t>
      </w:r>
    </w:p>
    <w:p>
      <w:pPr>
        <w:pStyle w:val="Code"/>
      </w:pPr>
      <w:r>
        <w:t>srv/                         # service contracts and logic</w:t>
      </w:r>
    </w:p>
    <w:p>
      <w:pPr>
        <w:pStyle w:val="Code"/>
      </w:pPr>
      <w:r>
        <w:t>test/                        # unit, integration, auth, contract, E2E</w:t>
      </w:r>
    </w:p>
    <w:p>
      <w:pPr>
        <w:pStyle w:val="Code"/>
      </w:pPr>
      <w:r>
        <w:t>package.json</w:t>
      </w:r>
    </w:p>
    <w:p>
      <w:pPr>
        <w:pStyle w:val="Code"/>
      </w:pPr>
      <w:r>
        <w:t>mta.yaml</w:t>
      </w:r>
    </w:p>
    <w:p>
      <w:pPr>
        <w:pStyle w:val="Code"/>
      </w:pPr>
      <w:r>
        <w:t>xs-security.json</w:t>
      </w:r>
    </w:p>
    <w:p>
      <w:pPr>
        <w:pStyle w:val="Code"/>
      </w:pPr>
      <w:r>
        <w:t>README.md</w:t>
      </w:r>
    </w:p>
    <w:p>
      <w:pPr>
        <w:pStyle w:val="Heading2"/>
      </w:pPr>
      <w:r>
        <w:t>6.3 First pipeline</w:t>
      </w:r>
    </w:p>
    <w:p>
      <w:pPr>
        <w:pStyle w:val="Code"/>
      </w:pPr>
      <w:r>
        <w:t>npm ci</w:t>
      </w:r>
    </w:p>
    <w:p>
      <w:pPr>
        <w:pStyle w:val="Code"/>
      </w:pPr>
      <w:r>
        <w:t>npx cds lint</w:t>
      </w:r>
    </w:p>
    <w:p>
      <w:pPr>
        <w:pStyle w:val="Code"/>
      </w:pPr>
      <w:r>
        <w:t>npx ui5 lint</w:t>
      </w:r>
    </w:p>
    <w:p>
      <w:pPr>
        <w:pStyle w:val="Code"/>
      </w:pPr>
      <w:r>
        <w:t>npx eslint app srv db test</w:t>
      </w:r>
    </w:p>
    <w:p>
      <w:pPr>
        <w:pStyle w:val="Code"/>
      </w:pPr>
      <w:r>
        <w:t>npm test</w:t>
      </w:r>
    </w:p>
    <w:p>
      <w:pPr>
        <w:pStyle w:val="Code"/>
      </w:pPr>
      <w:r>
        <w:t>gitleaks detect --source . --redact</w:t>
      </w:r>
    </w:p>
    <w:p>
      <w:pPr>
        <w:pStyle w:val="Code"/>
      </w:pPr>
      <w:r>
        <w:t>cds build --production</w:t>
      </w:r>
    </w:p>
    <w:p>
      <w:pPr>
        <w:pStyle w:val="Code"/>
      </w:pPr>
      <w:r>
        <w:t>mbt build</w:t>
      </w:r>
    </w:p>
    <w:p>
      <w:r>
        <w:t>Add deeper SAST, software-composition analysis, image scanning and SBOM generation as the delivery environment matures. The important point is to start with a working gate before the codebase becomes large.</w:t>
      </w:r>
    </w:p>
    <w:p>
      <w:pPr>
        <w:pStyle w:val="Heading1"/>
      </w:pPr>
      <w:r>
        <w:t>7. Phase 5A: Build with RAP</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RAP provides a consistent business-object contract for transactional applications and APIs. Using its framework semantics reduces custom transaction code and makes behaviour predictable for Fiori and other consumers.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A vertical slice can create/read/change the BO, enforce authorisation and validation, return messages correctly and pass unit/integration tests.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Build from CDS interface model to behaviour, projection and service. Add one business rule at a time and verify through EML or the service binding.</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Working RAP BO, tests, service binding, UI annotations and traceable rules.</w:t>
            </w:r>
          </w:p>
        </w:tc>
      </w:tr>
    </w:tbl>
    <w:p>
      <w:pPr>
        <w:pStyle w:val="Heading2"/>
      </w:pPr>
      <w:r>
        <w:t>7.1 Layering explained</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Layer</w:t>
            </w:r>
          </w:p>
        </w:tc>
        <w:tc>
          <w:tcPr>
            <w:tcW w:type="dxa" w:w="3374"/>
            <w:shd w:fill="E7E6E6"/>
            <w:vAlign w:val="center"/>
            <w:tcMar>
              <w:top w:w="90" w:type="dxa"/>
              <w:start w:w="100" w:type="dxa"/>
              <w:bottom w:w="90" w:type="dxa"/>
              <w:end w:w="100" w:type="dxa"/>
            </w:tcMar>
          </w:tcPr>
          <w:p>
            <w:r>
              <w:rPr>
                <w:b/>
                <w:color w:val="000000"/>
                <w:sz w:val="18"/>
              </w:rPr>
              <w:t>What belongs here</w:t>
            </w:r>
          </w:p>
        </w:tc>
        <w:tc>
          <w:tcPr>
            <w:tcW w:type="dxa" w:w="3374"/>
            <w:shd w:fill="E7E6E6"/>
            <w:vAlign w:val="center"/>
            <w:tcMar>
              <w:top w:w="90" w:type="dxa"/>
              <w:start w:w="100" w:type="dxa"/>
              <w:bottom w:w="90" w:type="dxa"/>
              <w:end w:w="100" w:type="dxa"/>
            </w:tcMar>
          </w:tcPr>
          <w:p>
            <w:r>
              <w:rPr>
                <w:b/>
                <w:color w:val="000000"/>
                <w:sz w:val="18"/>
              </w:rPr>
              <w:t>What should not be here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Persistence</w:t>
            </w:r>
          </w:p>
        </w:tc>
        <w:tc>
          <w:tcPr>
            <w:tcW w:type="dxa" w:w="3374"/>
            <w:vAlign w:val="center"/>
            <w:tcMar>
              <w:top w:w="90" w:type="dxa"/>
              <w:start w:w="100" w:type="dxa"/>
              <w:bottom w:w="90" w:type="dxa"/>
              <w:end w:w="100" w:type="dxa"/>
            </w:tcMar>
          </w:tcPr>
          <w:p>
            <w:pPr>
              <w:spacing w:after="40"/>
            </w:pPr>
            <w:r>
              <w:rPr>
                <w:rFonts w:ascii="Aptos" w:hAnsi="Aptos"/>
                <w:color w:val="000000"/>
                <w:sz w:val="18"/>
              </w:rPr>
              <w:t>Application-owned tables or an approved API-owned save path.</w:t>
            </w:r>
          </w:p>
        </w:tc>
        <w:tc>
          <w:tcPr>
            <w:tcW w:type="dxa" w:w="3374"/>
            <w:vAlign w:val="center"/>
            <w:tcMar>
              <w:top w:w="90" w:type="dxa"/>
              <w:start w:w="100" w:type="dxa"/>
              <w:bottom w:w="90" w:type="dxa"/>
              <w:end w:w="100" w:type="dxa"/>
            </w:tcMar>
          </w:tcPr>
          <w:p>
            <w:pPr>
              <w:spacing w:after="40"/>
            </w:pPr>
            <w:r>
              <w:rPr>
                <w:rFonts w:ascii="Aptos" w:hAnsi="Aptos"/>
                <w:color w:val="000000"/>
                <w:sz w:val="18"/>
              </w:rPr>
              <w:t>Direct writes to SAP standard tables.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Interface/basic CDS</w:t>
            </w:r>
          </w:p>
        </w:tc>
        <w:tc>
          <w:tcPr>
            <w:tcW w:type="dxa" w:w="3374"/>
            <w:vAlign w:val="center"/>
            <w:tcMar>
              <w:top w:w="90" w:type="dxa"/>
              <w:start w:w="100" w:type="dxa"/>
              <w:bottom w:w="90" w:type="dxa"/>
              <w:end w:w="100" w:type="dxa"/>
            </w:tcMar>
          </w:tcPr>
          <w:p>
            <w:pPr>
              <w:spacing w:after="40"/>
            </w:pPr>
            <w:r>
              <w:rPr>
                <w:rFonts w:ascii="Aptos" w:hAnsi="Aptos"/>
                <w:color w:val="000000"/>
                <w:sz w:val="18"/>
              </w:rPr>
              <w:t>Reusable semantic fields and associations.</w:t>
            </w:r>
          </w:p>
        </w:tc>
        <w:tc>
          <w:tcPr>
            <w:tcW w:type="dxa" w:w="3374"/>
            <w:vAlign w:val="center"/>
            <w:tcMar>
              <w:top w:w="90" w:type="dxa"/>
              <w:start w:w="100" w:type="dxa"/>
              <w:bottom w:w="90" w:type="dxa"/>
              <w:end w:w="100" w:type="dxa"/>
            </w:tcMar>
          </w:tcPr>
          <w:p>
            <w:pPr>
              <w:spacing w:after="40"/>
            </w:pPr>
            <w:r>
              <w:rPr>
                <w:rFonts w:ascii="Aptos" w:hAnsi="Aptos"/>
                <w:color w:val="000000"/>
                <w:sz w:val="18"/>
              </w:rPr>
              <w:t>UI-only annotations and scenario-specific filters.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Composite CDS</w:t>
            </w:r>
          </w:p>
        </w:tc>
        <w:tc>
          <w:tcPr>
            <w:tcW w:type="dxa" w:w="3374"/>
            <w:vAlign w:val="center"/>
            <w:tcMar>
              <w:top w:w="90" w:type="dxa"/>
              <w:start w:w="100" w:type="dxa"/>
              <w:bottom w:w="90" w:type="dxa"/>
              <w:end w:w="100" w:type="dxa"/>
            </w:tcMar>
          </w:tcPr>
          <w:p>
            <w:pPr>
              <w:spacing w:after="40"/>
            </w:pPr>
            <w:r>
              <w:rPr>
                <w:rFonts w:ascii="Aptos" w:hAnsi="Aptos"/>
                <w:color w:val="000000"/>
                <w:sz w:val="18"/>
              </w:rPr>
              <w:t>Reusable joins or enrichment with clear semantics.</w:t>
            </w:r>
          </w:p>
        </w:tc>
        <w:tc>
          <w:tcPr>
            <w:tcW w:type="dxa" w:w="3374"/>
            <w:vAlign w:val="center"/>
            <w:tcMar>
              <w:top w:w="90" w:type="dxa"/>
              <w:start w:w="100" w:type="dxa"/>
              <w:bottom w:w="90" w:type="dxa"/>
              <w:end w:w="100" w:type="dxa"/>
            </w:tcMar>
          </w:tcPr>
          <w:p>
            <w:pPr>
              <w:spacing w:after="40"/>
            </w:pPr>
            <w:r>
              <w:rPr>
                <w:rFonts w:ascii="Aptos" w:hAnsi="Aptos"/>
                <w:color w:val="000000"/>
                <w:sz w:val="18"/>
              </w:rPr>
              <w:t>A pass-through layer with no meaning.</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Projection/consumption</w:t>
            </w:r>
          </w:p>
        </w:tc>
        <w:tc>
          <w:tcPr>
            <w:tcW w:type="dxa" w:w="3374"/>
            <w:vAlign w:val="center"/>
            <w:tcMar>
              <w:top w:w="90" w:type="dxa"/>
              <w:start w:w="100" w:type="dxa"/>
              <w:bottom w:w="90" w:type="dxa"/>
              <w:end w:w="100" w:type="dxa"/>
            </w:tcMar>
          </w:tcPr>
          <w:p>
            <w:pPr>
              <w:spacing w:after="40"/>
            </w:pPr>
            <w:r>
              <w:rPr>
                <w:rFonts w:ascii="Aptos" w:hAnsi="Aptos"/>
                <w:color w:val="000000"/>
                <w:sz w:val="18"/>
              </w:rPr>
              <w:t>Consumer-specific fields, behaviours and annotations.</w:t>
            </w:r>
          </w:p>
        </w:tc>
        <w:tc>
          <w:tcPr>
            <w:tcW w:type="dxa" w:w="3374"/>
            <w:vAlign w:val="center"/>
            <w:tcMar>
              <w:top w:w="90" w:type="dxa"/>
              <w:start w:w="100" w:type="dxa"/>
              <w:bottom w:w="90" w:type="dxa"/>
              <w:end w:w="100" w:type="dxa"/>
            </w:tcMar>
          </w:tcPr>
          <w:p>
            <w:pPr>
              <w:spacing w:after="40"/>
            </w:pPr>
            <w:r>
              <w:rPr>
                <w:rFonts w:ascii="Aptos" w:hAnsi="Aptos"/>
                <w:color w:val="000000"/>
                <w:sz w:val="18"/>
              </w:rPr>
              <w:t>Unneeded internal or sensitive fields.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Behaviour</w:t>
            </w:r>
          </w:p>
        </w:tc>
        <w:tc>
          <w:tcPr>
            <w:tcW w:type="dxa" w:w="3374"/>
            <w:vAlign w:val="center"/>
            <w:tcMar>
              <w:top w:w="90" w:type="dxa"/>
              <w:start w:w="100" w:type="dxa"/>
              <w:bottom w:w="90" w:type="dxa"/>
              <w:end w:w="100" w:type="dxa"/>
            </w:tcMar>
          </w:tcPr>
          <w:p>
            <w:pPr>
              <w:spacing w:after="40"/>
            </w:pPr>
            <w:r>
              <w:rPr>
                <w:rFonts w:ascii="Aptos" w:hAnsi="Aptos"/>
                <w:color w:val="000000"/>
                <w:sz w:val="18"/>
              </w:rPr>
              <w:t>CRUD, actions, validations, determinations, locks, ETags and authorisation.</w:t>
            </w:r>
          </w:p>
        </w:tc>
        <w:tc>
          <w:tcPr>
            <w:tcW w:type="dxa" w:w="3374"/>
            <w:vAlign w:val="center"/>
            <w:tcMar>
              <w:top w:w="90" w:type="dxa"/>
              <w:start w:w="100" w:type="dxa"/>
              <w:bottom w:w="90" w:type="dxa"/>
              <w:end w:w="100" w:type="dxa"/>
            </w:tcMar>
          </w:tcPr>
          <w:p>
            <w:pPr>
              <w:spacing w:after="40"/>
            </w:pPr>
            <w:r>
              <w:rPr>
                <w:rFonts w:ascii="Aptos" w:hAnsi="Aptos"/>
                <w:color w:val="000000"/>
                <w:sz w:val="18"/>
              </w:rPr>
              <w:t>UI-only convenience logic.</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Service definition/binding</w:t>
            </w:r>
          </w:p>
        </w:tc>
        <w:tc>
          <w:tcPr>
            <w:tcW w:type="dxa" w:w="3374"/>
            <w:vAlign w:val="center"/>
            <w:tcMar>
              <w:top w:w="90" w:type="dxa"/>
              <w:start w:w="100" w:type="dxa"/>
              <w:bottom w:w="90" w:type="dxa"/>
              <w:end w:w="100" w:type="dxa"/>
            </w:tcMar>
          </w:tcPr>
          <w:p>
            <w:pPr>
              <w:spacing w:after="40"/>
            </w:pPr>
            <w:r>
              <w:rPr>
                <w:rFonts w:ascii="Aptos" w:hAnsi="Aptos"/>
                <w:color w:val="000000"/>
                <w:sz w:val="18"/>
              </w:rPr>
              <w:t>Published contract and protocol.</w:t>
            </w:r>
          </w:p>
        </w:tc>
        <w:tc>
          <w:tcPr>
            <w:tcW w:type="dxa" w:w="3374"/>
            <w:vAlign w:val="center"/>
            <w:tcMar>
              <w:top w:w="90" w:type="dxa"/>
              <w:start w:w="100" w:type="dxa"/>
              <w:bottom w:w="90" w:type="dxa"/>
              <w:end w:w="100" w:type="dxa"/>
            </w:tcMar>
          </w:tcPr>
          <w:p>
            <w:pPr>
              <w:spacing w:after="40"/>
            </w:pPr>
            <w:r>
              <w:rPr>
                <w:rFonts w:ascii="Aptos" w:hAnsi="Aptos"/>
                <w:color w:val="000000"/>
                <w:sz w:val="18"/>
              </w:rPr>
              <w:t>Persistence exposure by accident.</w:t>
            </w:r>
          </w:p>
        </w:tc>
      </w:tr>
    </w:tbl>
    <w:p>
      <w:pPr>
        <w:pStyle w:val="Heading2"/>
      </w:pPr>
      <w:r>
        <w:t>7.2 Decide where a rule belongs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Rule type</w:t>
            </w:r>
          </w:p>
        </w:tc>
        <w:tc>
          <w:tcPr>
            <w:tcW w:type="dxa" w:w="3374"/>
            <w:shd w:fill="E7E6E6"/>
            <w:vAlign w:val="center"/>
            <w:tcMar>
              <w:top w:w="90" w:type="dxa"/>
              <w:start w:w="100" w:type="dxa"/>
              <w:bottom w:w="90" w:type="dxa"/>
              <w:end w:w="100" w:type="dxa"/>
            </w:tcMar>
          </w:tcPr>
          <w:p>
            <w:r>
              <w:rPr>
                <w:b/>
                <w:color w:val="000000"/>
                <w:sz w:val="18"/>
              </w:rPr>
              <w:t>Use</w:t>
            </w:r>
          </w:p>
        </w:tc>
        <w:tc>
          <w:tcPr>
            <w:tcW w:type="dxa" w:w="3374"/>
            <w:shd w:fill="E7E6E6"/>
            <w:vAlign w:val="center"/>
            <w:tcMar>
              <w:top w:w="90" w:type="dxa"/>
              <w:start w:w="100" w:type="dxa"/>
              <w:bottom w:w="90" w:type="dxa"/>
              <w:end w:w="100" w:type="dxa"/>
            </w:tcMar>
          </w:tcPr>
          <w:p>
            <w:r>
              <w:rPr>
                <w:b/>
                <w:color w:val="000000"/>
                <w:sz w:val="18"/>
              </w:rPr>
              <w:t>Example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Validation</w:t>
            </w:r>
          </w:p>
        </w:tc>
        <w:tc>
          <w:tcPr>
            <w:tcW w:type="dxa" w:w="3374"/>
            <w:vAlign w:val="center"/>
            <w:tcMar>
              <w:top w:w="90" w:type="dxa"/>
              <w:start w:w="100" w:type="dxa"/>
              <w:bottom w:w="90" w:type="dxa"/>
              <w:end w:w="100" w:type="dxa"/>
            </w:tcMar>
          </w:tcPr>
          <w:p>
            <w:pPr>
              <w:spacing w:after="40"/>
            </w:pPr>
            <w:r>
              <w:rPr>
                <w:rFonts w:ascii="Aptos" w:hAnsi="Aptos"/>
                <w:color w:val="000000"/>
                <w:sz w:val="18"/>
              </w:rPr>
              <w:t>Data may be rejected.</w:t>
            </w:r>
          </w:p>
        </w:tc>
        <w:tc>
          <w:tcPr>
            <w:tcW w:type="dxa" w:w="3374"/>
            <w:vAlign w:val="center"/>
            <w:tcMar>
              <w:top w:w="90" w:type="dxa"/>
              <w:start w:w="100" w:type="dxa"/>
              <w:bottom w:w="90" w:type="dxa"/>
              <w:end w:w="100" w:type="dxa"/>
            </w:tcMar>
          </w:tcPr>
          <w:p>
            <w:pPr>
              <w:spacing w:after="40"/>
            </w:pPr>
            <w:r>
              <w:rPr>
                <w:rFonts w:ascii="Aptos" w:hAnsi="Aptos"/>
                <w:color w:val="000000"/>
                <w:sz w:val="18"/>
              </w:rPr>
              <w:t>Amount must be positive before save.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Determination</w:t>
            </w:r>
          </w:p>
        </w:tc>
        <w:tc>
          <w:tcPr>
            <w:tcW w:type="dxa" w:w="3374"/>
            <w:vAlign w:val="center"/>
            <w:tcMar>
              <w:top w:w="90" w:type="dxa"/>
              <w:start w:w="100" w:type="dxa"/>
              <w:bottom w:w="90" w:type="dxa"/>
              <w:end w:w="100" w:type="dxa"/>
            </w:tcMar>
          </w:tcPr>
          <w:p>
            <w:pPr>
              <w:spacing w:after="40"/>
            </w:pPr>
            <w:r>
              <w:rPr>
                <w:rFonts w:ascii="Aptos" w:hAnsi="Aptos"/>
                <w:color w:val="000000"/>
                <w:sz w:val="18"/>
              </w:rPr>
              <w:t>A value is derived automatically.</w:t>
            </w:r>
          </w:p>
        </w:tc>
        <w:tc>
          <w:tcPr>
            <w:tcW w:type="dxa" w:w="3374"/>
            <w:vAlign w:val="center"/>
            <w:tcMar>
              <w:top w:w="90" w:type="dxa"/>
              <w:start w:w="100" w:type="dxa"/>
              <w:bottom w:w="90" w:type="dxa"/>
              <w:end w:w="100" w:type="dxa"/>
            </w:tcMar>
          </w:tcPr>
          <w:p>
            <w:pPr>
              <w:spacing w:after="40"/>
            </w:pPr>
            <w:r>
              <w:rPr>
                <w:rFonts w:ascii="Aptos" w:hAnsi="Aptos"/>
                <w:color w:val="000000"/>
                <w:sz w:val="18"/>
              </w:rPr>
              <w:t>Default status on creation.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Action</w:t>
            </w:r>
          </w:p>
        </w:tc>
        <w:tc>
          <w:tcPr>
            <w:tcW w:type="dxa" w:w="3374"/>
            <w:vAlign w:val="center"/>
            <w:tcMar>
              <w:top w:w="90" w:type="dxa"/>
              <w:start w:w="100" w:type="dxa"/>
              <w:bottom w:w="90" w:type="dxa"/>
              <w:end w:w="100" w:type="dxa"/>
            </w:tcMar>
          </w:tcPr>
          <w:p>
            <w:pPr>
              <w:spacing w:after="40"/>
            </w:pPr>
            <w:r>
              <w:rPr>
                <w:rFonts w:ascii="Aptos" w:hAnsi="Aptos"/>
                <w:color w:val="000000"/>
                <w:sz w:val="18"/>
              </w:rPr>
              <w:t>User explicitly requests a business transition.</w:t>
            </w:r>
          </w:p>
        </w:tc>
        <w:tc>
          <w:tcPr>
            <w:tcW w:type="dxa" w:w="3374"/>
            <w:vAlign w:val="center"/>
            <w:tcMar>
              <w:top w:w="90" w:type="dxa"/>
              <w:start w:w="100" w:type="dxa"/>
              <w:bottom w:w="90" w:type="dxa"/>
              <w:end w:w="100" w:type="dxa"/>
            </w:tcMar>
          </w:tcPr>
          <w:p>
            <w:pPr>
              <w:spacing w:after="40"/>
            </w:pPr>
            <w:r>
              <w:rPr>
                <w:rFonts w:ascii="Aptos" w:hAnsi="Aptos"/>
                <w:color w:val="000000"/>
                <w:sz w:val="18"/>
              </w:rPr>
              <w:t>Approve, reject or release.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Feature control</w:t>
            </w:r>
          </w:p>
        </w:tc>
        <w:tc>
          <w:tcPr>
            <w:tcW w:type="dxa" w:w="3374"/>
            <w:vAlign w:val="center"/>
            <w:tcMar>
              <w:top w:w="90" w:type="dxa"/>
              <w:start w:w="100" w:type="dxa"/>
              <w:bottom w:w="90" w:type="dxa"/>
              <w:end w:w="100" w:type="dxa"/>
            </w:tcMar>
          </w:tcPr>
          <w:p>
            <w:pPr>
              <w:spacing w:after="40"/>
            </w:pPr>
            <w:r>
              <w:rPr>
                <w:rFonts w:ascii="Aptos" w:hAnsi="Aptos"/>
                <w:color w:val="000000"/>
                <w:sz w:val="18"/>
              </w:rPr>
              <w:t>Availability depends on instance state.</w:t>
            </w:r>
          </w:p>
        </w:tc>
        <w:tc>
          <w:tcPr>
            <w:tcW w:type="dxa" w:w="3374"/>
            <w:vAlign w:val="center"/>
            <w:tcMar>
              <w:top w:w="90" w:type="dxa"/>
              <w:start w:w="100" w:type="dxa"/>
              <w:bottom w:w="90" w:type="dxa"/>
              <w:end w:w="100" w:type="dxa"/>
            </w:tcMar>
          </w:tcPr>
          <w:p>
            <w:pPr>
              <w:spacing w:after="40"/>
            </w:pPr>
            <w:r>
              <w:rPr>
                <w:rFonts w:ascii="Aptos" w:hAnsi="Aptos"/>
                <w:color w:val="000000"/>
                <w:sz w:val="18"/>
              </w:rPr>
              <w:t>Approve enabled only for submitted records.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Authorisation</w:t>
            </w:r>
          </w:p>
        </w:tc>
        <w:tc>
          <w:tcPr>
            <w:tcW w:type="dxa" w:w="3374"/>
            <w:vAlign w:val="center"/>
            <w:tcMar>
              <w:top w:w="90" w:type="dxa"/>
              <w:start w:w="100" w:type="dxa"/>
              <w:bottom w:w="90" w:type="dxa"/>
              <w:end w:w="100" w:type="dxa"/>
            </w:tcMar>
          </w:tcPr>
          <w:p>
            <w:pPr>
              <w:spacing w:after="40"/>
            </w:pPr>
            <w:r>
              <w:rPr>
                <w:rFonts w:ascii="Aptos" w:hAnsi="Aptos"/>
                <w:color w:val="000000"/>
                <w:sz w:val="18"/>
              </w:rPr>
              <w:t>User permission controls the operation.</w:t>
            </w:r>
          </w:p>
        </w:tc>
        <w:tc>
          <w:tcPr>
            <w:tcW w:type="dxa" w:w="3374"/>
            <w:vAlign w:val="center"/>
            <w:tcMar>
              <w:top w:w="90" w:type="dxa"/>
              <w:start w:w="100" w:type="dxa"/>
              <w:bottom w:w="90" w:type="dxa"/>
              <w:end w:w="100" w:type="dxa"/>
            </w:tcMar>
          </w:tcPr>
          <w:p>
            <w:pPr>
              <w:spacing w:after="40"/>
            </w:pPr>
            <w:r>
              <w:rPr>
                <w:rFonts w:ascii="Aptos" w:hAnsi="Aptos"/>
                <w:color w:val="000000"/>
                <w:sz w:val="18"/>
              </w:rPr>
              <w:t>Only managers may approve.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Side effect</w:t>
            </w:r>
          </w:p>
        </w:tc>
        <w:tc>
          <w:tcPr>
            <w:tcW w:type="dxa" w:w="3374"/>
            <w:vAlign w:val="center"/>
            <w:tcMar>
              <w:top w:w="90" w:type="dxa"/>
              <w:start w:w="100" w:type="dxa"/>
              <w:bottom w:w="90" w:type="dxa"/>
              <w:end w:w="100" w:type="dxa"/>
            </w:tcMar>
          </w:tcPr>
          <w:p>
            <w:pPr>
              <w:spacing w:after="40"/>
            </w:pPr>
            <w:r>
              <w:rPr>
                <w:rFonts w:ascii="Aptos" w:hAnsi="Aptos"/>
                <w:color w:val="000000"/>
                <w:sz w:val="18"/>
              </w:rPr>
              <w:t>Action changes fields the UI should reread.</w:t>
            </w:r>
          </w:p>
        </w:tc>
        <w:tc>
          <w:tcPr>
            <w:tcW w:type="dxa" w:w="3374"/>
            <w:vAlign w:val="center"/>
            <w:tcMar>
              <w:top w:w="90" w:type="dxa"/>
              <w:start w:w="100" w:type="dxa"/>
              <w:bottom w:w="90" w:type="dxa"/>
              <w:end w:w="100" w:type="dxa"/>
            </w:tcMar>
          </w:tcPr>
          <w:p>
            <w:pPr>
              <w:spacing w:after="40"/>
            </w:pPr>
            <w:r>
              <w:rPr>
                <w:rFonts w:ascii="Aptos" w:hAnsi="Aptos"/>
                <w:color w:val="000000"/>
                <w:sz w:val="18"/>
              </w:rPr>
              <w:t>Approval updates status and approver.</w:t>
            </w:r>
          </w:p>
        </w:tc>
      </w:tr>
    </w:tbl>
    <w:p>
      <w:pPr>
        <w:pStyle w:val="Heading2"/>
      </w:pPr>
      <w:r>
        <w:t>7.3 Transaction and concurrency</w:t>
      </w:r>
    </w:p>
    <w:p>
      <w:r>
        <w:t>ETags protect users from overwriting changes made by someone else. Locks coordinate transactional changes. Draft supports longer edit sessions where users need to pause or resume. Choose these based on the user journey, not because they are available. Do not issue `COMMIT WORK` or `ROLLBACK WORK` inside behaviour handlers; RAP owns the transaction boundary.</w:t>
      </w:r>
    </w:p>
    <w:p>
      <w:pPr>
        <w:pStyle w:val="Heading2"/>
      </w:pPr>
      <w:r>
        <w:t>7.4 Managed RAP example</w:t>
      </w:r>
    </w:p>
    <w:p>
      <w:pPr>
        <w:pStyle w:val="Code"/>
      </w:pPr>
      <w:r>
        <w:t>managed implementation in class zbp_i_sampleorder unique;</w:t>
      </w:r>
    </w:p>
    <w:p>
      <w:pPr>
        <w:pStyle w:val="Code"/>
      </w:pPr>
      <w:r>
        <w:t>strict ( 2 );</w:t>
      </w:r>
    </w:p>
    <w:p>
      <w:pPr>
        <w:pStyle w:val="Code"/>
      </w:pPr>
      <w:r>
        <w:t>with draft;</w:t>
      </w:r>
    </w:p>
    <w:p>
      <w:pPr>
        <w:pStyle w:val="Code"/>
      </w:pPr>
    </w:p>
    <w:p>
      <w:pPr>
        <w:pStyle w:val="Code"/>
      </w:pPr>
      <w:r>
        <w:t>define behavior for ZI_SampleOrder alias Order</w:t>
      </w:r>
    </w:p>
    <w:p>
      <w:pPr>
        <w:pStyle w:val="Code"/>
      </w:pPr>
      <w:r>
        <w:t>persistent table zsample_order</w:t>
      </w:r>
    </w:p>
    <w:p>
      <w:pPr>
        <w:pStyle w:val="Code"/>
      </w:pPr>
      <w:r>
        <w:t>draft table zsample_order_d</w:t>
      </w:r>
    </w:p>
    <w:p>
      <w:pPr>
        <w:pStyle w:val="Code"/>
      </w:pPr>
      <w:r>
        <w:t>lock master total etag LastChangedAt</w:t>
      </w:r>
    </w:p>
    <w:p>
      <w:pPr>
        <w:pStyle w:val="Code"/>
      </w:pPr>
      <w:r>
        <w:t>authorization master ( global, instance )</w:t>
      </w:r>
    </w:p>
    <w:p>
      <w:pPr>
        <w:pStyle w:val="Code"/>
      </w:pPr>
      <w:r>
        <w:t>etag master LocalLastChangedAt</w:t>
      </w:r>
    </w:p>
    <w:p>
      <w:pPr>
        <w:pStyle w:val="Code"/>
      </w:pPr>
      <w:r>
        <w:t>{</w:t>
      </w:r>
    </w:p>
    <w:p>
      <w:pPr>
        <w:pStyle w:val="Code"/>
      </w:pPr>
      <w:r>
        <w:t xml:space="preserve">  create; update; delete;</w:t>
      </w:r>
    </w:p>
    <w:p>
      <w:pPr>
        <w:pStyle w:val="Code"/>
      </w:pPr>
      <w:r>
        <w:t xml:space="preserve">  field ( readonly ) OrderUUID, CreatedAt, CreatedBy, LastChangedAt;</w:t>
      </w:r>
    </w:p>
    <w:p>
      <w:pPr>
        <w:pStyle w:val="Code"/>
      </w:pPr>
      <w:r>
        <w:t xml:space="preserve">  validation validateAmount on save { field Amount, Currency; create; update; }</w:t>
      </w:r>
    </w:p>
    <w:p>
      <w:pPr>
        <w:pStyle w:val="Code"/>
      </w:pPr>
      <w:r>
        <w:t xml:space="preserve">  determination setDefaults on modify { create; }</w:t>
      </w:r>
    </w:p>
    <w:p>
      <w:pPr>
        <w:pStyle w:val="Code"/>
      </w:pPr>
      <w:r>
        <w:t xml:space="preserve">  action ( features : instance ) approve result [1] $self;</w:t>
      </w:r>
    </w:p>
    <w:p>
      <w:pPr>
        <w:pStyle w:val="Code"/>
      </w:pPr>
      <w:r>
        <w:t xml:space="preserve">  draft action Edit;</w:t>
      </w:r>
    </w:p>
    <w:p>
      <w:pPr>
        <w:pStyle w:val="Code"/>
      </w:pPr>
      <w:r>
        <w:t xml:space="preserve">  draft action Activate optimized;</w:t>
      </w:r>
    </w:p>
    <w:p>
      <w:pPr>
        <w:pStyle w:val="Code"/>
      </w:pPr>
      <w:r>
        <w:t xml:space="preserve">  draft action Discard;</w:t>
      </w:r>
    </w:p>
    <w:p>
      <w:pPr>
        <w:pStyle w:val="Code"/>
      </w:pPr>
      <w:r>
        <w:t xml:space="preserve">  draft action Resume;</w:t>
      </w:r>
    </w:p>
    <w:p>
      <w:pPr>
        <w:pStyle w:val="Code"/>
      </w:pPr>
      <w:r>
        <w:t>}</w:t>
      </w:r>
    </w:p>
    <w:p>
      <w:r>
        <w:t>The example shows intent, not a complete application. The framework owns standard persistence, while the developer supplies rules and commands. Keep implementation methods set-based and map failures to the affected instance.</w:t>
      </w:r>
    </w:p>
    <w:p>
      <w:pPr>
        <w:pStyle w:val="Heading1"/>
      </w:pPr>
      <w:r>
        <w:t>8. Phase 5B: Build with CAP Node.js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CAP turns CDS models into service behaviour through generic providers. The main design skill is knowing when the model is sufficient and when custom code adds genuine domain value.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Standard CRUD works without custom handlers, business actions are thin and testable, remote services are configured, and the application remains tenant-aware and stateless.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Start with model and service projections. Add custom handlers only for behaviour that cannot be expressed declaratively. Move complex decisions to pure domain functions.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CAP domain model, service contracts, thin handlers, integration adapters and automated tests.</w:t>
            </w:r>
          </w:p>
        </w:tc>
      </w:tr>
    </w:tbl>
    <w:p>
      <w:pPr>
        <w:pStyle w:val="Heading2"/>
      </w:pPr>
      <w:r>
        <w:t>8.1 Understand generic providers</w:t>
      </w:r>
    </w:p>
    <w:p>
      <w:r>
        <w:t>CAP can automatically serve standard CRUD, paging, filtering and OData behaviour from the model. Rewriting this in `on READ` or `on CREATE` usually removes framework guarantees and creates extra tests. Use custom handlers for business commands, orchestration or special integration behaviour, not to prove that code can be written.</w:t>
      </w:r>
    </w:p>
    <w:p>
      <w:pPr>
        <w:pStyle w:val="Heading2"/>
      </w:pPr>
      <w:r>
        <w:t>8.2 What belongs in each handler</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Handler</w:t>
            </w:r>
          </w:p>
        </w:tc>
        <w:tc>
          <w:tcPr>
            <w:tcW w:type="dxa" w:w="3374"/>
            <w:shd w:fill="E7E6E6"/>
            <w:vAlign w:val="center"/>
            <w:tcMar>
              <w:top w:w="90" w:type="dxa"/>
              <w:start w:w="100" w:type="dxa"/>
              <w:bottom w:w="90" w:type="dxa"/>
              <w:end w:w="100" w:type="dxa"/>
            </w:tcMar>
          </w:tcPr>
          <w:p>
            <w:r>
              <w:rPr>
                <w:b/>
                <w:color w:val="000000"/>
                <w:sz w:val="18"/>
              </w:rPr>
              <w:t>Use it for</w:t>
            </w:r>
          </w:p>
        </w:tc>
        <w:tc>
          <w:tcPr>
            <w:tcW w:type="dxa" w:w="3374"/>
            <w:shd w:fill="E7E6E6"/>
            <w:vAlign w:val="center"/>
            <w:tcMar>
              <w:top w:w="90" w:type="dxa"/>
              <w:start w:w="100" w:type="dxa"/>
              <w:bottom w:w="90" w:type="dxa"/>
              <w:end w:w="100" w:type="dxa"/>
            </w:tcMar>
          </w:tcPr>
          <w:p>
            <w:r>
              <w:rPr>
                <w:b/>
                <w:color w:val="000000"/>
                <w:sz w:val="18"/>
              </w:rPr>
              <w:t>Avoid</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before</w:t>
            </w:r>
          </w:p>
        </w:tc>
        <w:tc>
          <w:tcPr>
            <w:tcW w:type="dxa" w:w="3374"/>
            <w:vAlign w:val="center"/>
            <w:tcMar>
              <w:top w:w="90" w:type="dxa"/>
              <w:start w:w="100" w:type="dxa"/>
              <w:bottom w:w="90" w:type="dxa"/>
              <w:end w:w="100" w:type="dxa"/>
            </w:tcMar>
          </w:tcPr>
          <w:p>
            <w:pPr>
              <w:spacing w:after="40"/>
            </w:pPr>
            <w:r>
              <w:rPr>
                <w:rFonts w:ascii="Aptos" w:hAnsi="Aptos"/>
                <w:color w:val="000000"/>
                <w:sz w:val="18"/>
              </w:rPr>
              <w:t>Request validation and defaults that depend on request context.</w:t>
            </w:r>
          </w:p>
        </w:tc>
        <w:tc>
          <w:tcPr>
            <w:tcW w:type="dxa" w:w="3374"/>
            <w:vAlign w:val="center"/>
            <w:tcMar>
              <w:top w:w="90" w:type="dxa"/>
              <w:start w:w="100" w:type="dxa"/>
              <w:bottom w:w="90" w:type="dxa"/>
              <w:end w:w="100" w:type="dxa"/>
            </w:tcMar>
          </w:tcPr>
          <w:p>
            <w:pPr>
              <w:spacing w:after="40"/>
            </w:pPr>
            <w:r>
              <w:rPr>
                <w:rFonts w:ascii="Aptos" w:hAnsi="Aptos"/>
                <w:color w:val="000000"/>
                <w:sz w:val="18"/>
              </w:rPr>
              <w:t>Long-running orchestration.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on</w:t>
            </w:r>
          </w:p>
        </w:tc>
        <w:tc>
          <w:tcPr>
            <w:tcW w:type="dxa" w:w="3374"/>
            <w:vAlign w:val="center"/>
            <w:tcMar>
              <w:top w:w="90" w:type="dxa"/>
              <w:start w:w="100" w:type="dxa"/>
              <w:bottom w:w="90" w:type="dxa"/>
              <w:end w:w="100" w:type="dxa"/>
            </w:tcMar>
          </w:tcPr>
          <w:p>
            <w:pPr>
              <w:spacing w:after="40"/>
            </w:pPr>
            <w:r>
              <w:rPr>
                <w:rFonts w:ascii="Aptos" w:hAnsi="Aptos"/>
                <w:color w:val="000000"/>
                <w:sz w:val="18"/>
              </w:rPr>
              <w:t>Custom actions/functions or deliberate replacement of generic handling.</w:t>
            </w:r>
          </w:p>
        </w:tc>
        <w:tc>
          <w:tcPr>
            <w:tcW w:type="dxa" w:w="3374"/>
            <w:vAlign w:val="center"/>
            <w:tcMar>
              <w:top w:w="90" w:type="dxa"/>
              <w:start w:w="100" w:type="dxa"/>
              <w:bottom w:w="90" w:type="dxa"/>
              <w:end w:w="100" w:type="dxa"/>
            </w:tcMar>
          </w:tcPr>
          <w:p>
            <w:pPr>
              <w:spacing w:after="40"/>
            </w:pPr>
            <w:r>
              <w:rPr>
                <w:rFonts w:ascii="Aptos" w:hAnsi="Aptos"/>
                <w:color w:val="000000"/>
                <w:sz w:val="18"/>
              </w:rPr>
              <w:t>Rewriting ordinary CRUD.</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after</w:t>
            </w:r>
          </w:p>
        </w:tc>
        <w:tc>
          <w:tcPr>
            <w:tcW w:type="dxa" w:w="3374"/>
            <w:vAlign w:val="center"/>
            <w:tcMar>
              <w:top w:w="90" w:type="dxa"/>
              <w:start w:w="100" w:type="dxa"/>
              <w:bottom w:w="90" w:type="dxa"/>
              <w:end w:w="100" w:type="dxa"/>
            </w:tcMar>
          </w:tcPr>
          <w:p>
            <w:pPr>
              <w:spacing w:after="40"/>
            </w:pPr>
            <w:r>
              <w:rPr>
                <w:rFonts w:ascii="Aptos" w:hAnsi="Aptos"/>
                <w:color w:val="000000"/>
                <w:sz w:val="18"/>
              </w:rPr>
              <w:t>Presentation-only enrichment that does not affect filtering, sorting or paging.</w:t>
            </w:r>
          </w:p>
        </w:tc>
        <w:tc>
          <w:tcPr>
            <w:tcW w:type="dxa" w:w="3374"/>
            <w:vAlign w:val="center"/>
            <w:tcMar>
              <w:top w:w="90" w:type="dxa"/>
              <w:start w:w="100" w:type="dxa"/>
              <w:bottom w:w="90" w:type="dxa"/>
              <w:end w:w="100" w:type="dxa"/>
            </w:tcMar>
          </w:tcPr>
          <w:p>
            <w:pPr>
              <w:spacing w:after="40"/>
            </w:pPr>
            <w:r>
              <w:rPr>
                <w:rFonts w:ascii="Aptos" w:hAnsi="Aptos"/>
                <w:color w:val="000000"/>
                <w:sz w:val="18"/>
              </w:rPr>
              <w:t>Calculated list fields consumers must query.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error</w:t>
            </w:r>
          </w:p>
        </w:tc>
        <w:tc>
          <w:tcPr>
            <w:tcW w:type="dxa" w:w="3374"/>
            <w:vAlign w:val="center"/>
            <w:tcMar>
              <w:top w:w="90" w:type="dxa"/>
              <w:start w:w="100" w:type="dxa"/>
              <w:bottom w:w="90" w:type="dxa"/>
              <w:end w:w="100" w:type="dxa"/>
            </w:tcMar>
          </w:tcPr>
          <w:p>
            <w:pPr>
              <w:spacing w:after="40"/>
            </w:pPr>
            <w:r>
              <w:rPr>
                <w:rFonts w:ascii="Aptos" w:hAnsi="Aptos"/>
                <w:color w:val="000000"/>
                <w:sz w:val="18"/>
              </w:rPr>
              <w:t>Safe mapping and structured diagnostics.</w:t>
            </w:r>
          </w:p>
        </w:tc>
        <w:tc>
          <w:tcPr>
            <w:tcW w:type="dxa" w:w="3374"/>
            <w:vAlign w:val="center"/>
            <w:tcMar>
              <w:top w:w="90" w:type="dxa"/>
              <w:start w:w="100" w:type="dxa"/>
              <w:bottom w:w="90" w:type="dxa"/>
              <w:end w:w="100" w:type="dxa"/>
            </w:tcMar>
          </w:tcPr>
          <w:p>
            <w:pPr>
              <w:spacing w:after="40"/>
            </w:pPr>
            <w:r>
              <w:rPr>
                <w:rFonts w:ascii="Aptos" w:hAnsi="Aptos"/>
                <w:color w:val="000000"/>
                <w:sz w:val="18"/>
              </w:rPr>
              <w:t>Returning stack traces or raw upstream payloads.</w:t>
            </w:r>
          </w:p>
        </w:tc>
      </w:tr>
    </w:tbl>
    <w:p>
      <w:pPr>
        <w:pStyle w:val="Heading2"/>
      </w:pPr>
      <w:r>
        <w:t>8.3 Thin-handler pattern</w:t>
      </w:r>
    </w:p>
    <w:p>
      <w:pPr>
        <w:pStyle w:val="Code"/>
      </w:pPr>
      <w:r>
        <w:t>const cds = require('@sap/cds');</w:t>
      </w:r>
    </w:p>
    <w:p>
      <w:pPr>
        <w:pStyle w:val="Code"/>
      </w:pPr>
    </w:p>
    <w:p>
      <w:pPr>
        <w:pStyle w:val="Code"/>
      </w:pPr>
      <w:r>
        <w:t>module.exports = class OrderService extends cds.ApplicationService {</w:t>
      </w:r>
    </w:p>
    <w:p>
      <w:pPr>
        <w:pStyle w:val="Code"/>
      </w:pPr>
      <w:r>
        <w:t xml:space="preserve">  async init() {</w:t>
      </w:r>
    </w:p>
    <w:p>
      <w:pPr>
        <w:pStyle w:val="Code"/>
      </w:pPr>
      <w:r>
        <w:t xml:space="preserve">    const { Orders } = this.entities;</w:t>
      </w:r>
    </w:p>
    <w:p>
      <w:pPr>
        <w:pStyle w:val="Code"/>
      </w:pPr>
    </w:p>
    <w:p>
      <w:pPr>
        <w:pStyle w:val="Code"/>
      </w:pPr>
      <w:r>
        <w:t xml:space="preserve">    this.before(['CREATE', 'UPDATE'], Orders, request =&gt; {</w:t>
      </w:r>
    </w:p>
    <w:p>
      <w:pPr>
        <w:pStyle w:val="Code"/>
      </w:pPr>
      <w:r>
        <w:t xml:space="preserve">      if (request.data.total &lt; 0) {</w:t>
      </w:r>
    </w:p>
    <w:p>
      <w:pPr>
        <w:pStyle w:val="Code"/>
      </w:pPr>
      <w:r>
        <w:t xml:space="preserve">        request.error(400, 'TOTAL_MUST_BE_POSITIVE', 'total');</w:t>
      </w:r>
    </w:p>
    <w:p>
      <w:pPr>
        <w:pStyle w:val="Code"/>
      </w:pPr>
      <w:r>
        <w:t xml:space="preserve">      }</w:t>
      </w:r>
    </w:p>
    <w:p>
      <w:pPr>
        <w:pStyle w:val="Code"/>
      </w:pPr>
      <w:r>
        <w:t xml:space="preserve">    });</w:t>
      </w:r>
    </w:p>
    <w:p>
      <w:pPr>
        <w:pStyle w:val="Code"/>
      </w:pPr>
    </w:p>
    <w:p>
      <w:pPr>
        <w:pStyle w:val="Code"/>
      </w:pPr>
      <w:r>
        <w:t xml:space="preserve">    this.on('approve', async request =&gt; {</w:t>
      </w:r>
    </w:p>
    <w:p>
      <w:pPr>
        <w:pStyle w:val="Code"/>
      </w:pPr>
      <w:r>
        <w:t xml:space="preserve">      const tx = cds.tx(request);</w:t>
      </w:r>
    </w:p>
    <w:p>
      <w:pPr>
        <w:pStyle w:val="Code"/>
      </w:pPr>
      <w:r>
        <w:t xml:space="preserve">      const order = await tx.run(SELECT.one.from(Orders).where({ ID: request.data.ID }));</w:t>
      </w:r>
    </w:p>
    <w:p>
      <w:pPr>
        <w:pStyle w:val="Code"/>
      </w:pPr>
      <w:r>
        <w:t xml:space="preserve">      if (!order) request.reject(404);</w:t>
      </w:r>
    </w:p>
    <w:p>
      <w:pPr>
        <w:pStyle w:val="Code"/>
      </w:pPr>
      <w:r>
        <w:t xml:space="preserve">      if (order.status !== 'SUBMITTED') request.reject(409, 'INVALID_STATE');</w:t>
      </w:r>
    </w:p>
    <w:p>
      <w:pPr>
        <w:pStyle w:val="Code"/>
      </w:pPr>
      <w:r>
        <w:t xml:space="preserve">      await tx.run(UPDATE(Orders).set({ status: 'APPROVED' }).where({ ID: order.ID }));</w:t>
      </w:r>
    </w:p>
    <w:p>
      <w:pPr>
        <w:pStyle w:val="Code"/>
      </w:pPr>
      <w:r>
        <w:t xml:space="preserve">      return { ...order, status: 'APPROVED' };</w:t>
      </w:r>
    </w:p>
    <w:p>
      <w:pPr>
        <w:pStyle w:val="Code"/>
      </w:pPr>
      <w:r>
        <w:t xml:space="preserve">    });</w:t>
      </w:r>
    </w:p>
    <w:p>
      <w:pPr>
        <w:pStyle w:val="Code"/>
      </w:pPr>
    </w:p>
    <w:p>
      <w:pPr>
        <w:pStyle w:val="Code"/>
      </w:pPr>
      <w:r>
        <w:t xml:space="preserve">    return super.init();</w:t>
      </w:r>
    </w:p>
    <w:p>
      <w:pPr>
        <w:pStyle w:val="Code"/>
      </w:pPr>
      <w:r>
        <w:t xml:space="preserve">  }</w:t>
      </w:r>
    </w:p>
    <w:p>
      <w:pPr>
        <w:pStyle w:val="Code"/>
      </w:pPr>
      <w:r>
        <w:t>};</w:t>
      </w:r>
    </w:p>
    <w:p>
      <w:r>
        <w:t>The handler validates context, uses a request-bound transaction and performs one command. If approval rules become complex, move the decision into a pure domain module and unit-test it independently.</w:t>
      </w:r>
    </w:p>
    <w:p>
      <w:pPr>
        <w:pStyle w:val="Heading2"/>
      </w:pPr>
      <w:r>
        <w:t>8.4 JavaScript rules that prevent production defects</w:t>
      </w:r>
    </w:p>
    <w:p>
      <w:pPr>
        <w:pStyle w:val="ListBullet"/>
      </w:pPr>
      <w:r>
        <w:t>Use `async/await` consistently and await every operation that affects the response.</w:t>
      </w:r>
    </w:p>
    <w:p>
      <w:pPr>
        <w:pStyle w:val="ListBullet"/>
      </w:pPr>
      <w:r>
        <w:t>Do not keep mutable request or user data in module-level variables; multiple requests and instances run concurrently.</w:t>
      </w:r>
    </w:p>
    <w:p>
      <w:pPr>
        <w:pStyle w:val="ListBullet"/>
      </w:pPr>
      <w:r>
        <w:t>Connect to configured services through `cds.connect.to`; do not create a new ad-hoc client for every request.</w:t>
      </w:r>
    </w:p>
    <w:p>
      <w:pPr>
        <w:pStyle w:val="ListBullet"/>
      </w:pPr>
      <w:r>
        <w:t>Use CQL/CQN with bound values; do not concatenate user input into SQL or expressions.</w:t>
      </w:r>
    </w:p>
    <w:p>
      <w:pPr>
        <w:pStyle w:val="ListBullet"/>
      </w:pPr>
      <w:r>
        <w:t>Avoid synchronous file I/O and CPU-heavy loops in request paths.</w:t>
      </w:r>
    </w:p>
    <w:p>
      <w:pPr>
        <w:pStyle w:val="ListBullet"/>
      </w:pPr>
      <w:r>
        <w:t>Centralise and validate configuration at startup rather than reading `process.env` throughout the code.</w:t>
      </w:r>
    </w:p>
    <w:p>
      <w:pPr>
        <w:pStyle w:val="Heading1"/>
      </w:pPr>
      <w:r>
        <w:t>9. Phase 5C: Build the Fiori User Experience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The UI is where users experience the quality of the whole system, but it should not become a second business-logic engine. A metadata-driven design keeps frontend and backend behaviour aligned.</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Critical journeys work with keyboard and assistive technology, OData requests are bounded, messages are actionable and no backend security rule exists only in the UI.</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Start from user tasks and Fiori patterns, implement annotations/service metadata, then add the smallest supported extension needed. Validate network and accessibility behaviour continuously.</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Fiori elements or SAPUI5 app, annotations, i18n, automated journeys and accessibility evidence.</w:t>
            </w:r>
          </w:p>
        </w:tc>
      </w:tr>
    </w:tbl>
    <w:p>
      <w:pPr>
        <w:pStyle w:val="Heading2"/>
      </w:pPr>
      <w:r>
        <w:t>9.1 Fiori elements first</w:t>
      </w:r>
    </w:p>
    <w:p>
      <w:r>
        <w:t>Use Fiori elements for standard list, object, analytical and worklist experiences. It provides reusable floorplans and building blocks driven by OData metadata. Add supported custom sections or actions only where the standard experience has a genuine gap. Choose freestyle SAPUI5 when the interaction itself is specialised, not because the team is more familiar with controllers.</w:t>
      </w:r>
    </w:p>
    <w:p>
      <w:pPr>
        <w:pStyle w:val="Heading2"/>
      </w:pPr>
      <w:r>
        <w:t>9.2 Modern SAPUI5 practices</w:t>
      </w:r>
    </w:p>
    <w:p>
      <w:pPr>
        <w:pStyle w:val="ListBullet"/>
      </w:pPr>
      <w:r>
        <w:t>Use XML views/fragments, stable IDs, manifest-first configuration and i18n.</w:t>
      </w:r>
    </w:p>
    <w:p>
      <w:pPr>
        <w:pStyle w:val="ListBullet"/>
      </w:pPr>
      <w:r>
        <w:t>Use `sap.ui.define` for declared dependencies and asynchronous loading for components, routes and fragments.</w:t>
      </w:r>
    </w:p>
    <w:p>
      <w:pPr>
        <w:pStyle w:val="ListBullet"/>
      </w:pPr>
      <w:r>
        <w:t>Use only public APIs. Do not access underscore-prefixed members, generated IDs or UI5-managed DOM directly.</w:t>
      </w:r>
    </w:p>
    <w:p>
      <w:pPr>
        <w:pStyle w:val="ListBullet"/>
      </w:pPr>
      <w:r>
        <w:t>Match the OData model to the service version. V2 model methods are not valid patterns for V4 bindings.</w:t>
      </w:r>
    </w:p>
    <w:p>
      <w:pPr>
        <w:pStyle w:val="ListBullet"/>
      </w:pPr>
      <w:r>
        <w:t>Use side effects or targeted binding refresh instead of refreshing the entire model.</w:t>
      </w:r>
    </w:p>
    <w:p>
      <w:pPr>
        <w:pStyle w:val="ListBullet"/>
      </w:pPr>
      <w:r>
        <w:t>Destroy programmatically created dialogs, timers and global subscriptions in lifecycle hooks.</w:t>
      </w:r>
    </w:p>
    <w:p>
      <w:pPr>
        <w:pStyle w:val="Heading2"/>
      </w:pPr>
      <w:r>
        <w:t>9.3 Draft, messages and side effects</w:t>
      </w:r>
    </w:p>
    <w:p>
      <w:r>
        <w:t>Draft is useful for long or collaborative edit flows because an interim version can be saved while the active version remains stable. It is unnecessary for a one-field quick update. For both RAP and CAP, design the backend draft semantics first and let the OData V4/Fiori flow consume them. Messages should identify the affected field or object, and actions should declare side effects so the UI updates only what changed.</w:t>
      </w:r>
    </w:p>
    <w:p>
      <w:pPr>
        <w:pStyle w:val="Heading2"/>
      </w:pPr>
      <w:r>
        <w:t>9.4 UI performance</w:t>
      </w:r>
    </w:p>
    <w:p>
      <w:r>
        <w:t>Start with the browser Network and Performance tools. Count OData requests, compare payload sizes and inspect long main-thread tasks. A slow page is often caused by an unbounded table, deep `$expand`, repeated formatter work or broad refresh rather than a single slow backend method. Build and deploy the optimised `dist` output with preload and minification.</w:t>
      </w:r>
    </w:p>
    <w:p>
      <w:pPr>
        <w:pStyle w:val="Heading1"/>
      </w:pPr>
      <w:r>
        <w:t>10. Phase 5D: Integrate S/4HANA and Other Systems Safely</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Integration is where clean-core, transaction, security and availability concerns meet. A technically reachable table is not automatically a valid business interface.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Every dependency has an approved contract, authentication method, timeout, failure behaviour, owner and clean-core level.</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Evaluate released APIs first, then governed data products, then approved classic APIs. Use federation only for bounded read-only cases. Design retries and events around business semantics.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Integration catalogue, destination/service bindings, clean-core record, contract tests and resilience design.</w:t>
            </w:r>
          </w:p>
        </w:tc>
      </w:tr>
    </w:tbl>
    <w:p>
      <w:pPr>
        <w:pStyle w:val="Heading2"/>
      </w:pPr>
      <w:r>
        <w:t>10.1 Clean-core decision order</w:t>
      </w:r>
    </w:p>
    <w:p>
      <w:pPr>
        <w:pStyle w:val="ListNumber"/>
      </w:pPr>
      <w:r>
        <w:t>Use a released API or extension point and classify the extension as Level A where possible.</w:t>
      </w:r>
    </w:p>
    <w:p>
      <w:pPr>
        <w:pStyle w:val="ListNumber"/>
      </w:pPr>
      <w:r>
        <w:t>If Level A does not cover the requirement, evaluate SAP-classified classic APIs and recommended technologies as Level B.</w:t>
      </w:r>
    </w:p>
    <w:p>
      <w:pPr>
        <w:pStyle w:val="ListNumber"/>
      </w:pPr>
      <w:r>
        <w:t>Use internal objects only as a Level C exception with upgrade checks, an owner and a remediation path.</w:t>
      </w:r>
    </w:p>
    <w:p>
      <w:pPr>
        <w:pStyle w:val="ListNumber"/>
      </w:pPr>
      <w:r>
        <w:t>Do not build new Level D solutions using modifications, implicit enhancements or unsupported direct writes to SAP tables.</w:t>
      </w:r>
    </w:p>
    <w:p>
      <w:pPr>
        <w:pStyle w:val="Heading2"/>
      </w:pPr>
      <w:r>
        <w:t>10.2 API, event, virtual table or replication</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Need</w:t>
            </w:r>
          </w:p>
        </w:tc>
        <w:tc>
          <w:tcPr>
            <w:tcW w:type="dxa" w:w="3374"/>
            <w:shd w:fill="E7E6E6"/>
            <w:vAlign w:val="center"/>
            <w:tcMar>
              <w:top w:w="90" w:type="dxa"/>
              <w:start w:w="100" w:type="dxa"/>
              <w:bottom w:w="90" w:type="dxa"/>
              <w:end w:w="100" w:type="dxa"/>
            </w:tcMar>
          </w:tcPr>
          <w:p>
            <w:r>
              <w:rPr>
                <w:b/>
                <w:color w:val="000000"/>
                <w:sz w:val="18"/>
              </w:rPr>
              <w:t>Best starting choice</w:t>
            </w:r>
          </w:p>
        </w:tc>
        <w:tc>
          <w:tcPr>
            <w:tcW w:type="dxa" w:w="3374"/>
            <w:shd w:fill="E7E6E6"/>
            <w:vAlign w:val="center"/>
            <w:tcMar>
              <w:top w:w="90" w:type="dxa"/>
              <w:start w:w="100" w:type="dxa"/>
              <w:bottom w:w="90" w:type="dxa"/>
              <w:end w:w="100" w:type="dxa"/>
            </w:tcMar>
          </w:tcPr>
          <w:p>
            <w:r>
              <w:rPr>
                <w:b/>
                <w:color w:val="000000"/>
                <w:sz w:val="18"/>
              </w:rPr>
              <w:t>Why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Immediate authoritative business result</w:t>
            </w:r>
          </w:p>
        </w:tc>
        <w:tc>
          <w:tcPr>
            <w:tcW w:type="dxa" w:w="3374"/>
            <w:vAlign w:val="center"/>
            <w:tcMar>
              <w:top w:w="90" w:type="dxa"/>
              <w:start w:w="100" w:type="dxa"/>
              <w:bottom w:w="90" w:type="dxa"/>
              <w:end w:w="100" w:type="dxa"/>
            </w:tcMar>
          </w:tcPr>
          <w:p>
            <w:pPr>
              <w:spacing w:after="40"/>
            </w:pPr>
            <w:r>
              <w:rPr>
                <w:rFonts w:ascii="Aptos" w:hAnsi="Aptos"/>
                <w:color w:val="000000"/>
                <w:sz w:val="18"/>
              </w:rPr>
              <w:t>Synchronous released API</w:t>
            </w:r>
          </w:p>
        </w:tc>
        <w:tc>
          <w:tcPr>
            <w:tcW w:type="dxa" w:w="3374"/>
            <w:vAlign w:val="center"/>
            <w:tcMar>
              <w:top w:w="90" w:type="dxa"/>
              <w:start w:w="100" w:type="dxa"/>
              <w:bottom w:w="90" w:type="dxa"/>
              <w:end w:w="100" w:type="dxa"/>
            </w:tcMar>
          </w:tcPr>
          <w:p>
            <w:pPr>
              <w:spacing w:after="40"/>
            </w:pPr>
            <w:r>
              <w:rPr>
                <w:rFonts w:ascii="Aptos" w:hAnsi="Aptos"/>
                <w:color w:val="000000"/>
                <w:sz w:val="18"/>
              </w:rPr>
              <w:t>The caller needs success/failure now and business semantics remain in the source.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Fan-out after a completed fact</w:t>
            </w:r>
          </w:p>
        </w:tc>
        <w:tc>
          <w:tcPr>
            <w:tcW w:type="dxa" w:w="3374"/>
            <w:vAlign w:val="center"/>
            <w:tcMar>
              <w:top w:w="90" w:type="dxa"/>
              <w:start w:w="100" w:type="dxa"/>
              <w:bottom w:w="90" w:type="dxa"/>
              <w:end w:w="100" w:type="dxa"/>
            </w:tcMar>
          </w:tcPr>
          <w:p>
            <w:pPr>
              <w:spacing w:after="40"/>
            </w:pPr>
            <w:r>
              <w:rPr>
                <w:rFonts w:ascii="Aptos" w:hAnsi="Aptos"/>
                <w:color w:val="000000"/>
                <w:sz w:val="18"/>
              </w:rPr>
              <w:t>Event</w:t>
            </w:r>
          </w:p>
        </w:tc>
        <w:tc>
          <w:tcPr>
            <w:tcW w:type="dxa" w:w="3374"/>
            <w:vAlign w:val="center"/>
            <w:tcMar>
              <w:top w:w="90" w:type="dxa"/>
              <w:start w:w="100" w:type="dxa"/>
              <w:bottom w:w="90" w:type="dxa"/>
              <w:end w:w="100" w:type="dxa"/>
            </w:tcMar>
          </w:tcPr>
          <w:p>
            <w:pPr>
              <w:spacing w:after="40"/>
            </w:pPr>
            <w:r>
              <w:rPr>
                <w:rFonts w:ascii="Aptos" w:hAnsi="Aptos"/>
                <w:color w:val="000000"/>
                <w:sz w:val="18"/>
              </w:rPr>
              <w:t>Consumers can react independently and eventual consistency is acceptable.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Small current read-only dataset</w:t>
            </w:r>
          </w:p>
        </w:tc>
        <w:tc>
          <w:tcPr>
            <w:tcW w:type="dxa" w:w="3374"/>
            <w:vAlign w:val="center"/>
            <w:tcMar>
              <w:top w:w="90" w:type="dxa"/>
              <w:start w:w="100" w:type="dxa"/>
              <w:bottom w:w="90" w:type="dxa"/>
              <w:end w:w="100" w:type="dxa"/>
            </w:tcMar>
          </w:tcPr>
          <w:p>
            <w:pPr>
              <w:spacing w:after="40"/>
            </w:pPr>
            <w:r>
              <w:rPr>
                <w:rFonts w:ascii="Aptos" w:hAnsi="Aptos"/>
                <w:color w:val="000000"/>
                <w:sz w:val="18"/>
              </w:rPr>
              <w:t>Released API, then approved virtual table if necessary</w:t>
            </w:r>
          </w:p>
        </w:tc>
        <w:tc>
          <w:tcPr>
            <w:tcW w:type="dxa" w:w="3374"/>
            <w:vAlign w:val="center"/>
            <w:tcMar>
              <w:top w:w="90" w:type="dxa"/>
              <w:start w:w="100" w:type="dxa"/>
              <w:bottom w:w="90" w:type="dxa"/>
              <w:end w:w="100" w:type="dxa"/>
            </w:tcMar>
          </w:tcPr>
          <w:p>
            <w:pPr>
              <w:spacing w:after="40"/>
            </w:pPr>
            <w:r>
              <w:rPr>
                <w:rFonts w:ascii="Aptos" w:hAnsi="Aptos"/>
                <w:color w:val="000000"/>
                <w:sz w:val="18"/>
              </w:rPr>
              <w:t>Federation avoids copying but creates runtime source dependency.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Large or repeatedly scanned dataset</w:t>
            </w:r>
          </w:p>
        </w:tc>
        <w:tc>
          <w:tcPr>
            <w:tcW w:type="dxa" w:w="3374"/>
            <w:vAlign w:val="center"/>
            <w:tcMar>
              <w:top w:w="90" w:type="dxa"/>
              <w:start w:w="100" w:type="dxa"/>
              <w:bottom w:w="90" w:type="dxa"/>
              <w:end w:w="100" w:type="dxa"/>
            </w:tcMar>
          </w:tcPr>
          <w:p>
            <w:pPr>
              <w:spacing w:after="40"/>
            </w:pPr>
            <w:r>
              <w:rPr>
                <w:rFonts w:ascii="Aptos" w:hAnsi="Aptos"/>
                <w:color w:val="000000"/>
                <w:sz w:val="18"/>
              </w:rPr>
              <w:t>Replication/governed data product</w:t>
            </w:r>
          </w:p>
        </w:tc>
        <w:tc>
          <w:tcPr>
            <w:tcW w:type="dxa" w:w="3374"/>
            <w:vAlign w:val="center"/>
            <w:tcMar>
              <w:top w:w="90" w:type="dxa"/>
              <w:start w:w="100" w:type="dxa"/>
              <w:bottom w:w="90" w:type="dxa"/>
              <w:end w:w="100" w:type="dxa"/>
            </w:tcMar>
          </w:tcPr>
          <w:p>
            <w:pPr>
              <w:spacing w:after="40"/>
            </w:pPr>
            <w:r>
              <w:rPr>
                <w:rFonts w:ascii="Aptos" w:hAnsi="Aptos"/>
                <w:color w:val="000000"/>
                <w:sz w:val="18"/>
              </w:rPr>
              <w:t>Local data gives predictable performance and source independence.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Write to S/4HANA</w:t>
            </w:r>
          </w:p>
        </w:tc>
        <w:tc>
          <w:tcPr>
            <w:tcW w:type="dxa" w:w="3374"/>
            <w:vAlign w:val="center"/>
            <w:tcMar>
              <w:top w:w="90" w:type="dxa"/>
              <w:start w:w="100" w:type="dxa"/>
              <w:bottom w:w="90" w:type="dxa"/>
              <w:end w:w="100" w:type="dxa"/>
            </w:tcMar>
          </w:tcPr>
          <w:p>
            <w:pPr>
              <w:spacing w:after="40"/>
            </w:pPr>
            <w:r>
              <w:rPr>
                <w:rFonts w:ascii="Aptos" w:hAnsi="Aptos"/>
                <w:color w:val="000000"/>
                <w:sz w:val="18"/>
              </w:rPr>
              <w:t>Released transactional API/RAP/BAPI as approved</w:t>
            </w:r>
          </w:p>
        </w:tc>
        <w:tc>
          <w:tcPr>
            <w:tcW w:type="dxa" w:w="3374"/>
            <w:vAlign w:val="center"/>
            <w:tcMar>
              <w:top w:w="90" w:type="dxa"/>
              <w:start w:w="100" w:type="dxa"/>
              <w:bottom w:w="90" w:type="dxa"/>
              <w:end w:w="100" w:type="dxa"/>
            </w:tcMar>
          </w:tcPr>
          <w:p>
            <w:pPr>
              <w:spacing w:after="40"/>
            </w:pPr>
            <w:r>
              <w:rPr>
                <w:rFonts w:ascii="Aptos" w:hAnsi="Aptos"/>
                <w:color w:val="000000"/>
                <w:sz w:val="18"/>
              </w:rPr>
              <w:t>A virtual table must not bypass application logic.</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Object in another local HDI container</w:t>
            </w:r>
          </w:p>
        </w:tc>
        <w:tc>
          <w:tcPr>
            <w:tcW w:type="dxa" w:w="3374"/>
            <w:vAlign w:val="center"/>
            <w:tcMar>
              <w:top w:w="90" w:type="dxa"/>
              <w:start w:w="100" w:type="dxa"/>
              <w:bottom w:w="90" w:type="dxa"/>
              <w:end w:w="100" w:type="dxa"/>
            </w:tcMar>
          </w:tcPr>
          <w:p>
            <w:pPr>
              <w:spacing w:after="40"/>
            </w:pPr>
            <w:r>
              <w:rPr>
                <w:rFonts w:ascii="Aptos" w:hAnsi="Aptos"/>
                <w:color w:val="000000"/>
                <w:sz w:val="18"/>
              </w:rPr>
              <w:t>Synonym plus grants</w:t>
            </w:r>
          </w:p>
        </w:tc>
        <w:tc>
          <w:tcPr>
            <w:tcW w:type="dxa" w:w="3374"/>
            <w:vAlign w:val="center"/>
            <w:tcMar>
              <w:top w:w="90" w:type="dxa"/>
              <w:start w:w="100" w:type="dxa"/>
              <w:bottom w:w="90" w:type="dxa"/>
              <w:end w:w="100" w:type="dxa"/>
            </w:tcMar>
          </w:tcPr>
          <w:p>
            <w:pPr>
              <w:spacing w:after="40"/>
            </w:pPr>
            <w:r>
              <w:rPr>
                <w:rFonts w:ascii="Aptos" w:hAnsi="Aptos"/>
                <w:color w:val="000000"/>
                <w:sz w:val="18"/>
              </w:rPr>
              <w:t>The object is local to the HANA landscape, not a remote federation case.</w:t>
            </w:r>
          </w:p>
        </w:tc>
      </w:tr>
    </w:tbl>
    <w:p>
      <w:pPr>
        <w:pStyle w:val="Heading2"/>
      </w:pPr>
      <w:r>
        <w:t>10.3 Virtual table architecture</w:t>
      </w:r>
    </w:p>
    <w:p>
      <w:pPr>
        <w:pStyle w:val="Code"/>
      </w:pPr>
      <w:r>
        <w:t>Approved source view</w:t>
      </w:r>
    </w:p>
    <w:p>
      <w:pPr>
        <w:pStyle w:val="Code"/>
      </w:pPr>
      <w:r>
        <w:t xml:space="preserve">  -&gt; SAP HANA Cloud remote source</w:t>
      </w:r>
    </w:p>
    <w:p>
      <w:pPr>
        <w:pStyle w:val="Code"/>
      </w:pPr>
      <w:r>
        <w:t xml:space="preserve">  -&gt; .hdbvirtualtable</w:t>
      </w:r>
    </w:p>
    <w:p>
      <w:pPr>
        <w:pStyle w:val="Code"/>
      </w:pPr>
      <w:r>
        <w:t xml:space="preserve">  -&gt; .hdbview mapping/restriction layer</w:t>
      </w:r>
    </w:p>
    <w:p>
      <w:pPr>
        <w:pStyle w:val="Code"/>
      </w:pPr>
      <w:r>
        <w:t xml:space="preserve">  -&gt; @cds.persistence.exists + @readonly facade</w:t>
      </w:r>
    </w:p>
    <w:p>
      <w:pPr>
        <w:pStyle w:val="Code"/>
      </w:pPr>
      <w:r>
        <w:t xml:space="preserve">  -&gt; authorised service projection with query limit</w:t>
      </w:r>
    </w:p>
    <w:p>
      <w:pPr>
        <w:pStyle w:val="Code"/>
      </w:pPr>
      <w:r>
        <w:t xml:space="preserve">  -&gt; Fiori elements / SAPUI5</w:t>
      </w:r>
    </w:p>
    <w:p>
      <w:r>
        <w:t>A virtual table stores metadata locally and accesses the remote data at query time. That means source latency and outages become application behaviour. Before approval, prove selective filter pushdown, deterministic paging, acceptable source load and safe handling of schema drift. Do not expose a raw virtual table or standard S/4HANA table as OData.</w:t>
      </w:r>
    </w:p>
    <w:p>
      <w:pPr>
        <w:pStyle w:val="Code"/>
      </w:pPr>
      <w:r>
        <w:t>VIRTUAL TABLE "VT_REMOTE_REFERENCE"</w:t>
      </w:r>
    </w:p>
    <w:p>
      <w:pPr>
        <w:pStyle w:val="Code"/>
      </w:pPr>
      <w:r>
        <w:t>AT "REMOTE_SOURCE"."REMOTE_DB"."REMOTE_SCHEMA"."APPROVED_REFERENCE_VIEW"</w:t>
      </w:r>
    </w:p>
    <w:p>
      <w:pPr>
        <w:pStyle w:val="Code"/>
      </w:pPr>
      <w:r>
        <w:t>namespace sample.remote;</w:t>
      </w:r>
    </w:p>
    <w:p>
      <w:pPr>
        <w:pStyle w:val="Code"/>
      </w:pPr>
    </w:p>
    <w:p>
      <w:pPr>
        <w:pStyle w:val="Code"/>
      </w:pPr>
      <w:r>
        <w:t>@cds.persistence.exists</w:t>
      </w:r>
    </w:p>
    <w:p>
      <w:pPr>
        <w:pStyle w:val="Code"/>
      </w:pPr>
      <w:r>
        <w:t>@readonly</w:t>
      </w:r>
    </w:p>
    <w:p>
      <w:pPr>
        <w:pStyle w:val="Code"/>
      </w:pPr>
      <w:r>
        <w:t>entity V_REMOTE_REFERENCE {</w:t>
      </w:r>
    </w:p>
    <w:p>
      <w:pPr>
        <w:pStyle w:val="Code"/>
      </w:pPr>
      <w:r>
        <w:t xml:space="preserve">  key BusinessKey : String(40);</w:t>
      </w:r>
    </w:p>
    <w:p>
      <w:pPr>
        <w:pStyle w:val="Code"/>
      </w:pPr>
      <w:r>
        <w:t xml:space="preserve">      Description : String(120);</w:t>
      </w:r>
    </w:p>
    <w:p>
      <w:pPr>
        <w:pStyle w:val="Code"/>
      </w:pPr>
      <w:r>
        <w:t xml:space="preserve">      ChangedAt   : Timestamp;</w:t>
      </w:r>
    </w:p>
    <w:p>
      <w:pPr>
        <w:pStyle w:val="Code"/>
      </w:pPr>
      <w:r>
        <w:t>}</w:t>
      </w:r>
    </w:p>
    <w:p>
      <w:pPr>
        <w:pStyle w:val="Code"/>
      </w:pPr>
      <w:r>
        <w:t>using { sample.remote as remote } from '../db/remote-facade';</w:t>
      </w:r>
    </w:p>
    <w:p>
      <w:pPr>
        <w:pStyle w:val="Code"/>
      </w:pPr>
    </w:p>
    <w:p>
      <w:pPr>
        <w:pStyle w:val="Code"/>
      </w:pPr>
      <w:r>
        <w:t>service ReferenceService @(requires: 'authenticated-user') {</w:t>
      </w:r>
    </w:p>
    <w:p>
      <w:pPr>
        <w:pStyle w:val="Code"/>
      </w:pPr>
      <w:r>
        <w:t xml:space="preserve">  @readonly</w:t>
      </w:r>
    </w:p>
    <w:p>
      <w:pPr>
        <w:pStyle w:val="Code"/>
      </w:pPr>
      <w:r>
        <w:t xml:space="preserve">  @cds.query.limit: { default: 100, max: 500 }</w:t>
      </w:r>
    </w:p>
    <w:p>
      <w:pPr>
        <w:pStyle w:val="Code"/>
      </w:pPr>
      <w:r>
        <w:t xml:space="preserve">  @restrict: [{ grant: 'READ', to: 'ReferenceViewer' }]</w:t>
      </w:r>
    </w:p>
    <w:p>
      <w:pPr>
        <w:pStyle w:val="Code"/>
      </w:pPr>
      <w:r>
        <w:t xml:space="preserve">  entity References as projection on remote.V_REMOTE_REFERENCE;</w:t>
      </w:r>
    </w:p>
    <w:p>
      <w:pPr>
        <w:pStyle w:val="Code"/>
      </w:pPr>
      <w:r>
        <w:t>}</w:t>
      </w:r>
    </w:p>
    <w:p>
      <w:pPr>
        <w:pStyle w:val="Heading2"/>
      </w:pPr>
      <w:r>
        <w:t>10.4 Remote calls and events</w:t>
      </w:r>
    </w:p>
    <w:p>
      <w:pPr>
        <w:pStyle w:val="ListBullet"/>
      </w:pPr>
      <w:r>
        <w:t>Set connect/read timeouts and response-size limits.</w:t>
      </w:r>
    </w:p>
    <w:p>
      <w:pPr>
        <w:pStyle w:val="ListBullet"/>
      </w:pPr>
      <w:r>
        <w:t>Retry only transient, safe or idempotent operations with bounded exponential backoff and jitter.</w:t>
      </w:r>
    </w:p>
    <w:p>
      <w:pPr>
        <w:pStyle w:val="ListBullet"/>
      </w:pPr>
      <w:r>
        <w:t>Do not keep a database transaction open while waiting for a slow remote system unless the consistency design explicitly requires it.</w:t>
      </w:r>
    </w:p>
    <w:p>
      <w:pPr>
        <w:pStyle w:val="ListBullet"/>
      </w:pPr>
      <w:r>
        <w:t>For events, include event ID, source, time, tenant/subject and schema version. Assume duplicates and possible reordering.</w:t>
      </w:r>
    </w:p>
    <w:p>
      <w:pPr>
        <w:pStyle w:val="ListBullet"/>
      </w:pPr>
      <w:r>
        <w:t>Use a transactional outbox or equivalent if the database change and event intent must be atomic.</w:t>
      </w:r>
    </w:p>
    <w:p>
      <w:pPr>
        <w:pStyle w:val="Heading1"/>
      </w:pPr>
      <w:r>
        <w:t>11. Phase 6: Verify Quality, Security and Performance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Testing is not only proof that the happy path works. It is evidence that the chosen architecture behaves correctly under denied access, realistic volume, concurrency, dependency failure and deployment change.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Mandatory tests and scans pass, agreed NFRs are measured, known risks have owners and the release candidate can be deployed and rolled back.</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Build the test pyramid while features are developed. Run specialised HANA, browser, authorisation and resilience tests in environments that resemble production.</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Test reports, traces, scan results, defect decisions and release recommendation.</w:t>
            </w:r>
          </w:p>
        </w:tc>
      </w:tr>
    </w:tbl>
    <w:p>
      <w:pPr>
        <w:pStyle w:val="Heading2"/>
      </w:pPr>
      <w:r>
        <w:t>11.1 Test each responsibility at the right level</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Test layer</w:t>
            </w:r>
          </w:p>
        </w:tc>
        <w:tc>
          <w:tcPr>
            <w:tcW w:type="dxa" w:w="3374"/>
            <w:shd w:fill="E7E6E6"/>
            <w:vAlign w:val="center"/>
            <w:tcMar>
              <w:top w:w="90" w:type="dxa"/>
              <w:start w:w="100" w:type="dxa"/>
              <w:bottom w:w="90" w:type="dxa"/>
              <w:end w:w="100" w:type="dxa"/>
            </w:tcMar>
          </w:tcPr>
          <w:p>
            <w:r>
              <w:rPr>
                <w:b/>
                <w:color w:val="000000"/>
                <w:sz w:val="18"/>
              </w:rPr>
              <w:t>What it proves</w:t>
            </w:r>
          </w:p>
        </w:tc>
        <w:tc>
          <w:tcPr>
            <w:tcW w:type="dxa" w:w="3374"/>
            <w:shd w:fill="E7E6E6"/>
            <w:vAlign w:val="center"/>
            <w:tcMar>
              <w:top w:w="90" w:type="dxa"/>
              <w:start w:w="100" w:type="dxa"/>
              <w:bottom w:w="90" w:type="dxa"/>
              <w:end w:w="100" w:type="dxa"/>
            </w:tcMar>
          </w:tcPr>
          <w:p>
            <w:r>
              <w:rPr>
                <w:b/>
                <w:color w:val="000000"/>
                <w:sz w:val="18"/>
              </w:rPr>
              <w:t>Typical tools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Unit</w:t>
            </w:r>
          </w:p>
        </w:tc>
        <w:tc>
          <w:tcPr>
            <w:tcW w:type="dxa" w:w="3374"/>
            <w:vAlign w:val="center"/>
            <w:tcMar>
              <w:top w:w="90" w:type="dxa"/>
              <w:start w:w="100" w:type="dxa"/>
              <w:bottom w:w="90" w:type="dxa"/>
              <w:end w:w="100" w:type="dxa"/>
            </w:tcMar>
          </w:tcPr>
          <w:p>
            <w:pPr>
              <w:spacing w:after="40"/>
            </w:pPr>
            <w:r>
              <w:rPr>
                <w:rFonts w:ascii="Aptos" w:hAnsi="Aptos"/>
                <w:color w:val="000000"/>
                <w:sz w:val="18"/>
              </w:rPr>
              <w:t>Pure business decisions and mappings.</w:t>
            </w:r>
          </w:p>
        </w:tc>
        <w:tc>
          <w:tcPr>
            <w:tcW w:type="dxa" w:w="3374"/>
            <w:vAlign w:val="center"/>
            <w:tcMar>
              <w:top w:w="90" w:type="dxa"/>
              <w:start w:w="100" w:type="dxa"/>
              <w:bottom w:w="90" w:type="dxa"/>
              <w:end w:w="100" w:type="dxa"/>
            </w:tcMar>
          </w:tcPr>
          <w:p>
            <w:pPr>
              <w:spacing w:after="40"/>
            </w:pPr>
            <w:r>
              <w:rPr>
                <w:rFonts w:ascii="Aptos" w:hAnsi="Aptos"/>
                <w:color w:val="000000"/>
                <w:sz w:val="18"/>
              </w:rPr>
              <w:t>ABAP Unit; Node test runner/Jest/Mocha.</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RAP BO/service integration</w:t>
            </w:r>
          </w:p>
        </w:tc>
        <w:tc>
          <w:tcPr>
            <w:tcW w:type="dxa" w:w="3374"/>
            <w:vAlign w:val="center"/>
            <w:tcMar>
              <w:top w:w="90" w:type="dxa"/>
              <w:start w:w="100" w:type="dxa"/>
              <w:bottom w:w="90" w:type="dxa"/>
              <w:end w:w="100" w:type="dxa"/>
            </w:tcMar>
          </w:tcPr>
          <w:p>
            <w:pPr>
              <w:spacing w:after="40"/>
            </w:pPr>
            <w:r>
              <w:rPr>
                <w:rFonts w:ascii="Aptos" w:hAnsi="Aptos"/>
                <w:color w:val="000000"/>
                <w:sz w:val="18"/>
              </w:rPr>
              <w:t>CRUD, actions, messages, concurrency and authorisation.</w:t>
            </w:r>
          </w:p>
        </w:tc>
        <w:tc>
          <w:tcPr>
            <w:tcW w:type="dxa" w:w="3374"/>
            <w:vAlign w:val="center"/>
            <w:tcMar>
              <w:top w:w="90" w:type="dxa"/>
              <w:start w:w="100" w:type="dxa"/>
              <w:bottom w:w="90" w:type="dxa"/>
              <w:end w:w="100" w:type="dxa"/>
            </w:tcMar>
          </w:tcPr>
          <w:p>
            <w:pPr>
              <w:spacing w:after="40"/>
            </w:pPr>
            <w:r>
              <w:rPr>
                <w:rFonts w:ascii="Aptos" w:hAnsi="Aptos"/>
                <w:color w:val="000000"/>
                <w:sz w:val="18"/>
              </w:rPr>
              <w:t>EML tests, service tests.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CAP service integration</w:t>
            </w:r>
          </w:p>
        </w:tc>
        <w:tc>
          <w:tcPr>
            <w:tcW w:type="dxa" w:w="3374"/>
            <w:vAlign w:val="center"/>
            <w:tcMar>
              <w:top w:w="90" w:type="dxa"/>
              <w:start w:w="100" w:type="dxa"/>
              <w:bottom w:w="90" w:type="dxa"/>
              <w:end w:w="100" w:type="dxa"/>
            </w:tcMar>
          </w:tcPr>
          <w:p>
            <w:pPr>
              <w:spacing w:after="40"/>
            </w:pPr>
            <w:r>
              <w:rPr>
                <w:rFonts w:ascii="Aptos" w:hAnsi="Aptos"/>
                <w:color w:val="000000"/>
                <w:sz w:val="18"/>
              </w:rPr>
              <w:t>Transactions, actions, paging, errors and auth.</w:t>
            </w:r>
          </w:p>
        </w:tc>
        <w:tc>
          <w:tcPr>
            <w:tcW w:type="dxa" w:w="3374"/>
            <w:vAlign w:val="center"/>
            <w:tcMar>
              <w:top w:w="90" w:type="dxa"/>
              <w:start w:w="100" w:type="dxa"/>
              <w:bottom w:w="90" w:type="dxa"/>
              <w:end w:w="100" w:type="dxa"/>
            </w:tcMar>
          </w:tcPr>
          <w:p>
            <w:pPr>
              <w:spacing w:after="40"/>
            </w:pPr>
            <w:r>
              <w:rPr>
                <w:rFonts w:ascii="Aptos" w:hAnsi="Aptos"/>
                <w:color w:val="000000"/>
                <w:sz w:val="18"/>
              </w:rPr>
              <w:t>cds.test and HTTP/OData tests.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Contract</w:t>
            </w:r>
          </w:p>
        </w:tc>
        <w:tc>
          <w:tcPr>
            <w:tcW w:type="dxa" w:w="3374"/>
            <w:vAlign w:val="center"/>
            <w:tcMar>
              <w:top w:w="90" w:type="dxa"/>
              <w:start w:w="100" w:type="dxa"/>
              <w:bottom w:w="90" w:type="dxa"/>
              <w:end w:w="100" w:type="dxa"/>
            </w:tcMar>
          </w:tcPr>
          <w:p>
            <w:pPr>
              <w:spacing w:after="40"/>
            </w:pPr>
            <w:r>
              <w:rPr>
                <w:rFonts w:ascii="Aptos" w:hAnsi="Aptos"/>
                <w:color w:val="000000"/>
                <w:sz w:val="18"/>
              </w:rPr>
              <w:t>Metadata and backward compatibility.</w:t>
            </w:r>
          </w:p>
        </w:tc>
        <w:tc>
          <w:tcPr>
            <w:tcW w:type="dxa" w:w="3374"/>
            <w:vAlign w:val="center"/>
            <w:tcMar>
              <w:top w:w="90" w:type="dxa"/>
              <w:start w:w="100" w:type="dxa"/>
              <w:bottom w:w="90" w:type="dxa"/>
              <w:end w:w="100" w:type="dxa"/>
            </w:tcMar>
          </w:tcPr>
          <w:p>
            <w:pPr>
              <w:spacing w:after="40"/>
            </w:pPr>
            <w:r>
              <w:rPr>
                <w:rFonts w:ascii="Aptos" w:hAnsi="Aptos"/>
                <w:color w:val="000000"/>
                <w:sz w:val="18"/>
              </w:rPr>
              <w:t>Snapshot/contract comparison and consumer tests.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UI journey</w:t>
            </w:r>
          </w:p>
        </w:tc>
        <w:tc>
          <w:tcPr>
            <w:tcW w:type="dxa" w:w="3374"/>
            <w:vAlign w:val="center"/>
            <w:tcMar>
              <w:top w:w="90" w:type="dxa"/>
              <w:start w:w="100" w:type="dxa"/>
              <w:bottom w:w="90" w:type="dxa"/>
              <w:end w:w="100" w:type="dxa"/>
            </w:tcMar>
          </w:tcPr>
          <w:p>
            <w:pPr>
              <w:spacing w:after="40"/>
            </w:pPr>
            <w:r>
              <w:rPr>
                <w:rFonts w:ascii="Aptos" w:hAnsi="Aptos"/>
                <w:color w:val="000000"/>
                <w:sz w:val="18"/>
              </w:rPr>
              <w:t>Critical user tasks and messages.</w:t>
            </w:r>
          </w:p>
        </w:tc>
        <w:tc>
          <w:tcPr>
            <w:tcW w:type="dxa" w:w="3374"/>
            <w:vAlign w:val="center"/>
            <w:tcMar>
              <w:top w:w="90" w:type="dxa"/>
              <w:start w:w="100" w:type="dxa"/>
              <w:bottom w:w="90" w:type="dxa"/>
              <w:end w:w="100" w:type="dxa"/>
            </w:tcMar>
          </w:tcPr>
          <w:p>
            <w:pPr>
              <w:spacing w:after="40"/>
            </w:pPr>
            <w:r>
              <w:rPr>
                <w:rFonts w:ascii="Aptos" w:hAnsi="Aptos"/>
                <w:color w:val="000000"/>
                <w:sz w:val="18"/>
              </w:rPr>
              <w:t>OPA5, wdi5 or Playwright.</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Accessibility</w:t>
            </w:r>
          </w:p>
        </w:tc>
        <w:tc>
          <w:tcPr>
            <w:tcW w:type="dxa" w:w="3374"/>
            <w:vAlign w:val="center"/>
            <w:tcMar>
              <w:top w:w="90" w:type="dxa"/>
              <w:start w:w="100" w:type="dxa"/>
              <w:bottom w:w="90" w:type="dxa"/>
              <w:end w:w="100" w:type="dxa"/>
            </w:tcMar>
          </w:tcPr>
          <w:p>
            <w:pPr>
              <w:spacing w:after="40"/>
            </w:pPr>
            <w:r>
              <w:rPr>
                <w:rFonts w:ascii="Aptos" w:hAnsi="Aptos"/>
                <w:color w:val="000000"/>
                <w:sz w:val="18"/>
              </w:rPr>
              <w:t>Keyboard, labels, focus and screen-reader behaviour.</w:t>
            </w:r>
          </w:p>
        </w:tc>
        <w:tc>
          <w:tcPr>
            <w:tcW w:type="dxa" w:w="3374"/>
            <w:vAlign w:val="center"/>
            <w:tcMar>
              <w:top w:w="90" w:type="dxa"/>
              <w:start w:w="100" w:type="dxa"/>
              <w:bottom w:w="90" w:type="dxa"/>
              <w:end w:w="100" w:type="dxa"/>
            </w:tcMar>
          </w:tcPr>
          <w:p>
            <w:pPr>
              <w:spacing w:after="40"/>
            </w:pPr>
            <w:r>
              <w:rPr>
                <w:rFonts w:ascii="Aptos" w:hAnsi="Aptos"/>
                <w:color w:val="000000"/>
                <w:sz w:val="18"/>
              </w:rPr>
              <w:t>Automated scanner plus manual checks.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HANA/native artefact</w:t>
            </w:r>
          </w:p>
        </w:tc>
        <w:tc>
          <w:tcPr>
            <w:tcW w:type="dxa" w:w="3374"/>
            <w:vAlign w:val="center"/>
            <w:tcMar>
              <w:top w:w="90" w:type="dxa"/>
              <w:start w:w="100" w:type="dxa"/>
              <w:bottom w:w="90" w:type="dxa"/>
              <w:end w:w="100" w:type="dxa"/>
            </w:tcMar>
          </w:tcPr>
          <w:p>
            <w:pPr>
              <w:spacing w:after="40"/>
            </w:pPr>
            <w:r>
              <w:rPr>
                <w:rFonts w:ascii="Aptos" w:hAnsi="Aptos"/>
                <w:color w:val="000000"/>
                <w:sz w:val="18"/>
              </w:rPr>
              <w:t>HDI grants, synonyms/virtual tables and pushdown.</w:t>
            </w:r>
          </w:p>
        </w:tc>
        <w:tc>
          <w:tcPr>
            <w:tcW w:type="dxa" w:w="3374"/>
            <w:vAlign w:val="center"/>
            <w:tcMar>
              <w:top w:w="90" w:type="dxa"/>
              <w:start w:w="100" w:type="dxa"/>
              <w:bottom w:w="90" w:type="dxa"/>
              <w:end w:w="100" w:type="dxa"/>
            </w:tcMar>
          </w:tcPr>
          <w:p>
            <w:pPr>
              <w:spacing w:after="40"/>
            </w:pPr>
            <w:r>
              <w:rPr>
                <w:rFonts w:ascii="Aptos" w:hAnsi="Aptos"/>
                <w:color w:val="000000"/>
                <w:sz w:val="18"/>
              </w:rPr>
              <w:t>HANA Cloud integration environment and SQL plan tools.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Performance</w:t>
            </w:r>
          </w:p>
        </w:tc>
        <w:tc>
          <w:tcPr>
            <w:tcW w:type="dxa" w:w="3374"/>
            <w:vAlign w:val="center"/>
            <w:tcMar>
              <w:top w:w="90" w:type="dxa"/>
              <w:start w:w="100" w:type="dxa"/>
              <w:bottom w:w="90" w:type="dxa"/>
              <w:end w:w="100" w:type="dxa"/>
            </w:tcMar>
          </w:tcPr>
          <w:p>
            <w:pPr>
              <w:spacing w:after="40"/>
            </w:pPr>
            <w:r>
              <w:rPr>
                <w:rFonts w:ascii="Aptos" w:hAnsi="Aptos"/>
                <w:color w:val="000000"/>
                <w:sz w:val="18"/>
              </w:rPr>
              <w:t>Latency, throughput, resource use and source load.</w:t>
            </w:r>
          </w:p>
        </w:tc>
        <w:tc>
          <w:tcPr>
            <w:tcW w:type="dxa" w:w="3374"/>
            <w:vAlign w:val="center"/>
            <w:tcMar>
              <w:top w:w="90" w:type="dxa"/>
              <w:start w:w="100" w:type="dxa"/>
              <w:bottom w:w="90" w:type="dxa"/>
              <w:end w:w="100" w:type="dxa"/>
            </w:tcMar>
          </w:tcPr>
          <w:p>
            <w:pPr>
              <w:spacing w:after="40"/>
            </w:pPr>
            <w:r>
              <w:rPr>
                <w:rFonts w:ascii="Aptos" w:hAnsi="Aptos"/>
                <w:color w:val="000000"/>
                <w:sz w:val="18"/>
              </w:rPr>
              <w:t>Browser tools, STATS_FE, ST05/SAT, HANA expensive statements, load testing.</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Resilience</w:t>
            </w:r>
          </w:p>
        </w:tc>
        <w:tc>
          <w:tcPr>
            <w:tcW w:type="dxa" w:w="3374"/>
            <w:vAlign w:val="center"/>
            <w:tcMar>
              <w:top w:w="90" w:type="dxa"/>
              <w:start w:w="100" w:type="dxa"/>
              <w:bottom w:w="90" w:type="dxa"/>
              <w:end w:w="100" w:type="dxa"/>
            </w:tcMar>
          </w:tcPr>
          <w:p>
            <w:pPr>
              <w:spacing w:after="40"/>
            </w:pPr>
            <w:r>
              <w:rPr>
                <w:rFonts w:ascii="Aptos" w:hAnsi="Aptos"/>
                <w:color w:val="000000"/>
                <w:sz w:val="18"/>
              </w:rPr>
              <w:t>Timeout, retry, outage, duplicate event and recovery.</w:t>
            </w:r>
          </w:p>
        </w:tc>
        <w:tc>
          <w:tcPr>
            <w:tcW w:type="dxa" w:w="3374"/>
            <w:vAlign w:val="center"/>
            <w:tcMar>
              <w:top w:w="90" w:type="dxa"/>
              <w:start w:w="100" w:type="dxa"/>
              <w:bottom w:w="90" w:type="dxa"/>
              <w:end w:w="100" w:type="dxa"/>
            </w:tcMar>
          </w:tcPr>
          <w:p>
            <w:pPr>
              <w:spacing w:after="40"/>
            </w:pPr>
            <w:r>
              <w:rPr>
                <w:rFonts w:ascii="Aptos" w:hAnsi="Aptos"/>
                <w:color w:val="000000"/>
                <w:sz w:val="18"/>
              </w:rPr>
              <w:t>Fault injection and controlled dependency failure.</w:t>
            </w:r>
          </w:p>
        </w:tc>
      </w:tr>
    </w:tbl>
    <w:p>
      <w:pPr>
        <w:pStyle w:val="Heading2"/>
      </w:pPr>
      <w:r>
        <w:t>11.2 Security verification</w:t>
      </w:r>
    </w:p>
    <w:p>
      <w:r>
        <w:t>For each role, test what is allowed and what is denied. Include instance-level restrictions, organisational boundaries and cross-tenant cases. Scan for secrets, vulnerable dependencies and unsafe code. Confirm that logs and error responses do not disclose credentials, sensitive payloads or internal topology.</w:t>
      </w:r>
    </w:p>
    <w:p>
      <w:pPr>
        <w:pStyle w:val="Heading2"/>
      </w:pPr>
      <w:r>
        <w:t>11.3 Performance method</w:t>
      </w:r>
    </w:p>
    <w:p>
      <w:pPr>
        <w:pStyle w:val="ListNumber"/>
      </w:pPr>
      <w:r>
        <w:t>Define the journey, data volume, user role, network condition and cache state.</w:t>
      </w:r>
    </w:p>
    <w:p>
      <w:pPr>
        <w:pStyle w:val="ListNumber"/>
      </w:pPr>
      <w:r>
        <w:t>Measure the browser or caller first to identify request count, payload and perceived latency.</w:t>
      </w:r>
    </w:p>
    <w:p>
      <w:pPr>
        <w:pStyle w:val="ListNumber"/>
      </w:pPr>
      <w:r>
        <w:t>Correlate to the service and database using a correlation ID, STATS_FE, CAP logs, ST05/SAT or HANA analysis as appropriate.</w:t>
      </w:r>
    </w:p>
    <w:p>
      <w:pPr>
        <w:pStyle w:val="ListNumber"/>
      </w:pPr>
      <w:r>
        <w:t>Change one dominant cause, repeat the same test and retain before/after evidence.</w:t>
      </w:r>
    </w:p>
    <w:p>
      <w:r>
        <w:t>Use starting targets as engineering triggers, not universal promises: 50–100 rows per interactive page, investigation of browser tasks above 50 ms, list pages normally below 2 seconds under agreed conditions, and explicit remediation when a save/action exceeds 5 seconds unless designed as asynchronous work.</w:t>
      </w:r>
    </w:p>
    <w:p>
      <w:pPr>
        <w:pStyle w:val="Heading1"/>
      </w:pPr>
      <w:r>
        <w:t>12. Phase 7: Release and Deploy Safely</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A successful build is not the same as a successful release. Release includes schema change, target environment, service bindings, health, smoke tests, observability and rollback.</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The same immutable artefact tested in pre-production is promoted, migration succeeds, smoke tests pass and rollback has been rehearsed or made credible.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Use controlled transports for RAP and an automated pipeline for CAP/UI. Verify the deployment trigger, target, services, versions and support access.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Release record, artefact versions, migration evidence, smoke result, monitoring links and rollback decision.</w:t>
            </w:r>
          </w:p>
        </w:tc>
      </w:tr>
    </w:tbl>
    <w:p>
      <w:pPr>
        <w:pStyle w:val="Heading2"/>
      </w:pPr>
      <w:r>
        <w:t>12.1 RAP release</w:t>
      </w:r>
    </w:p>
    <w:p>
      <w:pPr>
        <w:pStyle w:val="ListBullet"/>
      </w:pPr>
      <w:r>
        <w:t>Use controlled transport or gCTS and preserve dependency order across CDS, behaviour, service and UI artefacts.</w:t>
      </w:r>
    </w:p>
    <w:p>
      <w:pPr>
        <w:pStyle w:val="ListBullet"/>
      </w:pPr>
      <w:r>
        <w:t>Run central ATC and activation checks before import.</w:t>
      </w:r>
    </w:p>
    <w:p>
      <w:pPr>
        <w:pStyle w:val="ListBullet"/>
      </w:pPr>
      <w:r>
        <w:t>Provide conversion and rollback steps for persistence changes.</w:t>
      </w:r>
    </w:p>
    <w:p>
      <w:pPr>
        <w:pStyle w:val="Heading2"/>
      </w:pPr>
      <w:r>
        <w:t>12.2 CAP and UI release</w:t>
      </w:r>
    </w:p>
    <w:p>
      <w:pPr>
        <w:pStyle w:val="ListBullet"/>
      </w:pPr>
      <w:r>
        <w:t>Build and promote an immutable MTA or approved container artefact.</w:t>
      </w:r>
    </w:p>
    <w:p>
      <w:pPr>
        <w:pStyle w:val="ListBullet"/>
      </w:pPr>
      <w:r>
        <w:t>Use SAP HANA Cloud schema evolution with backward-compatible expand/deploy/migrate/contract changes.</w:t>
      </w:r>
    </w:p>
    <w:p>
      <w:pPr>
        <w:pStyle w:val="ListBullet"/>
      </w:pPr>
      <w:r>
        <w:t>Deploy the optimised UI5 `dist` output, not the project source tree.</w:t>
      </w:r>
    </w:p>
    <w:p>
      <w:pPr>
        <w:pStyle w:val="ListBullet"/>
      </w:pPr>
      <w:r>
        <w:t>Keep Cloud Foundry services stateless; use multiple instances where continuity requires it.</w:t>
      </w:r>
    </w:p>
    <w:p>
      <w:pPr>
        <w:pStyle w:val="ListBullet"/>
      </w:pPr>
      <w:r>
        <w:t>Provide readiness/liveness behaviour and graceful shutdown.</w:t>
      </w:r>
    </w:p>
    <w:p>
      <w:pPr>
        <w:pStyle w:val="Heading2"/>
      </w:pPr>
      <w:r>
        <w:t>12.3 Release-day verification</w:t>
      </w:r>
    </w:p>
    <w:p>
      <w:pPr>
        <w:pStyle w:val="ListNumber"/>
      </w:pPr>
      <w:r>
        <w:t>Confirm the main-branch merge actually triggered the expected pipeline.</w:t>
      </w:r>
    </w:p>
    <w:p>
      <w:pPr>
        <w:pStyle w:val="ListNumber"/>
      </w:pPr>
      <w:r>
        <w:t>Confirm the target subaccount, Cloud Foundry org/space or S/4HANA system.</w:t>
      </w:r>
    </w:p>
    <w:p>
      <w:pPr>
        <w:pStyle w:val="ListNumber"/>
      </w:pPr>
      <w:r>
        <w:t>Confirm service bindings, destinations, roles and certificates are valid.</w:t>
      </w:r>
    </w:p>
    <w:p>
      <w:pPr>
        <w:pStyle w:val="ListNumber"/>
      </w:pPr>
      <w:r>
        <w:t>Run database/tenant upgrade steps and smoke tests.</w:t>
      </w:r>
    </w:p>
    <w:p>
      <w:pPr>
        <w:pStyle w:val="ListNumber"/>
      </w:pPr>
      <w:r>
        <w:t>Confirm logs, metrics, alerts and support access.</w:t>
      </w:r>
    </w:p>
    <w:p>
      <w:pPr>
        <w:pStyle w:val="ListNumber"/>
      </w:pPr>
      <w:r>
        <w:t>Record the decision to continue or roll back.</w:t>
      </w:r>
    </w:p>
    <w:p>
      <w:pPr>
        <w:pStyle w:val="Heading1"/>
      </w:pPr>
      <w:r>
        <w:t>13. Phase 8: Operate, Improve and Retire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Question</w:t>
            </w:r>
          </w:p>
        </w:tc>
        <w:tc>
          <w:tcPr>
            <w:tcW w:type="dxa" w:w="5061"/>
            <w:shd w:fill="E7E6E6"/>
            <w:vAlign w:val="center"/>
            <w:tcMar>
              <w:top w:w="90" w:type="dxa"/>
              <w:start w:w="100" w:type="dxa"/>
              <w:bottom w:w="90" w:type="dxa"/>
              <w:end w:w="100" w:type="dxa"/>
            </w:tcMar>
          </w:tcPr>
          <w:p>
            <w:r>
              <w:rPr>
                <w:b/>
                <w:color w:val="000000"/>
                <w:sz w:val="18"/>
              </w:rPr>
              <w:t>Practical answer</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Why this phase matters</w:t>
            </w:r>
          </w:p>
        </w:tc>
        <w:tc>
          <w:tcPr>
            <w:tcW w:type="dxa" w:w="5061"/>
            <w:vAlign w:val="center"/>
            <w:tcMar>
              <w:top w:w="90" w:type="dxa"/>
              <w:start w:w="100" w:type="dxa"/>
              <w:bottom w:w="90" w:type="dxa"/>
              <w:end w:w="100" w:type="dxa"/>
            </w:tcMar>
          </w:tcPr>
          <w:p>
            <w:pPr>
              <w:spacing w:after="40"/>
            </w:pPr>
            <w:r>
              <w:rPr>
                <w:rFonts w:ascii="Aptos" w:hAnsi="Aptos"/>
                <w:color w:val="000000"/>
                <w:sz w:val="18"/>
              </w:rPr>
              <w:t>Most application cost is incurred after the first release. Operations provides the feedback needed to improve reliability, performance and upgrade readiness. Retirement prevents unused services and access from becoming security debt.</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When it is complete</w:t>
            </w:r>
          </w:p>
        </w:tc>
        <w:tc>
          <w:tcPr>
            <w:tcW w:type="dxa" w:w="5061"/>
            <w:vAlign w:val="center"/>
            <w:tcMar>
              <w:top w:w="90" w:type="dxa"/>
              <w:start w:w="100" w:type="dxa"/>
              <w:bottom w:w="90" w:type="dxa"/>
              <w:end w:w="100" w:type="dxa"/>
            </w:tcMar>
          </w:tcPr>
          <w:p>
            <w:pPr>
              <w:spacing w:after="40"/>
            </w:pPr>
            <w:r>
              <w:rPr>
                <w:rFonts w:ascii="Aptos" w:hAnsi="Aptos"/>
                <w:color w:val="000000"/>
                <w:sz w:val="18"/>
              </w:rPr>
              <w:t>Support ownership, dashboards, alerts and runbooks are active; restore/replay/rollback procedures are tested; lifecycle reviews occur on schedule.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How to work through it</w:t>
            </w:r>
          </w:p>
        </w:tc>
        <w:tc>
          <w:tcPr>
            <w:tcW w:type="dxa" w:w="5061"/>
            <w:vAlign w:val="center"/>
            <w:tcMar>
              <w:top w:w="90" w:type="dxa"/>
              <w:start w:w="100" w:type="dxa"/>
              <w:bottom w:w="90" w:type="dxa"/>
              <w:end w:w="100" w:type="dxa"/>
            </w:tcMar>
          </w:tcPr>
          <w:p>
            <w:pPr>
              <w:spacing w:after="40"/>
            </w:pPr>
            <w:r>
              <w:rPr>
                <w:rFonts w:ascii="Aptos" w:hAnsi="Aptos"/>
                <w:color w:val="000000"/>
                <w:sz w:val="18"/>
              </w:rPr>
              <w:t>Review incidents and metrics, patch dependencies, reassess clean-core and deprecated APIs, and remove obsolete roles, services, subscriptions and data.</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Expected output</w:t>
            </w:r>
          </w:p>
        </w:tc>
        <w:tc>
          <w:tcPr>
            <w:tcW w:type="dxa" w:w="5061"/>
            <w:vAlign w:val="center"/>
            <w:tcMar>
              <w:top w:w="90" w:type="dxa"/>
              <w:start w:w="100" w:type="dxa"/>
              <w:bottom w:w="90" w:type="dxa"/>
              <w:end w:w="100" w:type="dxa"/>
            </w:tcMar>
          </w:tcPr>
          <w:p>
            <w:pPr>
              <w:spacing w:after="40"/>
            </w:pPr>
            <w:r>
              <w:rPr>
                <w:rFonts w:ascii="Aptos" w:hAnsi="Aptos"/>
                <w:color w:val="000000"/>
                <w:sz w:val="18"/>
              </w:rPr>
              <w:t>Operational acceptance, improvement backlog, upgrade assessment and retirement record.</w:t>
            </w:r>
          </w:p>
        </w:tc>
      </w:tr>
    </w:tbl>
    <w:p>
      <w:pPr>
        <w:pStyle w:val="Heading2"/>
      </w:pPr>
      <w:r>
        <w:t>13.1 What to monitor</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Signal</w:t>
            </w:r>
          </w:p>
        </w:tc>
        <w:tc>
          <w:tcPr>
            <w:tcW w:type="dxa" w:w="3374"/>
            <w:shd w:fill="E7E6E6"/>
            <w:vAlign w:val="center"/>
            <w:tcMar>
              <w:top w:w="90" w:type="dxa"/>
              <w:start w:w="100" w:type="dxa"/>
              <w:bottom w:w="90" w:type="dxa"/>
              <w:end w:w="100" w:type="dxa"/>
            </w:tcMar>
          </w:tcPr>
          <w:p>
            <w:r>
              <w:rPr>
                <w:b/>
                <w:color w:val="000000"/>
                <w:sz w:val="18"/>
              </w:rPr>
              <w:t>What it tells you</w:t>
            </w:r>
          </w:p>
        </w:tc>
        <w:tc>
          <w:tcPr>
            <w:tcW w:type="dxa" w:w="3374"/>
            <w:shd w:fill="E7E6E6"/>
            <w:vAlign w:val="center"/>
            <w:tcMar>
              <w:top w:w="90" w:type="dxa"/>
              <w:start w:w="100" w:type="dxa"/>
              <w:bottom w:w="90" w:type="dxa"/>
              <w:end w:w="100" w:type="dxa"/>
            </w:tcMar>
          </w:tcPr>
          <w:p>
            <w:r>
              <w:rPr>
                <w:b/>
                <w:color w:val="000000"/>
                <w:sz w:val="18"/>
              </w:rPr>
              <w:t>Example action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Latency and throughput</w:t>
            </w:r>
          </w:p>
        </w:tc>
        <w:tc>
          <w:tcPr>
            <w:tcW w:type="dxa" w:w="3374"/>
            <w:vAlign w:val="center"/>
            <w:tcMar>
              <w:top w:w="90" w:type="dxa"/>
              <w:start w:w="100" w:type="dxa"/>
              <w:bottom w:w="90" w:type="dxa"/>
              <w:end w:w="100" w:type="dxa"/>
            </w:tcMar>
          </w:tcPr>
          <w:p>
            <w:pPr>
              <w:spacing w:after="40"/>
            </w:pPr>
            <w:r>
              <w:rPr>
                <w:rFonts w:ascii="Aptos" w:hAnsi="Aptos"/>
                <w:color w:val="000000"/>
                <w:sz w:val="18"/>
              </w:rPr>
              <w:t>Whether user experience and capacity remain healthy.</w:t>
            </w:r>
          </w:p>
        </w:tc>
        <w:tc>
          <w:tcPr>
            <w:tcW w:type="dxa" w:w="3374"/>
            <w:vAlign w:val="center"/>
            <w:tcMar>
              <w:top w:w="90" w:type="dxa"/>
              <w:start w:w="100" w:type="dxa"/>
              <w:bottom w:w="90" w:type="dxa"/>
              <w:end w:w="100" w:type="dxa"/>
            </w:tcMar>
          </w:tcPr>
          <w:p>
            <w:pPr>
              <w:spacing w:after="40"/>
            </w:pPr>
            <w:r>
              <w:rPr>
                <w:rFonts w:ascii="Aptos" w:hAnsi="Aptos"/>
                <w:color w:val="000000"/>
                <w:sz w:val="18"/>
              </w:rPr>
              <w:t>Inspect dependency or database bottleneck before scaling blindly.</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Error rate by operation</w:t>
            </w:r>
          </w:p>
        </w:tc>
        <w:tc>
          <w:tcPr>
            <w:tcW w:type="dxa" w:w="3374"/>
            <w:vAlign w:val="center"/>
            <w:tcMar>
              <w:top w:w="90" w:type="dxa"/>
              <w:start w:w="100" w:type="dxa"/>
              <w:bottom w:w="90" w:type="dxa"/>
              <w:end w:w="100" w:type="dxa"/>
            </w:tcMar>
          </w:tcPr>
          <w:p>
            <w:pPr>
              <w:spacing w:after="40"/>
            </w:pPr>
            <w:r>
              <w:rPr>
                <w:rFonts w:ascii="Aptos" w:hAnsi="Aptos"/>
                <w:color w:val="000000"/>
                <w:sz w:val="18"/>
              </w:rPr>
              <w:t>Which business journeys are failing.</w:t>
            </w:r>
          </w:p>
        </w:tc>
        <w:tc>
          <w:tcPr>
            <w:tcW w:type="dxa" w:w="3374"/>
            <w:vAlign w:val="center"/>
            <w:tcMar>
              <w:top w:w="90" w:type="dxa"/>
              <w:start w:w="100" w:type="dxa"/>
              <w:bottom w:w="90" w:type="dxa"/>
              <w:end w:w="100" w:type="dxa"/>
            </w:tcMar>
          </w:tcPr>
          <w:p>
            <w:pPr>
              <w:spacing w:after="40"/>
            </w:pPr>
            <w:r>
              <w:rPr>
                <w:rFonts w:ascii="Aptos" w:hAnsi="Aptos"/>
                <w:color w:val="000000"/>
                <w:sz w:val="18"/>
              </w:rPr>
              <w:t>Correlate to deployment, role or upstream changes.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Memory, CPU and restarts</w:t>
            </w:r>
          </w:p>
        </w:tc>
        <w:tc>
          <w:tcPr>
            <w:tcW w:type="dxa" w:w="3374"/>
            <w:vAlign w:val="center"/>
            <w:tcMar>
              <w:top w:w="90" w:type="dxa"/>
              <w:start w:w="100" w:type="dxa"/>
              <w:bottom w:w="90" w:type="dxa"/>
              <w:end w:w="100" w:type="dxa"/>
            </w:tcMar>
          </w:tcPr>
          <w:p>
            <w:pPr>
              <w:spacing w:after="40"/>
            </w:pPr>
            <w:r>
              <w:rPr>
                <w:rFonts w:ascii="Aptos" w:hAnsi="Aptos"/>
                <w:color w:val="000000"/>
                <w:sz w:val="18"/>
              </w:rPr>
              <w:t>Whether instances are saturated or leaking.</w:t>
            </w:r>
          </w:p>
        </w:tc>
        <w:tc>
          <w:tcPr>
            <w:tcW w:type="dxa" w:w="3374"/>
            <w:vAlign w:val="center"/>
            <w:tcMar>
              <w:top w:w="90" w:type="dxa"/>
              <w:start w:w="100" w:type="dxa"/>
              <w:bottom w:w="90" w:type="dxa"/>
              <w:end w:w="100" w:type="dxa"/>
            </w:tcMar>
          </w:tcPr>
          <w:p>
            <w:pPr>
              <w:spacing w:after="40"/>
            </w:pPr>
            <w:r>
              <w:rPr>
                <w:rFonts w:ascii="Aptos" w:hAnsi="Aptos"/>
                <w:color w:val="000000"/>
                <w:sz w:val="18"/>
              </w:rPr>
              <w:t>Profile code and right-size instances.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Remote dependency latency/timeouts</w:t>
            </w:r>
          </w:p>
        </w:tc>
        <w:tc>
          <w:tcPr>
            <w:tcW w:type="dxa" w:w="3374"/>
            <w:vAlign w:val="center"/>
            <w:tcMar>
              <w:top w:w="90" w:type="dxa"/>
              <w:start w:w="100" w:type="dxa"/>
              <w:bottom w:w="90" w:type="dxa"/>
              <w:end w:w="100" w:type="dxa"/>
            </w:tcMar>
          </w:tcPr>
          <w:p>
            <w:pPr>
              <w:spacing w:after="40"/>
            </w:pPr>
            <w:r>
              <w:rPr>
                <w:rFonts w:ascii="Aptos" w:hAnsi="Aptos"/>
                <w:color w:val="000000"/>
                <w:sz w:val="18"/>
              </w:rPr>
              <w:t>Whether integrations threaten capacity.</w:t>
            </w:r>
          </w:p>
        </w:tc>
        <w:tc>
          <w:tcPr>
            <w:tcW w:type="dxa" w:w="3374"/>
            <w:vAlign w:val="center"/>
            <w:tcMar>
              <w:top w:w="90" w:type="dxa"/>
              <w:start w:w="100" w:type="dxa"/>
              <w:bottom w:w="90" w:type="dxa"/>
              <w:end w:w="100" w:type="dxa"/>
            </w:tcMar>
          </w:tcPr>
          <w:p>
            <w:pPr>
              <w:spacing w:after="40"/>
            </w:pPr>
            <w:r>
              <w:rPr>
                <w:rFonts w:ascii="Aptos" w:hAnsi="Aptos"/>
                <w:color w:val="000000"/>
                <w:sz w:val="18"/>
              </w:rPr>
              <w:t>Adjust timeout, circuit breaker or degradation path.</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Event backlog/dead letters</w:t>
            </w:r>
          </w:p>
        </w:tc>
        <w:tc>
          <w:tcPr>
            <w:tcW w:type="dxa" w:w="3374"/>
            <w:vAlign w:val="center"/>
            <w:tcMar>
              <w:top w:w="90" w:type="dxa"/>
              <w:start w:w="100" w:type="dxa"/>
              <w:bottom w:w="90" w:type="dxa"/>
              <w:end w:w="100" w:type="dxa"/>
            </w:tcMar>
          </w:tcPr>
          <w:p>
            <w:pPr>
              <w:spacing w:after="40"/>
            </w:pPr>
            <w:r>
              <w:rPr>
                <w:rFonts w:ascii="Aptos" w:hAnsi="Aptos"/>
                <w:color w:val="000000"/>
                <w:sz w:val="18"/>
              </w:rPr>
              <w:t>Whether asynchronous work is keeping up.</w:t>
            </w:r>
          </w:p>
        </w:tc>
        <w:tc>
          <w:tcPr>
            <w:tcW w:type="dxa" w:w="3374"/>
            <w:vAlign w:val="center"/>
            <w:tcMar>
              <w:top w:w="90" w:type="dxa"/>
              <w:start w:w="100" w:type="dxa"/>
              <w:bottom w:w="90" w:type="dxa"/>
              <w:end w:w="100" w:type="dxa"/>
            </w:tcMar>
          </w:tcPr>
          <w:p>
            <w:pPr>
              <w:spacing w:after="40"/>
            </w:pPr>
            <w:r>
              <w:rPr>
                <w:rFonts w:ascii="Aptos" w:hAnsi="Aptos"/>
                <w:color w:val="000000"/>
                <w:sz w:val="18"/>
              </w:rPr>
              <w:t>Fix consumer, replay safely and increase capacity if justified.</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Authorisation denials</w:t>
            </w:r>
          </w:p>
        </w:tc>
        <w:tc>
          <w:tcPr>
            <w:tcW w:type="dxa" w:w="3374"/>
            <w:vAlign w:val="center"/>
            <w:tcMar>
              <w:top w:w="90" w:type="dxa"/>
              <w:start w:w="100" w:type="dxa"/>
              <w:bottom w:w="90" w:type="dxa"/>
              <w:end w:w="100" w:type="dxa"/>
            </w:tcMar>
          </w:tcPr>
          <w:p>
            <w:pPr>
              <w:spacing w:after="40"/>
            </w:pPr>
            <w:r>
              <w:rPr>
                <w:rFonts w:ascii="Aptos" w:hAnsi="Aptos"/>
                <w:color w:val="000000"/>
                <w:sz w:val="18"/>
              </w:rPr>
              <w:t>Whether role design or misuse needs attention.</w:t>
            </w:r>
          </w:p>
        </w:tc>
        <w:tc>
          <w:tcPr>
            <w:tcW w:type="dxa" w:w="3374"/>
            <w:vAlign w:val="center"/>
            <w:tcMar>
              <w:top w:w="90" w:type="dxa"/>
              <w:start w:w="100" w:type="dxa"/>
              <w:bottom w:w="90" w:type="dxa"/>
              <w:end w:w="100" w:type="dxa"/>
            </w:tcMar>
          </w:tcPr>
          <w:p>
            <w:pPr>
              <w:spacing w:after="40"/>
            </w:pPr>
            <w:r>
              <w:rPr>
                <w:rFonts w:ascii="Aptos" w:hAnsi="Aptos"/>
                <w:color w:val="000000"/>
                <w:sz w:val="18"/>
              </w:rPr>
              <w:t>Review expected roles and suspicious patterns.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Deprecated APIs and vulnerabilities</w:t>
            </w:r>
          </w:p>
        </w:tc>
        <w:tc>
          <w:tcPr>
            <w:tcW w:type="dxa" w:w="3374"/>
            <w:vAlign w:val="center"/>
            <w:tcMar>
              <w:top w:w="90" w:type="dxa"/>
              <w:start w:w="100" w:type="dxa"/>
              <w:bottom w:w="90" w:type="dxa"/>
              <w:end w:w="100" w:type="dxa"/>
            </w:tcMar>
          </w:tcPr>
          <w:p>
            <w:pPr>
              <w:spacing w:after="40"/>
            </w:pPr>
            <w:r>
              <w:rPr>
                <w:rFonts w:ascii="Aptos" w:hAnsi="Aptos"/>
                <w:color w:val="000000"/>
                <w:sz w:val="18"/>
              </w:rPr>
              <w:t>Whether technical debt threatens upgrades or support.</w:t>
            </w:r>
          </w:p>
        </w:tc>
        <w:tc>
          <w:tcPr>
            <w:tcW w:type="dxa" w:w="3374"/>
            <w:vAlign w:val="center"/>
            <w:tcMar>
              <w:top w:w="90" w:type="dxa"/>
              <w:start w:w="100" w:type="dxa"/>
              <w:bottom w:w="90" w:type="dxa"/>
              <w:end w:w="100" w:type="dxa"/>
            </w:tcMar>
          </w:tcPr>
          <w:p>
            <w:pPr>
              <w:spacing w:after="40"/>
            </w:pPr>
            <w:r>
              <w:rPr>
                <w:rFonts w:ascii="Aptos" w:hAnsi="Aptos"/>
                <w:color w:val="000000"/>
                <w:sz w:val="18"/>
              </w:rPr>
              <w:t>Patch or plan replacement within SLA.</w:t>
            </w:r>
          </w:p>
        </w:tc>
      </w:tr>
    </w:tbl>
    <w:p>
      <w:pPr>
        <w:pStyle w:val="Heading2"/>
      </w:pPr>
      <w:r>
        <w:t>13.2 Retirement</w:t>
      </w:r>
    </w:p>
    <w:p>
      <w:r>
        <w:t>Retirement is not just deleting code. Remove service routes, roles, destinations, remote-source grants, subscriptions, schedulers, secrets and dashboards. Archive or delete data according to retention policy, notify consumers and leave an auditable record of the final state.</w:t>
      </w:r>
    </w:p>
    <w:p>
      <w:pPr>
        <w:pStyle w:val="Heading1"/>
      </w:pPr>
      <w:r>
        <w:t>14. Guided Decision Playbooks</w:t>
      </w:r>
    </w:p>
    <w:p>
      <w:pPr>
        <w:pStyle w:val="Heading2"/>
      </w:pPr>
      <w:r>
        <w:t>14.1 “I need to display S/4HANA data in a new app”</w:t>
      </w:r>
    </w:p>
    <w:p>
      <w:pPr>
        <w:pStyle w:val="ListNumber"/>
      </w:pPr>
      <w:r>
        <w:t>Check whether a standard SAP application already satisfies the need.</w:t>
      </w:r>
    </w:p>
    <w:p>
      <w:pPr>
        <w:pStyle w:val="ListNumber"/>
      </w:pPr>
      <w:r>
        <w:t>Find the released API or released CDS/data product.</w:t>
      </w:r>
    </w:p>
    <w:p>
      <w:pPr>
        <w:pStyle w:val="ListNumber"/>
      </w:pPr>
      <w:r>
        <w:t>If the user journey is a standard list/object page, use Fiori elements.</w:t>
      </w:r>
    </w:p>
    <w:p>
      <w:pPr>
        <w:pStyle w:val="ListNumber"/>
      </w:pPr>
      <w:r>
        <w:t>If the transaction remains in S/4HANA, prefer RAP or consume the released service directly.</w:t>
      </w:r>
    </w:p>
    <w:p>
      <w:pPr>
        <w:pStyle w:val="ListNumber"/>
      </w:pPr>
      <w:r>
        <w:t>Use CAP when the app combines systems or owns side-by-side data/process logic.</w:t>
      </w:r>
    </w:p>
    <w:p>
      <w:pPr>
        <w:pStyle w:val="ListNumber"/>
      </w:pPr>
      <w:r>
        <w:t>Consider a virtual table only for approved, read-only, bounded federation after API and replication options are rejected.</w:t>
      </w:r>
    </w:p>
    <w:p>
      <w:pPr>
        <w:pStyle w:val="Heading2"/>
      </w:pPr>
      <w:r>
        <w:t>14.2 “I need custom logic in CAP”</w:t>
      </w:r>
    </w:p>
    <w:p>
      <w:pPr>
        <w:pStyle w:val="ListNumber"/>
      </w:pPr>
      <w:r>
        <w:t>Ask whether CDS constraints, service projections or the generic provider already express the rule.</w:t>
      </w:r>
    </w:p>
    <w:p>
      <w:pPr>
        <w:pStyle w:val="ListNumber"/>
      </w:pPr>
      <w:r>
        <w:t>If the rule validates request/state, use `before`.</w:t>
      </w:r>
    </w:p>
    <w:p>
      <w:pPr>
        <w:pStyle w:val="ListNumber"/>
      </w:pPr>
      <w:r>
        <w:t>If it is a command or replaces processing, use `on`.</w:t>
      </w:r>
    </w:p>
    <w:p>
      <w:pPr>
        <w:pStyle w:val="ListNumber"/>
      </w:pPr>
      <w:r>
        <w:t>If it only enriches the returned representation, use `after`.</w:t>
      </w:r>
    </w:p>
    <w:p>
      <w:pPr>
        <w:pStyle w:val="ListNumber"/>
      </w:pPr>
      <w:r>
        <w:t>If the logic contains several business decisions, move them into a domain module and unit-test them.</w:t>
      </w:r>
    </w:p>
    <w:p>
      <w:pPr>
        <w:pStyle w:val="Heading2"/>
      </w:pPr>
      <w:r>
        <w:t>14.3 “I need a BAPI in RAP”</w:t>
      </w:r>
    </w:p>
    <w:p>
      <w:pPr>
        <w:pStyle w:val="ListNumber"/>
      </w:pPr>
      <w:r>
        <w:t>Confirm that the BAPI/API is approved for the target clean-core level.</w:t>
      </w:r>
    </w:p>
    <w:p>
      <w:pPr>
        <w:pStyle w:val="ListNumber"/>
      </w:pPr>
      <w:r>
        <w:t>Check commit behaviour, late numbering, failure mapping and rollback semantics.</w:t>
      </w:r>
    </w:p>
    <w:p>
      <w:pPr>
        <w:pStyle w:val="ListNumber"/>
      </w:pPr>
      <w:r>
        <w:t>If interaction is standard and only final persistence is custom, assess managed with unmanaged save.</w:t>
      </w:r>
    </w:p>
    <w:p>
      <w:pPr>
        <w:pStyle w:val="ListNumber"/>
      </w:pPr>
      <w:r>
        <w:t>If the legacy engine owns read, lock, buffer and save, use fully unmanaged RAP.</w:t>
      </w:r>
    </w:p>
    <w:p>
      <w:pPr>
        <w:pStyle w:val="ListNumber"/>
      </w:pPr>
      <w:r>
        <w:t>Do not add `BAPI_TRANSACTION_COMMIT` mechanically inside behaviour handlers.</w:t>
      </w:r>
    </w:p>
    <w:p>
      <w:pPr>
        <w:pStyle w:val="Heading2"/>
      </w:pPr>
      <w:r>
        <w:t>14.4 “The page is slow”</w:t>
      </w:r>
    </w:p>
    <w:p>
      <w:pPr>
        <w:pStyle w:val="ListNumber"/>
      </w:pPr>
      <w:r>
        <w:t>Measure the browser request count, payload and rendering before changing backend code.</w:t>
      </w:r>
    </w:p>
    <w:p>
      <w:pPr>
        <w:pStyle w:val="ListNumber"/>
      </w:pPr>
      <w:r>
        <w:t>Identify whether time is in UI, network, service, database or remote dependency.</w:t>
      </w:r>
    </w:p>
    <w:p>
      <w:pPr>
        <w:pStyle w:val="ListNumber"/>
      </w:pPr>
      <w:r>
        <w:t>Check paging, `$select`, `$expand`, `$count`, formatters and broad refreshes.</w:t>
      </w:r>
    </w:p>
    <w:p>
      <w:pPr>
        <w:pStyle w:val="ListNumber"/>
      </w:pPr>
      <w:r>
        <w:t>Use STATS_FE/ST05/SAT for RAP and CAP/HANA telemetry for CAP.</w:t>
      </w:r>
    </w:p>
    <w:p>
      <w:pPr>
        <w:pStyle w:val="ListNumber"/>
      </w:pPr>
      <w:r>
        <w:t>Retest the same scenario and retain evidence.</w:t>
      </w:r>
    </w:p>
    <w:p>
      <w:pPr>
        <w:pStyle w:val="Heading1"/>
      </w:pPr>
      <w:r>
        <w:t>15. Phase Exit Checkpoints</w:t>
      </w:r>
    </w:p>
    <w:p>
      <w:r>
        <w:t>The following checkpoints are summaries, not substitutes for the preceding guidance.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shd w:fill="E7E6E6"/>
            <w:vAlign w:val="center"/>
            <w:tcMar>
              <w:top w:w="90" w:type="dxa"/>
              <w:start w:w="100" w:type="dxa"/>
              <w:bottom w:w="90" w:type="dxa"/>
              <w:end w:w="100" w:type="dxa"/>
            </w:tcMar>
          </w:tcPr>
          <w:p>
            <w:r>
              <w:rPr>
                <w:b/>
                <w:color w:val="000000"/>
                <w:sz w:val="18"/>
              </w:rPr>
              <w:t>Phase</w:t>
            </w:r>
          </w:p>
        </w:tc>
        <w:tc>
          <w:tcPr>
            <w:tcW w:type="dxa" w:w="5061"/>
            <w:shd w:fill="E7E6E6"/>
            <w:vAlign w:val="center"/>
            <w:tcMar>
              <w:top w:w="90" w:type="dxa"/>
              <w:start w:w="100" w:type="dxa"/>
              <w:bottom w:w="90" w:type="dxa"/>
              <w:end w:w="100" w:type="dxa"/>
            </w:tcMar>
          </w:tcPr>
          <w:p>
            <w:r>
              <w:rPr>
                <w:b/>
                <w:color w:val="000000"/>
                <w:sz w:val="18"/>
              </w:rPr>
              <w:t>Ready to proceed when</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Discover</w:t>
            </w:r>
          </w:p>
        </w:tc>
        <w:tc>
          <w:tcPr>
            <w:tcW w:type="dxa" w:w="5061"/>
            <w:vAlign w:val="center"/>
            <w:tcMar>
              <w:top w:w="90" w:type="dxa"/>
              <w:start w:w="100" w:type="dxa"/>
              <w:bottom w:w="90" w:type="dxa"/>
              <w:end w:w="100" w:type="dxa"/>
            </w:tcMar>
          </w:tcPr>
          <w:p>
            <w:pPr>
              <w:spacing w:after="40"/>
            </w:pPr>
            <w:r>
              <w:rPr>
                <w:rFonts w:ascii="Aptos" w:hAnsi="Aptos"/>
                <w:color w:val="000000"/>
                <w:sz w:val="18"/>
              </w:rPr>
              <w:t>Business outcome, users, data ownership, scope and NFRs are understood.</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Decide</w:t>
            </w:r>
          </w:p>
        </w:tc>
        <w:tc>
          <w:tcPr>
            <w:tcW w:type="dxa" w:w="5061"/>
            <w:vAlign w:val="center"/>
            <w:tcMar>
              <w:top w:w="90" w:type="dxa"/>
              <w:start w:w="100" w:type="dxa"/>
              <w:bottom w:w="90" w:type="dxa"/>
              <w:end w:w="100" w:type="dxa"/>
            </w:tcMar>
          </w:tcPr>
          <w:p>
            <w:pPr>
              <w:spacing w:after="40"/>
            </w:pPr>
            <w:r>
              <w:rPr>
                <w:rFonts w:ascii="Aptos" w:hAnsi="Aptos"/>
                <w:color w:val="000000"/>
                <w:sz w:val="18"/>
              </w:rPr>
              <w:t>Framework, UI, persistence, integration, tenant and deployment decisions are recorded with consequences.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Design</w:t>
            </w:r>
          </w:p>
        </w:tc>
        <w:tc>
          <w:tcPr>
            <w:tcW w:type="dxa" w:w="5061"/>
            <w:vAlign w:val="center"/>
            <w:tcMar>
              <w:top w:w="90" w:type="dxa"/>
              <w:start w:w="100" w:type="dxa"/>
              <w:bottom w:w="90" w:type="dxa"/>
              <w:end w:w="100" w:type="dxa"/>
            </w:tcMar>
          </w:tcPr>
          <w:p>
            <w:pPr>
              <w:spacing w:after="40"/>
            </w:pPr>
            <w:r>
              <w:rPr>
                <w:rFonts w:ascii="Aptos" w:hAnsi="Aptos"/>
                <w:color w:val="000000"/>
                <w:sz w:val="18"/>
              </w:rPr>
              <w:t>Domain, service, authorisation, errors, data migration and testing strategy are agreed.</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Establish</w:t>
            </w:r>
          </w:p>
        </w:tc>
        <w:tc>
          <w:tcPr>
            <w:tcW w:type="dxa" w:w="5061"/>
            <w:vAlign w:val="center"/>
            <w:tcMar>
              <w:top w:w="90" w:type="dxa"/>
              <w:start w:w="100" w:type="dxa"/>
              <w:bottom w:w="90" w:type="dxa"/>
              <w:end w:w="100" w:type="dxa"/>
            </w:tcMar>
          </w:tcPr>
          <w:p>
            <w:pPr>
              <w:spacing w:after="40"/>
            </w:pPr>
            <w:r>
              <w:rPr>
                <w:rFonts w:ascii="Aptos" w:hAnsi="Aptos"/>
                <w:color w:val="000000"/>
                <w:sz w:val="18"/>
              </w:rPr>
              <w:t>A new developer can run the skeleton and the pipeline enforces basic quality.</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Build</w:t>
            </w:r>
          </w:p>
        </w:tc>
        <w:tc>
          <w:tcPr>
            <w:tcW w:type="dxa" w:w="5061"/>
            <w:vAlign w:val="center"/>
            <w:tcMar>
              <w:top w:w="90" w:type="dxa"/>
              <w:start w:w="100" w:type="dxa"/>
              <w:bottom w:w="90" w:type="dxa"/>
              <w:end w:w="100" w:type="dxa"/>
            </w:tcMar>
          </w:tcPr>
          <w:p>
            <w:pPr>
              <w:spacing w:after="40"/>
            </w:pPr>
            <w:r>
              <w:rPr>
                <w:rFonts w:ascii="Aptos" w:hAnsi="Aptos"/>
                <w:color w:val="000000"/>
                <w:sz w:val="18"/>
              </w:rPr>
              <w:t>Vertical slices use framework semantics, tests are included and no layer owns another layer’s responsibility.</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Verify</w:t>
            </w:r>
          </w:p>
        </w:tc>
        <w:tc>
          <w:tcPr>
            <w:tcW w:type="dxa" w:w="5061"/>
            <w:vAlign w:val="center"/>
            <w:tcMar>
              <w:top w:w="90" w:type="dxa"/>
              <w:start w:w="100" w:type="dxa"/>
              <w:bottom w:w="90" w:type="dxa"/>
              <w:end w:w="100" w:type="dxa"/>
            </w:tcMar>
          </w:tcPr>
          <w:p>
            <w:pPr>
              <w:spacing w:after="40"/>
            </w:pPr>
            <w:r>
              <w:rPr>
                <w:rFonts w:ascii="Aptos" w:hAnsi="Aptos"/>
                <w:color w:val="000000"/>
                <w:sz w:val="18"/>
              </w:rPr>
              <w:t>Functional, security, accessibility, performance and resilience evidence meets the project NFRs.</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Release</w:t>
            </w:r>
          </w:p>
        </w:tc>
        <w:tc>
          <w:tcPr>
            <w:tcW w:type="dxa" w:w="5061"/>
            <w:vAlign w:val="center"/>
            <w:tcMar>
              <w:top w:w="90" w:type="dxa"/>
              <w:start w:w="100" w:type="dxa"/>
              <w:bottom w:w="90" w:type="dxa"/>
              <w:end w:w="100" w:type="dxa"/>
            </w:tcMar>
          </w:tcPr>
          <w:p>
            <w:pPr>
              <w:spacing w:after="40"/>
            </w:pPr>
            <w:r>
              <w:rPr>
                <w:rFonts w:ascii="Aptos" w:hAnsi="Aptos"/>
                <w:color w:val="000000"/>
                <w:sz w:val="18"/>
              </w:rPr>
              <w:t>Immutable artefact, migration, smoke, monitoring and rollback are ready.</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Operate</w:t>
            </w:r>
          </w:p>
        </w:tc>
        <w:tc>
          <w:tcPr>
            <w:tcW w:type="dxa" w:w="5061"/>
            <w:vAlign w:val="center"/>
            <w:tcMar>
              <w:top w:w="90" w:type="dxa"/>
              <w:start w:w="100" w:type="dxa"/>
              <w:bottom w:w="90" w:type="dxa"/>
              <w:end w:w="100" w:type="dxa"/>
            </w:tcMar>
          </w:tcPr>
          <w:p>
            <w:pPr>
              <w:spacing w:after="40"/>
            </w:pPr>
            <w:r>
              <w:rPr>
                <w:rFonts w:ascii="Aptos" w:hAnsi="Aptos"/>
                <w:color w:val="000000"/>
                <w:sz w:val="18"/>
              </w:rPr>
              <w:t>Ownership, alerts, runbooks, patching and lifecycle review are active.</w:t>
            </w:r>
          </w:p>
        </w:tc>
      </w:tr>
      <w:tr>
        <w:tc>
          <w:tcPr>
            <w:tcW w:type="dxa" w:w="5061"/>
            <w:vAlign w:val="center"/>
            <w:tcMar>
              <w:top w:w="90" w:type="dxa"/>
              <w:start w:w="100" w:type="dxa"/>
              <w:bottom w:w="90" w:type="dxa"/>
              <w:end w:w="100" w:type="dxa"/>
            </w:tcMar>
          </w:tcPr>
          <w:p>
            <w:pPr>
              <w:spacing w:after="40"/>
            </w:pPr>
            <w:r>
              <w:rPr>
                <w:rFonts w:ascii="Aptos" w:hAnsi="Aptos"/>
                <w:color w:val="000000"/>
                <w:sz w:val="18"/>
              </w:rPr>
              <w:t>Retire</w:t>
            </w:r>
          </w:p>
        </w:tc>
        <w:tc>
          <w:tcPr>
            <w:tcW w:type="dxa" w:w="5061"/>
            <w:vAlign w:val="center"/>
            <w:tcMar>
              <w:top w:w="90" w:type="dxa"/>
              <w:start w:w="100" w:type="dxa"/>
              <w:bottom w:w="90" w:type="dxa"/>
              <w:end w:w="100" w:type="dxa"/>
            </w:tcMar>
          </w:tcPr>
          <w:p>
            <w:pPr>
              <w:spacing w:after="40"/>
            </w:pPr>
            <w:r>
              <w:rPr>
                <w:rFonts w:ascii="Aptos" w:hAnsi="Aptos"/>
                <w:color w:val="000000"/>
                <w:sz w:val="18"/>
              </w:rPr>
              <w:t>Consumers, access, services and data are removed or archived safely.</w:t>
            </w:r>
          </w:p>
        </w:tc>
      </w:tr>
    </w:tbl>
    <w:p>
      <w:pPr>
        <w:pStyle w:val="Heading1"/>
      </w:pPr>
      <w:r>
        <w:t>16. Common Failure Patterns and How to Correct Them</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Pattern</w:t>
            </w:r>
          </w:p>
        </w:tc>
        <w:tc>
          <w:tcPr>
            <w:tcW w:type="dxa" w:w="3374"/>
            <w:shd w:fill="E7E6E6"/>
            <w:vAlign w:val="center"/>
            <w:tcMar>
              <w:top w:w="90" w:type="dxa"/>
              <w:start w:w="100" w:type="dxa"/>
              <w:bottom w:w="90" w:type="dxa"/>
              <w:end w:w="100" w:type="dxa"/>
            </w:tcMar>
          </w:tcPr>
          <w:p>
            <w:r>
              <w:rPr>
                <w:b/>
                <w:color w:val="000000"/>
                <w:sz w:val="18"/>
              </w:rPr>
              <w:t>Why it happens</w:t>
            </w:r>
          </w:p>
        </w:tc>
        <w:tc>
          <w:tcPr>
            <w:tcW w:type="dxa" w:w="3374"/>
            <w:shd w:fill="E7E6E6"/>
            <w:vAlign w:val="center"/>
            <w:tcMar>
              <w:top w:w="90" w:type="dxa"/>
              <w:start w:w="100" w:type="dxa"/>
              <w:bottom w:w="90" w:type="dxa"/>
              <w:end w:w="100" w:type="dxa"/>
            </w:tcMar>
          </w:tcPr>
          <w:p>
            <w:r>
              <w:rPr>
                <w:b/>
                <w:color w:val="000000"/>
                <w:sz w:val="18"/>
              </w:rPr>
              <w:t>Correction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RAP or CAP chosen by familiarity</w:t>
            </w:r>
          </w:p>
        </w:tc>
        <w:tc>
          <w:tcPr>
            <w:tcW w:type="dxa" w:w="3374"/>
            <w:vAlign w:val="center"/>
            <w:tcMar>
              <w:top w:w="90" w:type="dxa"/>
              <w:start w:w="100" w:type="dxa"/>
              <w:bottom w:w="90" w:type="dxa"/>
              <w:end w:w="100" w:type="dxa"/>
            </w:tcMar>
          </w:tcPr>
          <w:p>
            <w:pPr>
              <w:spacing w:after="40"/>
            </w:pPr>
            <w:r>
              <w:rPr>
                <w:rFonts w:ascii="Aptos" w:hAnsi="Aptos"/>
                <w:color w:val="000000"/>
                <w:sz w:val="18"/>
              </w:rPr>
              <w:t>Team starts from skills rather than transaction ownership.</w:t>
            </w:r>
          </w:p>
        </w:tc>
        <w:tc>
          <w:tcPr>
            <w:tcW w:type="dxa" w:w="3374"/>
            <w:vAlign w:val="center"/>
            <w:tcMar>
              <w:top w:w="90" w:type="dxa"/>
              <w:start w:w="100" w:type="dxa"/>
              <w:bottom w:w="90" w:type="dxa"/>
              <w:end w:w="100" w:type="dxa"/>
            </w:tcMar>
          </w:tcPr>
          <w:p>
            <w:pPr>
              <w:spacing w:after="40"/>
            </w:pPr>
            <w:r>
              <w:rPr>
                <w:rFonts w:ascii="Aptos" w:hAnsi="Aptos"/>
                <w:color w:val="000000"/>
                <w:sz w:val="18"/>
              </w:rPr>
              <w:t>Return to system-of-record and lifecycle decision.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Fully unmanaged RAP for new tables</w:t>
            </w:r>
          </w:p>
        </w:tc>
        <w:tc>
          <w:tcPr>
            <w:tcW w:type="dxa" w:w="3374"/>
            <w:vAlign w:val="center"/>
            <w:tcMar>
              <w:top w:w="90" w:type="dxa"/>
              <w:start w:w="100" w:type="dxa"/>
              <w:bottom w:w="90" w:type="dxa"/>
              <w:end w:w="100" w:type="dxa"/>
            </w:tcMar>
          </w:tcPr>
          <w:p>
            <w:pPr>
              <w:spacing w:after="40"/>
            </w:pPr>
            <w:r>
              <w:rPr>
                <w:rFonts w:ascii="Aptos" w:hAnsi="Aptos"/>
                <w:color w:val="000000"/>
                <w:sz w:val="18"/>
              </w:rPr>
              <w:t>Classic ABAP habits make custom control feel safer.</w:t>
            </w:r>
          </w:p>
        </w:tc>
        <w:tc>
          <w:tcPr>
            <w:tcW w:type="dxa" w:w="3374"/>
            <w:vAlign w:val="center"/>
            <w:tcMar>
              <w:top w:w="90" w:type="dxa"/>
              <w:start w:w="100" w:type="dxa"/>
              <w:bottom w:w="90" w:type="dxa"/>
              <w:end w:w="100" w:type="dxa"/>
            </w:tcMar>
          </w:tcPr>
          <w:p>
            <w:pPr>
              <w:spacing w:after="40"/>
            </w:pPr>
            <w:r>
              <w:rPr>
                <w:rFonts w:ascii="Aptos" w:hAnsi="Aptos"/>
                <w:color w:val="000000"/>
                <w:sz w:val="18"/>
              </w:rPr>
              <w:t>Use managed RAP and implement only business rules.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Custom CAP CRUD everywhere</w:t>
            </w:r>
          </w:p>
        </w:tc>
        <w:tc>
          <w:tcPr>
            <w:tcW w:type="dxa" w:w="3374"/>
            <w:vAlign w:val="center"/>
            <w:tcMar>
              <w:top w:w="90" w:type="dxa"/>
              <w:start w:w="100" w:type="dxa"/>
              <w:bottom w:w="90" w:type="dxa"/>
              <w:end w:w="100" w:type="dxa"/>
            </w:tcMar>
          </w:tcPr>
          <w:p>
            <w:pPr>
              <w:spacing w:after="40"/>
            </w:pPr>
            <w:r>
              <w:rPr>
                <w:rFonts w:ascii="Aptos" w:hAnsi="Aptos"/>
                <w:color w:val="000000"/>
                <w:sz w:val="18"/>
              </w:rPr>
              <w:t>Developers do not trust or understand generic providers.</w:t>
            </w:r>
          </w:p>
        </w:tc>
        <w:tc>
          <w:tcPr>
            <w:tcW w:type="dxa" w:w="3374"/>
            <w:vAlign w:val="center"/>
            <w:tcMar>
              <w:top w:w="90" w:type="dxa"/>
              <w:start w:w="100" w:type="dxa"/>
              <w:bottom w:w="90" w:type="dxa"/>
              <w:end w:w="100" w:type="dxa"/>
            </w:tcMar>
          </w:tcPr>
          <w:p>
            <w:pPr>
              <w:spacing w:after="40"/>
            </w:pPr>
            <w:r>
              <w:rPr>
                <w:rFonts w:ascii="Aptos" w:hAnsi="Aptos"/>
                <w:color w:val="000000"/>
                <w:sz w:val="18"/>
              </w:rPr>
              <w:t>Start model-first and remove handlers that duplicate framework behaviour.</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Business rules in SAPUI5 controllers</w:t>
            </w:r>
          </w:p>
        </w:tc>
        <w:tc>
          <w:tcPr>
            <w:tcW w:type="dxa" w:w="3374"/>
            <w:vAlign w:val="center"/>
            <w:tcMar>
              <w:top w:w="90" w:type="dxa"/>
              <w:start w:w="100" w:type="dxa"/>
              <w:bottom w:w="90" w:type="dxa"/>
              <w:end w:w="100" w:type="dxa"/>
            </w:tcMar>
          </w:tcPr>
          <w:p>
            <w:pPr>
              <w:spacing w:after="40"/>
            </w:pPr>
            <w:r>
              <w:rPr>
                <w:rFonts w:ascii="Aptos" w:hAnsi="Aptos"/>
                <w:color w:val="000000"/>
                <w:sz w:val="18"/>
              </w:rPr>
              <w:t>Immediate UI change seems convenient.</w:t>
            </w:r>
          </w:p>
        </w:tc>
        <w:tc>
          <w:tcPr>
            <w:tcW w:type="dxa" w:w="3374"/>
            <w:vAlign w:val="center"/>
            <w:tcMar>
              <w:top w:w="90" w:type="dxa"/>
              <w:start w:w="100" w:type="dxa"/>
              <w:bottom w:w="90" w:type="dxa"/>
              <w:end w:w="100" w:type="dxa"/>
            </w:tcMar>
          </w:tcPr>
          <w:p>
            <w:pPr>
              <w:spacing w:after="40"/>
            </w:pPr>
            <w:r>
              <w:rPr>
                <w:rFonts w:ascii="Aptos" w:hAnsi="Aptos"/>
                <w:color w:val="000000"/>
                <w:sz w:val="18"/>
              </w:rPr>
              <w:t>Move authoritative rule to RAP/CAP and keep optional pre-validation in UI.</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Raw S/4HANA table federation</w:t>
            </w:r>
          </w:p>
        </w:tc>
        <w:tc>
          <w:tcPr>
            <w:tcW w:type="dxa" w:w="3374"/>
            <w:vAlign w:val="center"/>
            <w:tcMar>
              <w:top w:w="90" w:type="dxa"/>
              <w:start w:w="100" w:type="dxa"/>
              <w:bottom w:w="90" w:type="dxa"/>
              <w:end w:w="100" w:type="dxa"/>
            </w:tcMar>
          </w:tcPr>
          <w:p>
            <w:pPr>
              <w:spacing w:after="40"/>
            </w:pPr>
            <w:r>
              <w:rPr>
                <w:rFonts w:ascii="Aptos" w:hAnsi="Aptos"/>
                <w:color w:val="000000"/>
                <w:sz w:val="18"/>
              </w:rPr>
              <w:t>Database access appears faster than API discovery.</w:t>
            </w:r>
          </w:p>
        </w:tc>
        <w:tc>
          <w:tcPr>
            <w:tcW w:type="dxa" w:w="3374"/>
            <w:vAlign w:val="center"/>
            <w:tcMar>
              <w:top w:w="90" w:type="dxa"/>
              <w:start w:w="100" w:type="dxa"/>
              <w:bottom w:w="90" w:type="dxa"/>
              <w:end w:w="100" w:type="dxa"/>
            </w:tcMar>
          </w:tcPr>
          <w:p>
            <w:pPr>
              <w:spacing w:after="40"/>
            </w:pPr>
            <w:r>
              <w:rPr>
                <w:rFonts w:ascii="Aptos" w:hAnsi="Aptos"/>
                <w:color w:val="000000"/>
                <w:sz w:val="18"/>
              </w:rPr>
              <w:t>Use released API/data product; treat virtual table as approved read-only exception.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One large service file</w:t>
            </w:r>
          </w:p>
        </w:tc>
        <w:tc>
          <w:tcPr>
            <w:tcW w:type="dxa" w:w="3374"/>
            <w:vAlign w:val="center"/>
            <w:tcMar>
              <w:top w:w="90" w:type="dxa"/>
              <w:start w:w="100" w:type="dxa"/>
              <w:bottom w:w="90" w:type="dxa"/>
              <w:end w:w="100" w:type="dxa"/>
            </w:tcMar>
          </w:tcPr>
          <w:p>
            <w:pPr>
              <w:spacing w:after="40"/>
            </w:pPr>
            <w:r>
              <w:rPr>
                <w:rFonts w:ascii="Aptos" w:hAnsi="Aptos"/>
                <w:color w:val="000000"/>
                <w:sz w:val="18"/>
              </w:rPr>
              <w:t>Features are added without capability boundaries.</w:t>
            </w:r>
          </w:p>
        </w:tc>
        <w:tc>
          <w:tcPr>
            <w:tcW w:type="dxa" w:w="3374"/>
            <w:vAlign w:val="center"/>
            <w:tcMar>
              <w:top w:w="90" w:type="dxa"/>
              <w:start w:w="100" w:type="dxa"/>
              <w:bottom w:w="90" w:type="dxa"/>
              <w:end w:w="100" w:type="dxa"/>
            </w:tcMar>
          </w:tcPr>
          <w:p>
            <w:pPr>
              <w:spacing w:after="40"/>
            </w:pPr>
            <w:r>
              <w:rPr>
                <w:rFonts w:ascii="Aptos" w:hAnsi="Aptos"/>
                <w:color w:val="000000"/>
                <w:sz w:val="18"/>
              </w:rPr>
              <w:t>Group handlers by capability and move business decisions to domain modules.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Microservices too early</w:t>
            </w:r>
          </w:p>
        </w:tc>
        <w:tc>
          <w:tcPr>
            <w:tcW w:type="dxa" w:w="3374"/>
            <w:vAlign w:val="center"/>
            <w:tcMar>
              <w:top w:w="90" w:type="dxa"/>
              <w:start w:w="100" w:type="dxa"/>
              <w:bottom w:w="90" w:type="dxa"/>
              <w:end w:w="100" w:type="dxa"/>
            </w:tcMar>
          </w:tcPr>
          <w:p>
            <w:pPr>
              <w:spacing w:after="40"/>
            </w:pPr>
            <w:r>
              <w:rPr>
                <w:rFonts w:ascii="Aptos" w:hAnsi="Aptos"/>
                <w:color w:val="000000"/>
                <w:sz w:val="18"/>
              </w:rPr>
              <w:t>Independent deployment is assumed to equal good architecture.</w:t>
            </w:r>
          </w:p>
        </w:tc>
        <w:tc>
          <w:tcPr>
            <w:tcW w:type="dxa" w:w="3374"/>
            <w:vAlign w:val="center"/>
            <w:tcMar>
              <w:top w:w="90" w:type="dxa"/>
              <w:start w:w="100" w:type="dxa"/>
              <w:bottom w:w="90" w:type="dxa"/>
              <w:end w:w="100" w:type="dxa"/>
            </w:tcMar>
          </w:tcPr>
          <w:p>
            <w:pPr>
              <w:spacing w:after="40"/>
            </w:pPr>
            <w:r>
              <w:rPr>
                <w:rFonts w:ascii="Aptos" w:hAnsi="Aptos"/>
                <w:color w:val="000000"/>
                <w:sz w:val="18"/>
              </w:rPr>
              <w:t>Begin with modular monolith until ownership and scale boundaries are proven.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Retry every error</w:t>
            </w:r>
          </w:p>
        </w:tc>
        <w:tc>
          <w:tcPr>
            <w:tcW w:type="dxa" w:w="3374"/>
            <w:vAlign w:val="center"/>
            <w:tcMar>
              <w:top w:w="90" w:type="dxa"/>
              <w:start w:w="100" w:type="dxa"/>
              <w:bottom w:w="90" w:type="dxa"/>
              <w:end w:w="100" w:type="dxa"/>
            </w:tcMar>
          </w:tcPr>
          <w:p>
            <w:pPr>
              <w:spacing w:after="40"/>
            </w:pPr>
            <w:r>
              <w:rPr>
                <w:rFonts w:ascii="Aptos" w:hAnsi="Aptos"/>
                <w:color w:val="000000"/>
                <w:sz w:val="18"/>
              </w:rPr>
              <w:t>Retries are added as a generic resilience feature.</w:t>
            </w:r>
          </w:p>
        </w:tc>
        <w:tc>
          <w:tcPr>
            <w:tcW w:type="dxa" w:w="3374"/>
            <w:vAlign w:val="center"/>
            <w:tcMar>
              <w:top w:w="90" w:type="dxa"/>
              <w:start w:w="100" w:type="dxa"/>
              <w:bottom w:w="90" w:type="dxa"/>
              <w:end w:w="100" w:type="dxa"/>
            </w:tcMar>
          </w:tcPr>
          <w:p>
            <w:pPr>
              <w:spacing w:after="40"/>
            </w:pPr>
            <w:r>
              <w:rPr>
                <w:rFonts w:ascii="Aptos" w:hAnsi="Aptos"/>
                <w:color w:val="000000"/>
                <w:sz w:val="18"/>
              </w:rPr>
              <w:t>Retry only transient, safe/idempotent operations with bounds and jitter.</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Increase memory for every slowdown</w:t>
            </w:r>
          </w:p>
        </w:tc>
        <w:tc>
          <w:tcPr>
            <w:tcW w:type="dxa" w:w="3374"/>
            <w:vAlign w:val="center"/>
            <w:tcMar>
              <w:top w:w="90" w:type="dxa"/>
              <w:start w:w="100" w:type="dxa"/>
              <w:bottom w:w="90" w:type="dxa"/>
              <w:end w:w="100" w:type="dxa"/>
            </w:tcMar>
          </w:tcPr>
          <w:p>
            <w:pPr>
              <w:spacing w:after="40"/>
            </w:pPr>
            <w:r>
              <w:rPr>
                <w:rFonts w:ascii="Aptos" w:hAnsi="Aptos"/>
                <w:color w:val="000000"/>
                <w:sz w:val="18"/>
              </w:rPr>
              <w:t>Platform symptoms are treated as sizing problems.</w:t>
            </w:r>
          </w:p>
        </w:tc>
        <w:tc>
          <w:tcPr>
            <w:tcW w:type="dxa" w:w="3374"/>
            <w:vAlign w:val="center"/>
            <w:tcMar>
              <w:top w:w="90" w:type="dxa"/>
              <w:start w:w="100" w:type="dxa"/>
              <w:bottom w:w="90" w:type="dxa"/>
              <w:end w:w="100" w:type="dxa"/>
            </w:tcMar>
          </w:tcPr>
          <w:p>
            <w:pPr>
              <w:spacing w:after="40"/>
            </w:pPr>
            <w:r>
              <w:rPr>
                <w:rFonts w:ascii="Aptos" w:hAnsi="Aptos"/>
                <w:color w:val="000000"/>
                <w:sz w:val="18"/>
              </w:rPr>
              <w:t>Measure database, event loop and dependency causes first.</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Checklist-only review</w:t>
            </w:r>
          </w:p>
        </w:tc>
        <w:tc>
          <w:tcPr>
            <w:tcW w:type="dxa" w:w="3374"/>
            <w:vAlign w:val="center"/>
            <w:tcMar>
              <w:top w:w="90" w:type="dxa"/>
              <w:start w:w="100" w:type="dxa"/>
              <w:bottom w:w="90" w:type="dxa"/>
              <w:end w:w="100" w:type="dxa"/>
            </w:tcMar>
          </w:tcPr>
          <w:p>
            <w:pPr>
              <w:spacing w:after="40"/>
            </w:pPr>
            <w:r>
              <w:rPr>
                <w:rFonts w:ascii="Aptos" w:hAnsi="Aptos"/>
                <w:color w:val="000000"/>
                <w:sz w:val="18"/>
              </w:rPr>
              <w:t>Rules are checked without understanding the design.</w:t>
            </w:r>
          </w:p>
        </w:tc>
        <w:tc>
          <w:tcPr>
            <w:tcW w:type="dxa" w:w="3374"/>
            <w:vAlign w:val="center"/>
            <w:tcMar>
              <w:top w:w="90" w:type="dxa"/>
              <w:start w:w="100" w:type="dxa"/>
              <w:bottom w:w="90" w:type="dxa"/>
              <w:end w:w="100" w:type="dxa"/>
            </w:tcMar>
          </w:tcPr>
          <w:p>
            <w:pPr>
              <w:spacing w:after="40"/>
            </w:pPr>
            <w:r>
              <w:rPr>
                <w:rFonts w:ascii="Aptos" w:hAnsi="Aptos"/>
                <w:color w:val="000000"/>
                <w:sz w:val="18"/>
              </w:rPr>
              <w:t>Review the ADR, data ownership and failure scenarios before code details.</w:t>
            </w:r>
          </w:p>
        </w:tc>
      </w:tr>
    </w:tbl>
    <w:p>
      <w:pPr>
        <w:pStyle w:val="Heading1"/>
      </w:pPr>
      <w:r>
        <w:t>17. Learning Path for Junior Developers</w:t>
      </w:r>
    </w:p>
    <w:p>
      <w:r>
        <w:t>The learning path follows the same order as delivery. Do not try to learn every framework feature before building a small vertical slice.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shd w:fill="E7E6E6"/>
            <w:vAlign w:val="center"/>
            <w:tcMar>
              <w:top w:w="90" w:type="dxa"/>
              <w:start w:w="100" w:type="dxa"/>
              <w:bottom w:w="90" w:type="dxa"/>
              <w:end w:w="100" w:type="dxa"/>
            </w:tcMar>
          </w:tcPr>
          <w:p>
            <w:r>
              <w:rPr>
                <w:b/>
                <w:color w:val="000000"/>
                <w:sz w:val="18"/>
              </w:rPr>
              <w:t>Step</w:t>
            </w:r>
          </w:p>
        </w:tc>
        <w:tc>
          <w:tcPr>
            <w:tcW w:type="dxa" w:w="3374"/>
            <w:shd w:fill="E7E6E6"/>
            <w:vAlign w:val="center"/>
            <w:tcMar>
              <w:top w:w="90" w:type="dxa"/>
              <w:start w:w="100" w:type="dxa"/>
              <w:bottom w:w="90" w:type="dxa"/>
              <w:end w:w="100" w:type="dxa"/>
            </w:tcMar>
          </w:tcPr>
          <w:p>
            <w:r>
              <w:rPr>
                <w:b/>
                <w:color w:val="000000"/>
                <w:sz w:val="18"/>
              </w:rPr>
              <w:t>What to learn</w:t>
            </w:r>
          </w:p>
        </w:tc>
        <w:tc>
          <w:tcPr>
            <w:tcW w:type="dxa" w:w="3374"/>
            <w:shd w:fill="E7E6E6"/>
            <w:vAlign w:val="center"/>
            <w:tcMar>
              <w:top w:w="90" w:type="dxa"/>
              <w:start w:w="100" w:type="dxa"/>
              <w:bottom w:w="90" w:type="dxa"/>
              <w:end w:w="100" w:type="dxa"/>
            </w:tcMar>
          </w:tcPr>
          <w:p>
            <w:r>
              <w:rPr>
                <w:b/>
                <w:color w:val="000000"/>
                <w:sz w:val="18"/>
              </w:rPr>
              <w:t>Practice outcome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1. Business and architecture basics</w:t>
            </w:r>
          </w:p>
        </w:tc>
        <w:tc>
          <w:tcPr>
            <w:tcW w:type="dxa" w:w="3374"/>
            <w:vAlign w:val="center"/>
            <w:tcMar>
              <w:top w:w="90" w:type="dxa"/>
              <w:start w:w="100" w:type="dxa"/>
              <w:bottom w:w="90" w:type="dxa"/>
              <w:end w:w="100" w:type="dxa"/>
            </w:tcMar>
          </w:tcPr>
          <w:p>
            <w:pPr>
              <w:spacing w:after="40"/>
            </w:pPr>
            <w:r>
              <w:rPr>
                <w:rFonts w:ascii="Aptos" w:hAnsi="Aptos"/>
                <w:color w:val="000000"/>
                <w:sz w:val="18"/>
              </w:rPr>
              <w:t>System of record, transaction boundary, API contract and clean core.</w:t>
            </w:r>
          </w:p>
        </w:tc>
        <w:tc>
          <w:tcPr>
            <w:tcW w:type="dxa" w:w="3374"/>
            <w:vAlign w:val="center"/>
            <w:tcMar>
              <w:top w:w="90" w:type="dxa"/>
              <w:start w:w="100" w:type="dxa"/>
              <w:bottom w:w="90" w:type="dxa"/>
              <w:end w:w="100" w:type="dxa"/>
            </w:tcMar>
          </w:tcPr>
          <w:p>
            <w:pPr>
              <w:spacing w:after="40"/>
            </w:pPr>
            <w:r>
              <w:rPr>
                <w:rFonts w:ascii="Aptos" w:hAnsi="Aptos"/>
                <w:color w:val="000000"/>
                <w:sz w:val="18"/>
              </w:rPr>
              <w:t>Explain why a sample belongs in RAP or CAP.</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2. CDS modelling</w:t>
            </w:r>
          </w:p>
        </w:tc>
        <w:tc>
          <w:tcPr>
            <w:tcW w:type="dxa" w:w="3374"/>
            <w:vAlign w:val="center"/>
            <w:tcMar>
              <w:top w:w="90" w:type="dxa"/>
              <w:start w:w="100" w:type="dxa"/>
              <w:bottom w:w="90" w:type="dxa"/>
              <w:end w:w="100" w:type="dxa"/>
            </w:tcMar>
          </w:tcPr>
          <w:p>
            <w:pPr>
              <w:spacing w:after="40"/>
            </w:pPr>
            <w:r>
              <w:rPr>
                <w:rFonts w:ascii="Aptos" w:hAnsi="Aptos"/>
                <w:color w:val="000000"/>
                <w:sz w:val="18"/>
              </w:rPr>
              <w:t>Entities, keys, associations, compositions, projections and annotations.</w:t>
            </w:r>
          </w:p>
        </w:tc>
        <w:tc>
          <w:tcPr>
            <w:tcW w:type="dxa" w:w="3374"/>
            <w:vAlign w:val="center"/>
            <w:tcMar>
              <w:top w:w="90" w:type="dxa"/>
              <w:start w:w="100" w:type="dxa"/>
              <w:bottom w:w="90" w:type="dxa"/>
              <w:end w:w="100" w:type="dxa"/>
            </w:tcMar>
          </w:tcPr>
          <w:p>
            <w:pPr>
              <w:spacing w:after="40"/>
            </w:pPr>
            <w:r>
              <w:rPr>
                <w:rFonts w:ascii="Aptos" w:hAnsi="Aptos"/>
                <w:color w:val="000000"/>
                <w:sz w:val="18"/>
              </w:rPr>
              <w:t>Build a small domain and service without custom handlers.</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3. Transaction behaviour</w:t>
            </w:r>
          </w:p>
        </w:tc>
        <w:tc>
          <w:tcPr>
            <w:tcW w:type="dxa" w:w="3374"/>
            <w:vAlign w:val="center"/>
            <w:tcMar>
              <w:top w:w="90" w:type="dxa"/>
              <w:start w:w="100" w:type="dxa"/>
              <w:bottom w:w="90" w:type="dxa"/>
              <w:end w:w="100" w:type="dxa"/>
            </w:tcMar>
          </w:tcPr>
          <w:p>
            <w:pPr>
              <w:spacing w:after="40"/>
            </w:pPr>
            <w:r>
              <w:rPr>
                <w:rFonts w:ascii="Aptos" w:hAnsi="Aptos"/>
                <w:color w:val="000000"/>
                <w:sz w:val="18"/>
              </w:rPr>
              <w:t>RAP managed behaviour or CAP generic provider and transactions.</w:t>
            </w:r>
          </w:p>
        </w:tc>
        <w:tc>
          <w:tcPr>
            <w:tcW w:type="dxa" w:w="3374"/>
            <w:vAlign w:val="center"/>
            <w:tcMar>
              <w:top w:w="90" w:type="dxa"/>
              <w:start w:w="100" w:type="dxa"/>
              <w:bottom w:w="90" w:type="dxa"/>
              <w:end w:w="100" w:type="dxa"/>
            </w:tcMar>
          </w:tcPr>
          <w:p>
            <w:pPr>
              <w:spacing w:after="40"/>
            </w:pPr>
            <w:r>
              <w:rPr>
                <w:rFonts w:ascii="Aptos" w:hAnsi="Aptos"/>
                <w:color w:val="000000"/>
                <w:sz w:val="18"/>
              </w:rPr>
              <w:t>Implement create/change plus one validation and action.</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4. Authorisation</w:t>
            </w:r>
          </w:p>
        </w:tc>
        <w:tc>
          <w:tcPr>
            <w:tcW w:type="dxa" w:w="3374"/>
            <w:vAlign w:val="center"/>
            <w:tcMar>
              <w:top w:w="90" w:type="dxa"/>
              <w:start w:w="100" w:type="dxa"/>
              <w:bottom w:w="90" w:type="dxa"/>
              <w:end w:w="100" w:type="dxa"/>
            </w:tcMar>
          </w:tcPr>
          <w:p>
            <w:pPr>
              <w:spacing w:after="40"/>
            </w:pPr>
            <w:r>
              <w:rPr>
                <w:rFonts w:ascii="Aptos" w:hAnsi="Aptos"/>
                <w:color w:val="000000"/>
                <w:sz w:val="18"/>
              </w:rPr>
              <w:t>DCL/behaviour auth or @requires/@restrict.</w:t>
            </w:r>
          </w:p>
        </w:tc>
        <w:tc>
          <w:tcPr>
            <w:tcW w:type="dxa" w:w="3374"/>
            <w:vAlign w:val="center"/>
            <w:tcMar>
              <w:top w:w="90" w:type="dxa"/>
              <w:start w:w="100" w:type="dxa"/>
              <w:bottom w:w="90" w:type="dxa"/>
              <w:end w:w="100" w:type="dxa"/>
            </w:tcMar>
          </w:tcPr>
          <w:p>
            <w:pPr>
              <w:spacing w:after="40"/>
            </w:pPr>
            <w:r>
              <w:rPr>
                <w:rFonts w:ascii="Aptos" w:hAnsi="Aptos"/>
                <w:color w:val="000000"/>
                <w:sz w:val="18"/>
              </w:rPr>
              <w:t>Write one allowed and one denied test.</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5. Fiori elements</w:t>
            </w:r>
          </w:p>
        </w:tc>
        <w:tc>
          <w:tcPr>
            <w:tcW w:type="dxa" w:w="3374"/>
            <w:vAlign w:val="center"/>
            <w:tcMar>
              <w:top w:w="90" w:type="dxa"/>
              <w:start w:w="100" w:type="dxa"/>
              <w:bottom w:w="90" w:type="dxa"/>
              <w:end w:w="100" w:type="dxa"/>
            </w:tcMar>
          </w:tcPr>
          <w:p>
            <w:pPr>
              <w:spacing w:after="40"/>
            </w:pPr>
            <w:r>
              <w:rPr>
                <w:rFonts w:ascii="Aptos" w:hAnsi="Aptos"/>
                <w:color w:val="000000"/>
                <w:sz w:val="18"/>
              </w:rPr>
              <w:t>OData V4 metadata, List Report, Object Page, actions and messages.</w:t>
            </w:r>
          </w:p>
        </w:tc>
        <w:tc>
          <w:tcPr>
            <w:tcW w:type="dxa" w:w="3374"/>
            <w:vAlign w:val="center"/>
            <w:tcMar>
              <w:top w:w="90" w:type="dxa"/>
              <w:start w:w="100" w:type="dxa"/>
              <w:bottom w:w="90" w:type="dxa"/>
              <w:end w:w="100" w:type="dxa"/>
            </w:tcMar>
          </w:tcPr>
          <w:p>
            <w:pPr>
              <w:spacing w:after="40"/>
            </w:pPr>
            <w:r>
              <w:rPr>
                <w:rFonts w:ascii="Aptos" w:hAnsi="Aptos"/>
                <w:color w:val="000000"/>
                <w:sz w:val="18"/>
              </w:rPr>
              <w:t>Create a working standard app before custom UI.</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6. Integration</w:t>
            </w:r>
          </w:p>
        </w:tc>
        <w:tc>
          <w:tcPr>
            <w:tcW w:type="dxa" w:w="3374"/>
            <w:vAlign w:val="center"/>
            <w:tcMar>
              <w:top w:w="90" w:type="dxa"/>
              <w:start w:w="100" w:type="dxa"/>
              <w:bottom w:w="90" w:type="dxa"/>
              <w:end w:w="100" w:type="dxa"/>
            </w:tcMar>
          </w:tcPr>
          <w:p>
            <w:pPr>
              <w:spacing w:after="40"/>
            </w:pPr>
            <w:r>
              <w:rPr>
                <w:rFonts w:ascii="Aptos" w:hAnsi="Aptos"/>
                <w:color w:val="000000"/>
                <w:sz w:val="18"/>
              </w:rPr>
              <w:t>Destination/remote services, timeouts, clean core and events.</w:t>
            </w:r>
          </w:p>
        </w:tc>
        <w:tc>
          <w:tcPr>
            <w:tcW w:type="dxa" w:w="3374"/>
            <w:vAlign w:val="center"/>
            <w:tcMar>
              <w:top w:w="90" w:type="dxa"/>
              <w:start w:w="100" w:type="dxa"/>
              <w:bottom w:w="90" w:type="dxa"/>
              <w:end w:w="100" w:type="dxa"/>
            </w:tcMar>
          </w:tcPr>
          <w:p>
            <w:pPr>
              <w:spacing w:after="40"/>
            </w:pPr>
            <w:r>
              <w:rPr>
                <w:rFonts w:ascii="Aptos" w:hAnsi="Aptos"/>
                <w:color w:val="000000"/>
                <w:sz w:val="18"/>
              </w:rPr>
              <w:t>Consume one mocked remote API and handle failure.</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7. Deployment</w:t>
            </w:r>
          </w:p>
        </w:tc>
        <w:tc>
          <w:tcPr>
            <w:tcW w:type="dxa" w:w="3374"/>
            <w:vAlign w:val="center"/>
            <w:tcMar>
              <w:top w:w="90" w:type="dxa"/>
              <w:start w:w="100" w:type="dxa"/>
              <w:bottom w:w="90" w:type="dxa"/>
              <w:end w:w="100" w:type="dxa"/>
            </w:tcMar>
          </w:tcPr>
          <w:p>
            <w:pPr>
              <w:spacing w:after="40"/>
            </w:pPr>
            <w:r>
              <w:rPr>
                <w:rFonts w:ascii="Aptos" w:hAnsi="Aptos"/>
                <w:color w:val="000000"/>
                <w:sz w:val="18"/>
              </w:rPr>
              <w:t>Transport or MTA, service bindings, health and logs.</w:t>
            </w:r>
          </w:p>
        </w:tc>
        <w:tc>
          <w:tcPr>
            <w:tcW w:type="dxa" w:w="3374"/>
            <w:vAlign w:val="center"/>
            <w:tcMar>
              <w:top w:w="90" w:type="dxa"/>
              <w:start w:w="100" w:type="dxa"/>
              <w:bottom w:w="90" w:type="dxa"/>
              <w:end w:w="100" w:type="dxa"/>
            </w:tcMar>
          </w:tcPr>
          <w:p>
            <w:pPr>
              <w:spacing w:after="40"/>
            </w:pPr>
            <w:r>
              <w:rPr>
                <w:rFonts w:ascii="Aptos" w:hAnsi="Aptos"/>
                <w:color w:val="000000"/>
                <w:sz w:val="18"/>
              </w:rPr>
              <w:t>Deploy a test artefact and run a smoke test.</w:t>
            </w:r>
          </w:p>
        </w:tc>
      </w:tr>
      <w:tr>
        <w:tc>
          <w:tcPr>
            <w:tcW w:type="dxa" w:w="3374"/>
            <w:vAlign w:val="center"/>
            <w:tcMar>
              <w:top w:w="90" w:type="dxa"/>
              <w:start w:w="100" w:type="dxa"/>
              <w:bottom w:w="90" w:type="dxa"/>
              <w:end w:w="100" w:type="dxa"/>
            </w:tcMar>
          </w:tcPr>
          <w:p>
            <w:pPr>
              <w:spacing w:after="40"/>
            </w:pPr>
            <w:r>
              <w:rPr>
                <w:rFonts w:ascii="Aptos" w:hAnsi="Aptos"/>
                <w:color w:val="000000"/>
                <w:sz w:val="18"/>
              </w:rPr>
              <w:t>8. Quality</w:t>
            </w:r>
          </w:p>
        </w:tc>
        <w:tc>
          <w:tcPr>
            <w:tcW w:type="dxa" w:w="3374"/>
            <w:vAlign w:val="center"/>
            <w:tcMar>
              <w:top w:w="90" w:type="dxa"/>
              <w:start w:w="100" w:type="dxa"/>
              <w:bottom w:w="90" w:type="dxa"/>
              <w:end w:w="100" w:type="dxa"/>
            </w:tcMar>
          </w:tcPr>
          <w:p>
            <w:pPr>
              <w:spacing w:after="40"/>
            </w:pPr>
            <w:r>
              <w:rPr>
                <w:rFonts w:ascii="Aptos" w:hAnsi="Aptos"/>
                <w:color w:val="000000"/>
                <w:sz w:val="18"/>
              </w:rPr>
              <w:t>Unit/integration/UI tests, traces and security scans.</w:t>
            </w:r>
          </w:p>
        </w:tc>
        <w:tc>
          <w:tcPr>
            <w:tcW w:type="dxa" w:w="3374"/>
            <w:vAlign w:val="center"/>
            <w:tcMar>
              <w:top w:w="90" w:type="dxa"/>
              <w:start w:w="100" w:type="dxa"/>
              <w:bottom w:w="90" w:type="dxa"/>
              <w:end w:w="100" w:type="dxa"/>
            </w:tcMar>
          </w:tcPr>
          <w:p>
            <w:pPr>
              <w:spacing w:after="40"/>
            </w:pPr>
            <w:r>
              <w:rPr>
                <w:rFonts w:ascii="Aptos" w:hAnsi="Aptos"/>
                <w:color w:val="000000"/>
                <w:sz w:val="18"/>
              </w:rPr>
              <w:t>Attach evidence to a pull request.</w:t>
            </w:r>
          </w:p>
        </w:tc>
      </w:tr>
    </w:tbl>
    <w:p>
      <w:pPr>
        <w:pStyle w:val="Heading1"/>
      </w:pPr>
      <w:r>
        <w:t>18. Primary References</w:t>
      </w:r>
    </w:p>
    <w:p>
      <w:pPr>
        <w:pStyle w:val="ListBullet"/>
      </w:pPr>
      <w:r>
        <w:rPr>
          <w:b/>
        </w:rPr>
        <w:t xml:space="preserve">ABAP RESTful Application Programming Model: </w:t>
      </w:r>
      <w:r>
        <w:t>https://help.sap.com/docs/abap-cloud/abap-rap/managed-and-unmanaged-scenarios</w:t>
      </w:r>
    </w:p>
    <w:p>
      <w:pPr>
        <w:pStyle w:val="ListBullet"/>
      </w:pPr>
      <w:r>
        <w:rPr>
          <w:b/>
        </w:rPr>
        <w:t xml:space="preserve">RAP business object implementation types: </w:t>
      </w:r>
      <w:r>
        <w:t>https://help.sap.com/docs/abap-cloud/abap-rap/business-object-implementation-types</w:t>
      </w:r>
    </w:p>
    <w:p>
      <w:pPr>
        <w:pStyle w:val="ListBullet"/>
      </w:pPr>
      <w:r>
        <w:rPr>
          <w:b/>
        </w:rPr>
        <w:t xml:space="preserve">RAP business object contract: </w:t>
      </w:r>
      <w:r>
        <w:t>https://help.sap.com/docs/abap-cloud/abap-rap/rap-business-object-contract</w:t>
      </w:r>
    </w:p>
    <w:p>
      <w:pPr>
        <w:pStyle w:val="ListBullet"/>
      </w:pPr>
      <w:r>
        <w:rPr>
          <w:b/>
        </w:rPr>
        <w:t xml:space="preserve">CAP getting started: </w:t>
      </w:r>
      <w:r>
        <w:t>https://cap.cloud.sap/docs/get-started/</w:t>
      </w:r>
    </w:p>
    <w:p>
      <w:pPr>
        <w:pStyle w:val="ListBullet"/>
      </w:pPr>
      <w:r>
        <w:rPr>
          <w:b/>
        </w:rPr>
        <w:t xml:space="preserve">CAP core concepts: </w:t>
      </w:r>
      <w:r>
        <w:t>https://cap.cloud.sap/docs/get-started/concepts</w:t>
      </w:r>
    </w:p>
    <w:p>
      <w:pPr>
        <w:pStyle w:val="ListBullet"/>
      </w:pPr>
      <w:r>
        <w:rPr>
          <w:b/>
        </w:rPr>
        <w:t xml:space="preserve">CAP Node.js SDK: </w:t>
      </w:r>
      <w:r>
        <w:t>https://cap.cloud.sap/docs/node.js/</w:t>
      </w:r>
    </w:p>
    <w:p>
      <w:pPr>
        <w:pStyle w:val="ListBullet"/>
      </w:pPr>
      <w:r>
        <w:rPr>
          <w:b/>
        </w:rPr>
        <w:t xml:space="preserve">CAP security: </w:t>
      </w:r>
      <w:r>
        <w:t>https://cap.cloud.sap/docs/guides/security/</w:t>
      </w:r>
    </w:p>
    <w:p>
      <w:pPr>
        <w:pStyle w:val="ListBullet"/>
      </w:pPr>
      <w:r>
        <w:rPr>
          <w:b/>
        </w:rPr>
        <w:t xml:space="preserve">CAP native HANA artifacts: </w:t>
      </w:r>
      <w:r>
        <w:t>https://cap.cloud.sap/docs/guides/databases/hana-native</w:t>
      </w:r>
    </w:p>
    <w:p>
      <w:pPr>
        <w:pStyle w:val="ListBullet"/>
      </w:pPr>
      <w:r>
        <w:rPr>
          <w:b/>
        </w:rPr>
        <w:t xml:space="preserve">CAP deployment: </w:t>
      </w:r>
      <w:r>
        <w:t>https://cap.cloud.sap/docs/guides/deploy/</w:t>
      </w:r>
    </w:p>
    <w:p>
      <w:pPr>
        <w:pStyle w:val="ListBullet"/>
      </w:pPr>
      <w:r>
        <w:rPr>
          <w:b/>
        </w:rPr>
        <w:t xml:space="preserve">UI5 modern application guidance: </w:t>
      </w:r>
      <w:r>
        <w:t>https://ui5.github.io/docs/02_Read-Me-First/developing-apps-with-modern-concepts-guidance-for-developers-4cb54eb.html</w:t>
      </w:r>
    </w:p>
    <w:p>
      <w:pPr>
        <w:pStyle w:val="ListBullet"/>
      </w:pPr>
      <w:r>
        <w:rPr>
          <w:b/>
        </w:rPr>
        <w:t xml:space="preserve">UI5 developer best practices: </w:t>
      </w:r>
      <w:r>
        <w:t>https://ui5.github.io/docs/03_Get-Started/best-practices-for-developers-28fcd55.html</w:t>
      </w:r>
    </w:p>
    <w:p>
      <w:pPr>
        <w:pStyle w:val="ListBullet"/>
      </w:pPr>
      <w:r>
        <w:rPr>
          <w:b/>
        </w:rPr>
        <w:t xml:space="preserve">SAP Fiori Design Guidelines: </w:t>
      </w:r>
      <w:r>
        <w:t>https://experience.sap.com/fiori-design-web/</w:t>
      </w:r>
    </w:p>
    <w:p>
      <w:pPr>
        <w:pStyle w:val="ListBullet"/>
      </w:pPr>
      <w:r>
        <w:rPr>
          <w:b/>
        </w:rPr>
        <w:t xml:space="preserve">SAP HANA Cloud virtual tables: </w:t>
      </w:r>
      <w:r>
        <w:t>https://help.sap.com/docs/HANA_CLOUD_DATABASE/c2b99f19e9264c4d9ae9221b22f6f589/00340d4ede0a43ceb0a67f36bbc46a3a.html?locale=en-US</w:t>
      </w:r>
    </w:p>
    <w:p>
      <w:pPr>
        <w:pStyle w:val="ListBullet"/>
      </w:pPr>
      <w:r>
        <w:rPr>
          <w:b/>
        </w:rPr>
        <w:t xml:space="preserve">SAP clean-core extensibility update: </w:t>
      </w:r>
      <w:r>
        <w:t>https://community.sap.com/t5/technology-blog-posts-by-sap/abap-extensibility-guide-clean-core-for-sap-s-4hana-cloud-august-2025/ba-p/14175399</w:t>
      </w:r>
    </w:p>
    <w:sectPr w:rsidR="00FC693F" w:rsidRPr="0006063C" w:rsidSect="00034616">
      <w:headerReference w:type="default" r:id="rId9"/>
      <w:footerReference w:type="default" r:id="rId10"/>
      <w:pgSz w:w="12240" w:h="15840"/>
      <w:pgMar w:top="979" w:right="1037"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Version 4.0 | Learning and delivery edition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SAP Full-Stack Development Practical Guide | RAP • CAP • SAPUI5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ind w:left="317"/>
    </w:pPr>
    <w:rPr>
      <w:rFonts w:ascii="Consolas" w:hAnsi="Consola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Privilege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SAP Full-Stack Development Practical Guide</dc:title>
  <dc:subject>Explanatory SDLC guide for RAP, CAP Node.js, SAPUI5, Fiori elements, SAP BTP and virtual-table decisions</dc:subject>
  <dc:creator>Velmurugan, Veeresh Kumar</dc:creator>
  <keywords/>
  <dc:description>Rewritten from checklist-oriented v3.0 into a contextual guide for junior-to-architect audiences.</dc:description>
  <lastModifiedBy>Velmurugan, Veeresh Kumar</lastModifiedBy>
  <revision>1</revision>
  <dcterms:created xsi:type="dcterms:W3CDTF">2026-10-06T08:56:54.9061661Z</dcterms:created>
  <dcterms:modified xsi:type="dcterms:W3CDTF">2026-10-06T08:56:54.9061661Z</dcterms:modified>
  <category/>
</coreProperties>
</file>