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Insurance Product Design Document for Tokyo, Japan</w:t>
      </w:r>
    </w:p>
    <w:p>
      <w:r>
        <w:t>Product Name: TokyoDrive Insurance</w:t>
      </w:r>
    </w:p>
    <w:p>
      <w:r>
        <w:t>Target Market: Tokyo Metropolitan Area</w:t>
      </w:r>
    </w:p>
    <w:p>
      <w:r>
        <w:t>Document Version: 1.0</w:t>
      </w:r>
    </w:p>
    <w:p>
      <w:r>
        <w:t>Date: November 29, 2025</w:t>
      </w:r>
    </w:p>
    <w:p>
      <w:r>
        <w:t>Prepared By: Product Development Team</w:t>
      </w:r>
    </w:p>
    <w:p>
      <w:r>
        <w:t>---</w:t>
      </w:r>
    </w:p>
    <w:p>
      <w:pPr>
        <w:pStyle w:val="Heading1"/>
      </w:pPr>
      <w:r>
        <w:t>Table of Contents</w:t>
      </w:r>
    </w:p>
    <w:p>
      <w:r>
        <w:t>1. Executive Summary</w:t>
      </w:r>
    </w:p>
    <w:p>
      <w:r>
        <w:t>2. Market Analysis &amp; Research</w:t>
      </w:r>
    </w:p>
    <w:p>
      <w:r>
        <w:t>3. Target Customer Segmentation</w:t>
      </w:r>
    </w:p>
    <w:p>
      <w:r>
        <w:t>4. Product Design &amp; Features</w:t>
      </w:r>
    </w:p>
    <w:p>
      <w:r>
        <w:t>5. Risk Assessment &amp; Pricing Strategy</w:t>
      </w:r>
    </w:p>
    <w:p>
      <w:r>
        <w:t>6. Regulatory Compliance</w:t>
      </w:r>
    </w:p>
    <w:p>
      <w:r>
        <w:t>7. Technology &amp; Operations</w:t>
      </w:r>
    </w:p>
    <w:p>
      <w:r>
        <w:t>8. Marketing &amp; Distribution Strategy</w:t>
      </w:r>
    </w:p>
    <w:p>
      <w:r>
        <w:t>9. Financial Projections</w:t>
      </w:r>
    </w:p>
    <w:p>
      <w:r>
        <w:t>10. Implementation Roadmap</w:t>
      </w:r>
    </w:p>
    <w:p>
      <w:r>
        <w:t>11. Risk Management</w:t>
      </w:r>
    </w:p>
    <w:p>
      <w:r>
        <w:t>12. Appendices</w:t>
      </w:r>
    </w:p>
    <w:p>
      <w:r>
        <w:t>---</w:t>
      </w:r>
    </w:p>
    <w:p>
      <w:pPr>
        <w:pStyle w:val="Heading1"/>
      </w:pPr>
      <w:r>
        <w:t>1. Executive Summary</w:t>
      </w:r>
    </w:p>
    <w:p>
      <w:pPr>
        <w:pStyle w:val="Heading2"/>
      </w:pPr>
      <w:r>
        <w:t>1.1 Product Overview</w:t>
      </w:r>
    </w:p>
    <w:p>
      <w:r>
        <w:t>This document outlines the design of a comprehensive auto insurance product specifically tailored for the Tokyo metropolitan market. The product addresses the unique needs of Tokyo's diverse population, high traffic density, and specific risk factors associated with urban driving in Japan's capital.</w:t>
      </w:r>
    </w:p>
    <w:p>
      <w:r>
        <w:t>Key Highlights:</w:t>
      </w:r>
    </w:p>
    <w:p>
      <w:pPr>
        <w:pStyle w:val="ListBullet"/>
      </w:pPr>
      <w:r>
        <w:t>Target market: Tokyo's 14+ million residents</w:t>
      </w:r>
    </w:p>
    <w:p>
      <w:pPr>
        <w:pStyle w:val="ListBullet"/>
      </w:pPr>
      <w:r>
        <w:t>Focus on digital-first customer experience</w:t>
      </w:r>
    </w:p>
    <w:p>
      <w:pPr>
        <w:pStyle w:val="ListBullet"/>
      </w:pPr>
      <w:r>
        <w:t>Competitive pricing with value-added services</w:t>
      </w:r>
    </w:p>
    <w:p>
      <w:pPr>
        <w:pStyle w:val="ListBullet"/>
      </w:pPr>
      <w:r>
        <w:t>Compliance with Japanese insurance regulations</w:t>
      </w:r>
    </w:p>
    <w:p>
      <w:pPr>
        <w:pStyle w:val="Heading2"/>
      </w:pPr>
      <w:r>
        <w:t>1.2 Key Value Propositions</w:t>
      </w:r>
    </w:p>
    <w:p>
      <w:r>
        <w:t>1. Tokyo-Specific Risk Assessment: Pricing and coverage optimized for Tokyo's unique driving conditions</w:t>
      </w:r>
    </w:p>
    <w:p>
      <w:r>
        <w:t>2. Digital-First Experience: Seamless online purchase, claims filing, and policy management</w:t>
      </w:r>
    </w:p>
    <w:p>
      <w:r>
        <w:t>3. Competitive Premiums: Data-driven pricing that reflects actual risk factors</w:t>
      </w:r>
    </w:p>
    <w:p>
      <w:r>
        <w:t>4. Comprehensive Coverage: Flexible options from basic to premium tiers</w:t>
      </w:r>
    </w:p>
    <w:p>
      <w:r>
        <w:t>5. 24/7 Support: Round-the-clock customer service and roadside assistance</w:t>
      </w:r>
    </w:p>
    <w:p>
      <w:pPr>
        <w:pStyle w:val="Heading2"/>
      </w:pPr>
      <w:r>
        <w:t>1.3 Target Market Summary</w:t>
      </w:r>
    </w:p>
    <w:p>
      <w:pPr>
        <w:pStyle w:val="ListBullet"/>
      </w:pPr>
      <w:r>
        <w:t>Primary Market: Tokyo residents aged 25-65 with registered vehicles</w:t>
      </w:r>
    </w:p>
    <w:p>
      <w:pPr>
        <w:pStyle w:val="ListBullet"/>
      </w:pPr>
      <w:r>
        <w:t>Market Size: Approximately 4.2 million registered vehicles in Tokyo</w:t>
      </w:r>
    </w:p>
    <w:p>
      <w:pPr>
        <w:pStyle w:val="ListBullet"/>
      </w:pPr>
      <w:r>
        <w:t>Key Segments: Young professionals, families, and business owners</w:t>
      </w:r>
    </w:p>
    <w:p>
      <w:pPr>
        <w:pStyle w:val="ListBullet"/>
      </w:pPr>
      <w:r>
        <w:t>Geographic Focus: All 23 special wards of Tokyo, with initial focus on high-density areas</w:t>
      </w:r>
    </w:p>
    <w:p>
      <w:pPr>
        <w:pStyle w:val="Heading2"/>
      </w:pPr>
      <w:r>
        <w:t>1.4 Financial Projections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Policies Written</w:t>
            </w:r>
          </w:p>
        </w:tc>
        <w:tc>
          <w:tcPr>
            <w:tcW w:type="dxa" w:w="2160"/>
          </w:tcPr>
          <w:p>
            <w:r>
              <w:t>5,000</w:t>
            </w:r>
          </w:p>
        </w:tc>
        <w:tc>
          <w:tcPr>
            <w:tcW w:type="dxa" w:w="2160"/>
          </w:tcPr>
          <w:p>
            <w:r>
              <w:t>25,000</w:t>
            </w:r>
          </w:p>
        </w:tc>
        <w:tc>
          <w:tcPr>
            <w:tcW w:type="dxa" w:w="2160"/>
          </w:tcPr>
          <w:p>
            <w:r>
              <w:t>60,000</w:t>
            </w:r>
          </w:p>
        </w:tc>
      </w:tr>
      <w:tr>
        <w:tc>
          <w:tcPr>
            <w:tcW w:type="dxa" w:w="2160"/>
          </w:tcPr>
          <w:p>
            <w:r>
              <w:t>Premium Volume (¥)</w:t>
            </w:r>
          </w:p>
        </w:tc>
        <w:tc>
          <w:tcPr>
            <w:tcW w:type="dxa" w:w="2160"/>
          </w:tcPr>
          <w:p>
            <w:r>
              <w:t>450M</w:t>
            </w:r>
          </w:p>
        </w:tc>
        <w:tc>
          <w:tcPr>
            <w:tcW w:type="dxa" w:w="2160"/>
          </w:tcPr>
          <w:p>
            <w:r>
              <w:t>2,250M</w:t>
            </w:r>
          </w:p>
        </w:tc>
        <w:tc>
          <w:tcPr>
            <w:tcW w:type="dxa" w:w="2160"/>
          </w:tcPr>
          <w:p>
            <w:r>
              <w:t>5,400M</w:t>
            </w:r>
          </w:p>
        </w:tc>
      </w:tr>
      <w:tr>
        <w:tc>
          <w:tcPr>
            <w:tcW w:type="dxa" w:w="2160"/>
          </w:tcPr>
          <w:p>
            <w:r>
              <w:t>Loss Ratio</w:t>
            </w:r>
          </w:p>
        </w:tc>
        <w:tc>
          <w:tcPr>
            <w:tcW w:type="dxa" w:w="2160"/>
          </w:tcPr>
          <w:p>
            <w:r>
              <w:t>72%</w:t>
            </w:r>
          </w:p>
        </w:tc>
        <w:tc>
          <w:tcPr>
            <w:tcW w:type="dxa" w:w="2160"/>
          </w:tcPr>
          <w:p>
            <w:r>
              <w:t>68%</w:t>
            </w:r>
          </w:p>
        </w:tc>
        <w:tc>
          <w:tcPr>
            <w:tcW w:type="dxa" w:w="2160"/>
          </w:tcPr>
          <w:p>
            <w:r>
              <w:t>65%</w:t>
            </w:r>
          </w:p>
        </w:tc>
      </w:tr>
      <w:tr>
        <w:tc>
          <w:tcPr>
            <w:tcW w:type="dxa" w:w="2160"/>
          </w:tcPr>
          <w:p>
            <w:r>
              <w:t>Combined Ratio</w:t>
            </w:r>
          </w:p>
        </w:tc>
        <w:tc>
          <w:tcPr>
            <w:tcW w:type="dxa" w:w="2160"/>
          </w:tcPr>
          <w:p>
            <w:r>
              <w:t>102%</w:t>
            </w:r>
          </w:p>
        </w:tc>
        <w:tc>
          <w:tcPr>
            <w:tcW w:type="dxa" w:w="2160"/>
          </w:tcPr>
          <w:p>
            <w:r>
              <w:t>96%</w:t>
            </w:r>
          </w:p>
        </w:tc>
        <w:tc>
          <w:tcPr>
            <w:tcW w:type="dxa" w:w="2160"/>
          </w:tcPr>
          <w:p>
            <w:r>
              <w:t>93%</w:t>
            </w:r>
          </w:p>
        </w:tc>
      </w:tr>
      <w:tr>
        <w:tc>
          <w:tcPr>
            <w:tcW w:type="dxa" w:w="2160"/>
          </w:tcPr>
          <w:p>
            <w:r>
              <w:t>Net Profit (¥)</w:t>
            </w:r>
          </w:p>
        </w:tc>
        <w:tc>
          <w:tcPr>
            <w:tcW w:type="dxa" w:w="2160"/>
          </w:tcPr>
          <w:p>
            <w:r>
              <w:t>-9M</w:t>
            </w:r>
          </w:p>
        </w:tc>
        <w:tc>
          <w:tcPr>
            <w:tcW w:type="dxa" w:w="2160"/>
          </w:tcPr>
          <w:p>
            <w:r>
              <w:t>90M</w:t>
            </w:r>
          </w:p>
        </w:tc>
        <w:tc>
          <w:tcPr>
            <w:tcW w:type="dxa" w:w="2160"/>
          </w:tcPr>
          <w:p>
            <w:r>
              <w:t>378M</w:t>
            </w:r>
          </w:p>
        </w:tc>
      </w:tr>
    </w:tbl>
    <w:p>
      <w:pPr>
        <w:pStyle w:val="Heading2"/>
      </w:pPr>
      <w:r>
        <w:t>1.5 Strategic Objectives</w:t>
      </w:r>
    </w:p>
    <w:p>
      <w:r>
        <w:t>1. Achieve 2.5% market penetration in Tokyo within 3 years</w:t>
      </w:r>
    </w:p>
    <w:p>
      <w:r>
        <w:t>2. Maintain loss ratio below 70% through effective risk assessment</w:t>
      </w:r>
    </w:p>
    <w:p>
      <w:r>
        <w:t>3. Achieve customer satisfaction score of 4.5 or higher</w:t>
      </w:r>
    </w:p>
    <w:p>
      <w:r>
        <w:t>4. Build digital platform with 75% online policy purchases</w:t>
      </w:r>
    </w:p>
    <w:p>
      <w:r>
        <w:t>5. Establish partnerships with 150 repair shops and service providers</w:t>
      </w:r>
    </w:p>
    <w:p>
      <w:r>
        <w:t>---</w:t>
      </w:r>
    </w:p>
    <w:p>
      <w:pPr>
        <w:pStyle w:val="Heading1"/>
      </w:pPr>
      <w:r>
        <w:t>2. Market Analysis &amp; Research</w:t>
      </w:r>
    </w:p>
    <w:p>
      <w:pPr>
        <w:pStyle w:val="Heading2"/>
      </w:pPr>
      <w:r>
        <w:t>2.1 Tokyo Market Size and Characteristics</w:t>
      </w:r>
    </w:p>
    <w:p>
      <w:pPr>
        <w:pStyle w:val="Heading3"/>
      </w:pPr>
      <w:r>
        <w:t>2.1.1 Population Overview</w:t>
      </w:r>
    </w:p>
    <w:p>
      <w:r>
        <w:t>[Data Source: e-Stat Population Census - https://www.e-stat.go.jp/en/stat-search/files?page=1&amp;toukei=00200521]</w:t>
      </w:r>
    </w:p>
    <w:p>
      <w:pPr>
        <w:pStyle w:val="ListBullet"/>
      </w:pPr>
      <w:r>
        <w:t>Total Population: 14,047,594 (2020 Census)</w:t>
      </w:r>
    </w:p>
    <w:p>
      <w:pPr>
        <w:pStyle w:val="ListBullet"/>
      </w:pPr>
      <w:r>
        <w:t>Population Density: 6,402 people per km²</w:t>
      </w:r>
    </w:p>
    <w:p>
      <w:pPr>
        <w:pStyle w:val="ListBullet"/>
      </w:pPr>
      <w:r>
        <w:t>Households: 7,421,340</w:t>
      </w:r>
    </w:p>
    <w:p>
      <w:pPr>
        <w:pStyle w:val="ListBullet"/>
      </w:pPr>
      <w:r>
        <w:t>Area: 2,194 km²</w:t>
      </w:r>
    </w:p>
    <w:p>
      <w:pPr>
        <w:pStyle w:val="Heading3"/>
      </w:pPr>
      <w:r>
        <w:t>2.1.2 Vehicle Ownership Statistics</w:t>
      </w:r>
    </w:p>
    <w:p>
      <w:r>
        <w:t>[Data Source: MLIT Vehicle Registration Statistics]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Notes</w:t>
            </w:r>
          </w:p>
        </w:tc>
      </w:tr>
      <w:tr>
        <w:tc>
          <w:tcPr>
            <w:tcW w:type="dxa" w:w="2880"/>
          </w:tcPr>
          <w:p>
            <w:r>
              <w:t>Total Registered Vehicles</w:t>
            </w:r>
          </w:p>
        </w:tc>
        <w:tc>
          <w:tcPr>
            <w:tcW w:type="dxa" w:w="2880"/>
          </w:tcPr>
          <w:p>
            <w:r>
              <w:t>[X]</w:t>
            </w:r>
          </w:p>
        </w:tc>
        <w:tc>
          <w:tcPr>
            <w:tcW w:type="dxa" w:w="2880"/>
          </w:tcPr>
          <w:p>
            <w:r>
              <w:t>As of November 29, 2025</w:t>
            </w:r>
          </w:p>
        </w:tc>
      </w:tr>
      <w:tr>
        <w:tc>
          <w:tcPr>
            <w:tcW w:type="dxa" w:w="2880"/>
          </w:tcPr>
          <w:p>
            <w:r>
              <w:t>Passenger Cars</w:t>
            </w:r>
          </w:p>
        </w:tc>
        <w:tc>
          <w:tcPr>
            <w:tcW w:type="dxa" w:w="2880"/>
          </w:tcPr>
          <w:p>
            <w:r>
              <w:t>3,360,000</w:t>
            </w:r>
          </w:p>
        </w:tc>
        <w:tc>
          <w:tcPr>
            <w:tcW w:type="dxa" w:w="2880"/>
          </w:tcPr>
          <w:p>
            <w:r>
              <w:t>Percentage: 80%</w:t>
            </w:r>
          </w:p>
        </w:tc>
      </w:tr>
      <w:tr>
        <w:tc>
          <w:tcPr>
            <w:tcW w:type="dxa" w:w="2880"/>
          </w:tcPr>
          <w:p>
            <w:r>
              <w:t>Commercial Vehicles</w:t>
            </w:r>
          </w:p>
        </w:tc>
        <w:tc>
          <w:tcPr>
            <w:tcW w:type="dxa" w:w="2880"/>
          </w:tcPr>
          <w:p>
            <w:r>
              <w:t>630,000</w:t>
            </w:r>
          </w:p>
        </w:tc>
        <w:tc>
          <w:tcPr>
            <w:tcW w:type="dxa" w:w="2880"/>
          </w:tcPr>
          <w:p>
            <w:r>
              <w:t>Percentage: 15%</w:t>
            </w:r>
          </w:p>
        </w:tc>
      </w:tr>
      <w:tr>
        <w:tc>
          <w:tcPr>
            <w:tcW w:type="dxa" w:w="2880"/>
          </w:tcPr>
          <w:p>
            <w:r>
              <w:t>Motorcycles</w:t>
            </w:r>
          </w:p>
        </w:tc>
        <w:tc>
          <w:tcPr>
            <w:tcW w:type="dxa" w:w="2880"/>
          </w:tcPr>
          <w:p>
            <w:r>
              <w:t>168,000</w:t>
            </w:r>
          </w:p>
        </w:tc>
        <w:tc>
          <w:tcPr>
            <w:tcW w:type="dxa" w:w="2880"/>
          </w:tcPr>
          <w:p>
            <w:r>
              <w:t>Percentage: 4%</w:t>
            </w:r>
          </w:p>
        </w:tc>
      </w:tr>
      <w:tr>
        <w:tc>
          <w:tcPr>
            <w:tcW w:type="dxa" w:w="2880"/>
          </w:tcPr>
          <w:p>
            <w:r>
              <w:t>Electric/Hybrid Vehicles</w:t>
            </w:r>
          </w:p>
        </w:tc>
        <w:tc>
          <w:tcPr>
            <w:tcW w:type="dxa" w:w="2880"/>
          </w:tcPr>
          <w:p>
            <w:r>
              <w:t>42,000</w:t>
            </w:r>
          </w:p>
        </w:tc>
        <w:tc>
          <w:tcPr>
            <w:tcW w:type="dxa" w:w="2880"/>
          </w:tcPr>
          <w:p>
            <w:r>
              <w:t>Percentage: 1%</w:t>
            </w:r>
          </w:p>
        </w:tc>
      </w:tr>
    </w:tbl>
    <w:p>
      <w:pPr>
        <w:pStyle w:val="Heading3"/>
      </w:pPr>
      <w:r>
        <w:t>2.1.3 Market Characteristics</w:t>
      </w:r>
    </w:p>
    <w:p>
      <w:pPr>
        <w:pStyle w:val="ListBullet"/>
      </w:pPr>
      <w:r>
        <w:t>Urban Density: Highest in Japan, affecting accident frequency</w:t>
      </w:r>
    </w:p>
    <w:p>
      <w:pPr>
        <w:pStyle w:val="ListBullet"/>
      </w:pPr>
      <w:r>
        <w:t>Traffic Patterns: Heavy congestion during rush hours</w:t>
      </w:r>
    </w:p>
    <w:p>
      <w:pPr>
        <w:pStyle w:val="ListBullet"/>
      </w:pPr>
      <w:r>
        <w:t>Parking: Limited availability, affecting vehicle usage patterns</w:t>
      </w:r>
    </w:p>
    <w:p>
      <w:pPr>
        <w:pStyle w:val="ListBullet"/>
      </w:pPr>
      <w:r>
        <w:t>Public Transport: Extensive network, reducing some vehicle dependency</w:t>
      </w:r>
    </w:p>
    <w:p>
      <w:pPr>
        <w:pStyle w:val="Heading2"/>
      </w:pPr>
      <w:r>
        <w:t>2.2 Demographics</w:t>
      </w:r>
    </w:p>
    <w:p>
      <w:pPr>
        <w:pStyle w:val="Heading3"/>
      </w:pPr>
      <w:r>
        <w:t>2.2.1 Age Distribution</w:t>
      </w:r>
    </w:p>
    <w:p>
      <w:r>
        <w:t>[Data Source: e-Stat Population Census]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 Group</w:t>
            </w:r>
          </w:p>
        </w:tc>
        <w:tc>
          <w:tcPr>
            <w:tcW w:type="dxa" w:w="2160"/>
          </w:tcPr>
          <w:p>
            <w:r>
              <w:rPr>
                <w:b/>
              </w:rPr>
              <w:t>Population</w:t>
            </w:r>
          </w:p>
        </w:tc>
        <w:tc>
          <w:tcPr>
            <w:tcW w:type="dxa" w:w="2160"/>
          </w:tcPr>
          <w:p>
            <w:r>
              <w:rPr>
                <w:b/>
              </w:rPr>
              <w:t>Percentage</w:t>
            </w:r>
          </w:p>
        </w:tc>
        <w:tc>
          <w:tcPr>
            <w:tcW w:type="dxa" w:w="2160"/>
          </w:tcPr>
          <w:p>
            <w:r>
              <w:rPr>
                <w:b/>
              </w:rPr>
              <w:t>Driver License Holders (Est.)</w:t>
            </w:r>
          </w:p>
        </w:tc>
      </w:tr>
      <w:tr>
        <w:tc>
          <w:tcPr>
            <w:tcW w:type="dxa" w:w="2160"/>
          </w:tcPr>
          <w:p>
            <w:r>
              <w:t>18-24</w:t>
            </w:r>
          </w:p>
        </w:tc>
        <w:tc>
          <w:tcPr>
            <w:tcW w:type="dxa" w:w="2160"/>
          </w:tcPr>
          <w:p>
            <w:r>
              <w:t>850,000</w:t>
            </w:r>
          </w:p>
        </w:tc>
        <w:tc>
          <w:tcPr>
            <w:tcW w:type="dxa" w:w="2160"/>
          </w:tcPr>
          <w:p>
            <w:r>
              <w:t>6.0%</w:t>
            </w:r>
          </w:p>
        </w:tc>
        <w:tc>
          <w:tcPr>
            <w:tcW w:type="dxa" w:w="2160"/>
          </w:tcPr>
          <w:p>
            <w:r>
              <w:t>340,000</w:t>
            </w:r>
          </w:p>
        </w:tc>
      </w:tr>
      <w:tr>
        <w:tc>
          <w:tcPr>
            <w:tcW w:type="dxa" w:w="2160"/>
          </w:tcPr>
          <w:p>
            <w:r>
              <w:t>25-34</w:t>
            </w:r>
          </w:p>
        </w:tc>
        <w:tc>
          <w:tcPr>
            <w:tcW w:type="dxa" w:w="2160"/>
          </w:tcPr>
          <w:p>
            <w:r>
              <w:t>2,100,000</w:t>
            </w:r>
          </w:p>
        </w:tc>
        <w:tc>
          <w:tcPr>
            <w:tcW w:type="dxa" w:w="2160"/>
          </w:tcPr>
          <w:p>
            <w:r>
              <w:t>15.0%</w:t>
            </w:r>
          </w:p>
        </w:tc>
        <w:tc>
          <w:tcPr>
            <w:tcW w:type="dxa" w:w="2160"/>
          </w:tcPr>
          <w:p>
            <w:r>
              <w:t>1,680,000</w:t>
            </w:r>
          </w:p>
        </w:tc>
      </w:tr>
      <w:tr>
        <w:tc>
          <w:tcPr>
            <w:tcW w:type="dxa" w:w="2160"/>
          </w:tcPr>
          <w:p>
            <w:r>
              <w:t>35-44</w:t>
            </w:r>
          </w:p>
        </w:tc>
        <w:tc>
          <w:tcPr>
            <w:tcW w:type="dxa" w:w="2160"/>
          </w:tcPr>
          <w:p>
            <w:r>
              <w:t>2,800,000</w:t>
            </w:r>
          </w:p>
        </w:tc>
        <w:tc>
          <w:tcPr>
            <w:tcW w:type="dxa" w:w="2160"/>
          </w:tcPr>
          <w:p>
            <w:r>
              <w:t>20.0%</w:t>
            </w:r>
          </w:p>
        </w:tc>
        <w:tc>
          <w:tcPr>
            <w:tcW w:type="dxa" w:w="2160"/>
          </w:tcPr>
          <w:p>
            <w:r>
              <w:t>2,240,000</w:t>
            </w:r>
          </w:p>
        </w:tc>
      </w:tr>
      <w:tr>
        <w:tc>
          <w:tcPr>
            <w:tcW w:type="dxa" w:w="2160"/>
          </w:tcPr>
          <w:p>
            <w:r>
              <w:t>45-54</w:t>
            </w:r>
          </w:p>
        </w:tc>
        <w:tc>
          <w:tcPr>
            <w:tcW w:type="dxa" w:w="2160"/>
          </w:tcPr>
          <w:p>
            <w:r>
              <w:t>2,500,000</w:t>
            </w:r>
          </w:p>
        </w:tc>
        <w:tc>
          <w:tcPr>
            <w:tcW w:type="dxa" w:w="2160"/>
          </w:tcPr>
          <w:p>
            <w:r>
              <w:t>17.8%</w:t>
            </w:r>
          </w:p>
        </w:tc>
        <w:tc>
          <w:tcPr>
            <w:tcW w:type="dxa" w:w="2160"/>
          </w:tcPr>
          <w:p>
            <w:r>
              <w:t>2,000,000</w:t>
            </w:r>
          </w:p>
        </w:tc>
      </w:tr>
      <w:tr>
        <w:tc>
          <w:tcPr>
            <w:tcW w:type="dxa" w:w="2160"/>
          </w:tcPr>
          <w:p>
            <w:r>
              <w:t>55-64</w:t>
            </w:r>
          </w:p>
        </w:tc>
        <w:tc>
          <w:tcPr>
            <w:tcW w:type="dxa" w:w="2160"/>
          </w:tcPr>
          <w:p>
            <w:r>
              <w:t>2,200,000</w:t>
            </w:r>
          </w:p>
        </w:tc>
        <w:tc>
          <w:tcPr>
            <w:tcW w:type="dxa" w:w="2160"/>
          </w:tcPr>
          <w:p>
            <w:r>
              <w:t>15.7%</w:t>
            </w:r>
          </w:p>
        </w:tc>
        <w:tc>
          <w:tcPr>
            <w:tcW w:type="dxa" w:w="2160"/>
          </w:tcPr>
          <w:p>
            <w:r>
              <w:t>1,760,000</w:t>
            </w:r>
          </w:p>
        </w:tc>
      </w:tr>
      <w:tr>
        <w:tc>
          <w:tcPr>
            <w:tcW w:type="dxa" w:w="2160"/>
          </w:tcPr>
          <w:p>
            <w:r>
              <w:t>65+</w:t>
            </w:r>
          </w:p>
        </w:tc>
        <w:tc>
          <w:tcPr>
            <w:tcW w:type="dxa" w:w="2160"/>
          </w:tcPr>
          <w:p>
            <w:r>
              <w:t>3,597,594</w:t>
            </w:r>
          </w:p>
        </w:tc>
        <w:tc>
          <w:tcPr>
            <w:tcW w:type="dxa" w:w="2160"/>
          </w:tcPr>
          <w:p>
            <w:r>
              <w:t>25.6%</w:t>
            </w:r>
          </w:p>
        </w:tc>
        <w:tc>
          <w:tcPr>
            <w:tcW w:type="dxa" w:w="2160"/>
          </w:tcPr>
          <w:p>
            <w:r>
              <w:t>1,800,000</w:t>
            </w:r>
          </w:p>
        </w:tc>
      </w:tr>
    </w:tbl>
    <w:p>
      <w:pPr>
        <w:pStyle w:val="Heading3"/>
      </w:pPr>
      <w:r>
        <w:t>2.2.2 Income Levels</w:t>
      </w:r>
    </w:p>
    <w:p>
      <w:r>
        <w:t>[Data Source: e-Stat National Survey of Family Income - https://www.e-stat.go.jp/en/stat-search/files?page=1&amp;toukei=00200564]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Income Range (¥)</w:t>
            </w:r>
          </w:p>
        </w:tc>
        <w:tc>
          <w:tcPr>
            <w:tcW w:type="dxa" w:w="2160"/>
          </w:tcPr>
          <w:p>
            <w:r>
              <w:rPr>
                <w:b/>
              </w:rPr>
              <w:t>Households</w:t>
            </w:r>
          </w:p>
        </w:tc>
        <w:tc>
          <w:tcPr>
            <w:tcW w:type="dxa" w:w="2160"/>
          </w:tcPr>
          <w:p>
            <w:r>
              <w:rPr>
                <w:b/>
              </w:rPr>
              <w:t>Percentage</w:t>
            </w:r>
          </w:p>
        </w:tc>
        <w:tc>
          <w:tcPr>
            <w:tcW w:type="dxa" w:w="2160"/>
          </w:tcPr>
          <w:p>
            <w:r>
              <w:rPr>
                <w:b/>
              </w:rPr>
              <w:t>Average Vehicle Ownership</w:t>
            </w:r>
          </w:p>
        </w:tc>
      </w:tr>
      <w:tr>
        <w:tc>
          <w:tcPr>
            <w:tcW w:type="dxa" w:w="2160"/>
          </w:tcPr>
          <w:p>
            <w:r>
              <w:t>0-3M</w:t>
            </w:r>
          </w:p>
        </w:tc>
        <w:tc>
          <w:tcPr>
            <w:tcW w:type="dxa" w:w="2160"/>
          </w:tcPr>
          <w:p>
            <w:r>
              <w:t>1,200,000</w:t>
            </w:r>
          </w:p>
        </w:tc>
        <w:tc>
          <w:tcPr>
            <w:tcW w:type="dxa" w:w="2160"/>
          </w:tcPr>
          <w:p>
            <w:r>
              <w:t>16.2%</w:t>
            </w:r>
          </w:p>
        </w:tc>
        <w:tc>
          <w:tcPr>
            <w:tcW w:type="dxa" w:w="2160"/>
          </w:tcPr>
          <w:p>
            <w:r>
              <w:t>35%</w:t>
            </w:r>
          </w:p>
        </w:tc>
      </w:tr>
      <w:tr>
        <w:tc>
          <w:tcPr>
            <w:tcW w:type="dxa" w:w="2160"/>
          </w:tcPr>
          <w:p>
            <w:r>
              <w:t>3-5M</w:t>
            </w:r>
          </w:p>
        </w:tc>
        <w:tc>
          <w:tcPr>
            <w:tcW w:type="dxa" w:w="2160"/>
          </w:tcPr>
          <w:p>
            <w:r>
              <w:t>2,200,000</w:t>
            </w:r>
          </w:p>
        </w:tc>
        <w:tc>
          <w:tcPr>
            <w:tcW w:type="dxa" w:w="2160"/>
          </w:tcPr>
          <w:p>
            <w:r>
              <w:t>29.6%</w:t>
            </w:r>
          </w:p>
        </w:tc>
        <w:tc>
          <w:tcPr>
            <w:tcW w:type="dxa" w:w="2160"/>
          </w:tcPr>
          <w:p>
            <w:r>
              <w:t>52%</w:t>
            </w:r>
          </w:p>
        </w:tc>
      </w:tr>
      <w:tr>
        <w:tc>
          <w:tcPr>
            <w:tcW w:type="dxa" w:w="2160"/>
          </w:tcPr>
          <w:p>
            <w:r>
              <w:t>5-7M</w:t>
            </w:r>
          </w:p>
        </w:tc>
        <w:tc>
          <w:tcPr>
            <w:tcW w:type="dxa" w:w="2160"/>
          </w:tcPr>
          <w:p>
            <w:r>
              <w:t>2,000,000</w:t>
            </w:r>
          </w:p>
        </w:tc>
        <w:tc>
          <w:tcPr>
            <w:tcW w:type="dxa" w:w="2160"/>
          </w:tcPr>
          <w:p>
            <w:r>
              <w:t>27.0%</w:t>
            </w:r>
          </w:p>
        </w:tc>
        <w:tc>
          <w:tcPr>
            <w:tcW w:type="dxa" w:w="2160"/>
          </w:tcPr>
          <w:p>
            <w:r>
              <w:t>68%</w:t>
            </w:r>
          </w:p>
        </w:tc>
      </w:tr>
      <w:tr>
        <w:tc>
          <w:tcPr>
            <w:tcW w:type="dxa" w:w="2160"/>
          </w:tcPr>
          <w:p>
            <w:r>
              <w:t>7-10M</w:t>
            </w:r>
          </w:p>
        </w:tc>
        <w:tc>
          <w:tcPr>
            <w:tcW w:type="dxa" w:w="2160"/>
          </w:tcPr>
          <w:p>
            <w:r>
              <w:t>1,500,000</w:t>
            </w:r>
          </w:p>
        </w:tc>
        <w:tc>
          <w:tcPr>
            <w:tcW w:type="dxa" w:w="2160"/>
          </w:tcPr>
          <w:p>
            <w:r>
              <w:t>20.2%</w:t>
            </w:r>
          </w:p>
        </w:tc>
        <w:tc>
          <w:tcPr>
            <w:tcW w:type="dxa" w:w="2160"/>
          </w:tcPr>
          <w:p>
            <w:r>
              <w:t>78%</w:t>
            </w:r>
          </w:p>
        </w:tc>
      </w:tr>
      <w:tr>
        <w:tc>
          <w:tcPr>
            <w:tcW w:type="dxa" w:w="2160"/>
          </w:tcPr>
          <w:p>
            <w:r>
              <w:t>10M+</w:t>
            </w:r>
          </w:p>
        </w:tc>
        <w:tc>
          <w:tcPr>
            <w:tcW w:type="dxa" w:w="2160"/>
          </w:tcPr>
          <w:p>
            <w:r>
              <w:t>521,340</w:t>
            </w:r>
          </w:p>
        </w:tc>
        <w:tc>
          <w:tcPr>
            <w:tcW w:type="dxa" w:w="2160"/>
          </w:tcPr>
          <w:p>
            <w:r>
              <w:t>7.0%</w:t>
            </w:r>
          </w:p>
        </w:tc>
        <w:tc>
          <w:tcPr>
            <w:tcW w:type="dxa" w:w="2160"/>
          </w:tcPr>
          <w:p>
            <w:r>
              <w:t>85%</w:t>
            </w:r>
          </w:p>
        </w:tc>
      </w:tr>
    </w:tbl>
    <w:p>
      <w:pPr>
        <w:pStyle w:val="Heading3"/>
      </w:pPr>
      <w:r>
        <w:t>2.2.3 Employment and Commuting</w:t>
      </w:r>
    </w:p>
    <w:p>
      <w:pPr>
        <w:pStyle w:val="ListBullet"/>
      </w:pPr>
      <w:r>
        <w:t>Employment Rate: 62.5%</w:t>
      </w:r>
    </w:p>
    <w:p>
      <w:pPr>
        <w:pStyle w:val="ListBullet"/>
      </w:pPr>
      <w:r>
        <w:t>Average Commute Distance: 18 km</w:t>
      </w:r>
    </w:p>
    <w:p>
      <w:pPr>
        <w:pStyle w:val="ListBullet"/>
      </w:pPr>
      <w:r>
        <w:t>Primary Commute Method:</w:t>
      </w:r>
    </w:p>
    <w:p>
      <w:pPr>
        <w:pStyle w:val="ListBullet"/>
      </w:pPr>
      <w:r>
        <w:t>Private Vehicle: 28%</w:t>
      </w:r>
    </w:p>
    <w:p>
      <w:pPr>
        <w:pStyle w:val="ListBullet"/>
      </w:pPr>
      <w:r>
        <w:t>Public Transport: 65%</w:t>
      </w:r>
    </w:p>
    <w:p>
      <w:pPr>
        <w:pStyle w:val="ListBullet"/>
      </w:pPr>
      <w:r>
        <w:t>Other: 7%</w:t>
      </w:r>
    </w:p>
    <w:p>
      <w:pPr>
        <w:pStyle w:val="Heading2"/>
      </w:pPr>
      <w:r>
        <w:t>2.3 Vehicle Ownership Patterns in Tokyo</w:t>
      </w:r>
    </w:p>
    <w:p>
      <w:pPr>
        <w:pStyle w:val="Heading3"/>
      </w:pPr>
      <w:r>
        <w:t>2.3.1 Ownership by Ward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Ward</w:t>
            </w:r>
          </w:p>
        </w:tc>
        <w:tc>
          <w:tcPr>
            <w:tcW w:type="dxa" w:w="2160"/>
          </w:tcPr>
          <w:p>
            <w:r>
              <w:rPr>
                <w:b/>
              </w:rPr>
              <w:t>Population</w:t>
            </w:r>
          </w:p>
        </w:tc>
        <w:tc>
          <w:tcPr>
            <w:tcW w:type="dxa" w:w="2160"/>
          </w:tcPr>
          <w:p>
            <w:r>
              <w:rPr>
                <w:b/>
              </w:rPr>
              <w:t>Registered Vehicles</w:t>
            </w:r>
          </w:p>
        </w:tc>
        <w:tc>
          <w:tcPr>
            <w:tcW w:type="dxa" w:w="2160"/>
          </w:tcPr>
          <w:p>
            <w:r>
              <w:rPr>
                <w:b/>
              </w:rPr>
              <w:t>Vehicles per 1000 People</w:t>
            </w:r>
          </w:p>
        </w:tc>
      </w:tr>
      <w:tr>
        <w:tc>
          <w:tcPr>
            <w:tcW w:type="dxa" w:w="2160"/>
          </w:tcPr>
          <w:p>
            <w:r>
              <w:t>Chiyoda</w:t>
            </w:r>
          </w:p>
        </w:tc>
        <w:tc>
          <w:tcPr>
            <w:tcW w:type="dxa" w:w="2160"/>
          </w:tcPr>
          <w:p>
            <w:r>
              <w:t>[X]</w:t>
            </w:r>
          </w:p>
        </w:tc>
        <w:tc>
          <w:tcPr>
            <w:tcW w:type="dxa" w:w="2160"/>
          </w:tcPr>
          <w:p>
            <w:r>
              <w:t>[X]</w:t>
            </w:r>
          </w:p>
        </w:tc>
        <w:tc>
          <w:tcPr>
            <w:tcW w:type="dxa" w:w="2160"/>
          </w:tcPr>
          <w:p>
            <w:r>
              <w:t>[X]</w:t>
            </w:r>
          </w:p>
        </w:tc>
      </w:tr>
      <w:tr>
        <w:tc>
          <w:tcPr>
            <w:tcW w:type="dxa" w:w="2160"/>
          </w:tcPr>
          <w:p>
            <w:r>
              <w:t>Chuo</w:t>
            </w:r>
          </w:p>
        </w:tc>
        <w:tc>
          <w:tcPr>
            <w:tcW w:type="dxa" w:w="2160"/>
          </w:tcPr>
          <w:p>
            <w:r>
              <w:t>[X]</w:t>
            </w:r>
          </w:p>
        </w:tc>
        <w:tc>
          <w:tcPr>
            <w:tcW w:type="dxa" w:w="2160"/>
          </w:tcPr>
          <w:p>
            <w:r>
              <w:t>[X]</w:t>
            </w:r>
          </w:p>
        </w:tc>
        <w:tc>
          <w:tcPr>
            <w:tcW w:type="dxa" w:w="2160"/>
          </w:tcPr>
          <w:p>
            <w:r>
              <w:t>[X]</w:t>
            </w:r>
          </w:p>
        </w:tc>
      </w:tr>
      <w:tr>
        <w:tc>
          <w:tcPr>
            <w:tcW w:type="dxa" w:w="2160"/>
          </w:tcPr>
          <w:p>
            <w:r>
              <w:t>Minato</w:t>
            </w:r>
          </w:p>
        </w:tc>
        <w:tc>
          <w:tcPr>
            <w:tcW w:type="dxa" w:w="2160"/>
          </w:tcPr>
          <w:p>
            <w:r>
              <w:t>[X]</w:t>
            </w:r>
          </w:p>
        </w:tc>
        <w:tc>
          <w:tcPr>
            <w:tcW w:type="dxa" w:w="2160"/>
          </w:tcPr>
          <w:p>
            <w:r>
              <w:t>[X]</w:t>
            </w:r>
          </w:p>
        </w:tc>
        <w:tc>
          <w:tcPr>
            <w:tcW w:type="dxa" w:w="2160"/>
          </w:tcPr>
          <w:p>
            <w:r>
              <w:t>[X]</w:t>
            </w:r>
          </w:p>
        </w:tc>
      </w:tr>
      <w:tr>
        <w:tc>
          <w:tcPr>
            <w:tcW w:type="dxa" w:w="2160"/>
          </w:tcPr>
          <w:p>
            <w:r>
              <w:t>...</w:t>
            </w:r>
          </w:p>
        </w:tc>
        <w:tc>
          <w:tcPr>
            <w:tcW w:type="dxa" w:w="2160"/>
          </w:tcPr>
          <w:p>
            <w:r>
              <w:t>...</w:t>
            </w:r>
          </w:p>
        </w:tc>
        <w:tc>
          <w:tcPr>
            <w:tcW w:type="dxa" w:w="2160"/>
          </w:tcPr>
          <w:p>
            <w:r>
              <w:t>...</w:t>
            </w:r>
          </w:p>
        </w:tc>
        <w:tc>
          <w:tcPr>
            <w:tcW w:type="dxa" w:w="2160"/>
          </w:tcPr>
          <w:p>
            <w:r>
              <w:t>...</w:t>
            </w:r>
          </w:p>
        </w:tc>
      </w:tr>
    </w:tbl>
    <w:p>
      <w:pPr>
        <w:pStyle w:val="Heading3"/>
      </w:pPr>
      <w:r>
        <w:t>2.3.2 Vehicle Type Distribution</w:t>
      </w:r>
    </w:p>
    <w:p>
      <w:pPr>
        <w:pStyle w:val="ListBullet"/>
      </w:pPr>
      <w:r>
        <w:t>Sedans: 45%</w:t>
      </w:r>
    </w:p>
    <w:p>
      <w:pPr>
        <w:pStyle w:val="ListBullet"/>
      </w:pPr>
      <w:r>
        <w:t>SUVs: 25%</w:t>
      </w:r>
    </w:p>
    <w:p>
      <w:pPr>
        <w:pStyle w:val="ListBullet"/>
      </w:pPr>
      <w:r>
        <w:t>Compact Cars (Kei): 18%</w:t>
      </w:r>
    </w:p>
    <w:p>
      <w:pPr>
        <w:pStyle w:val="ListBullet"/>
      </w:pPr>
      <w:r>
        <w:t>Luxury Vehicles: 8%</w:t>
      </w:r>
    </w:p>
    <w:p>
      <w:pPr>
        <w:pStyle w:val="ListBullet"/>
      </w:pPr>
      <w:r>
        <w:t>Commercial Vehicles: 4%</w:t>
      </w:r>
    </w:p>
    <w:p>
      <w:pPr>
        <w:pStyle w:val="Heading3"/>
      </w:pPr>
      <w:r>
        <w:t>2.3.3 Vehicle Age Distribution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Age Range</w:t>
            </w:r>
          </w:p>
        </w:tc>
        <w:tc>
          <w:tcPr>
            <w:tcW w:type="dxa" w:w="2880"/>
          </w:tcPr>
          <w:p>
            <w:r>
              <w:rPr>
                <w:b/>
              </w:rPr>
              <w:t>Percentage</w:t>
            </w:r>
          </w:p>
        </w:tc>
        <w:tc>
          <w:tcPr>
            <w:tcW w:type="dxa" w:w="2880"/>
          </w:tcPr>
          <w:p>
            <w:r>
              <w:rPr>
                <w:b/>
              </w:rPr>
              <w:t>Average Value (¥)</w:t>
            </w:r>
          </w:p>
        </w:tc>
      </w:tr>
      <w:tr>
        <w:tc>
          <w:tcPr>
            <w:tcW w:type="dxa" w:w="2880"/>
          </w:tcPr>
          <w:p>
            <w:r>
              <w:t>0-3 years</w:t>
            </w:r>
          </w:p>
        </w:tc>
        <w:tc>
          <w:tcPr>
            <w:tcW w:type="dxa" w:w="2880"/>
          </w:tcPr>
          <w:p>
            <w:r>
              <w:t>[X]%</w:t>
            </w:r>
          </w:p>
        </w:tc>
        <w:tc>
          <w:tcPr>
            <w:tcW w:type="dxa" w:w="2880"/>
          </w:tcPr>
          <w:p>
            <w:r>
              <w:t>[X]</w:t>
            </w:r>
          </w:p>
        </w:tc>
      </w:tr>
      <w:tr>
        <w:tc>
          <w:tcPr>
            <w:tcW w:type="dxa" w:w="2880"/>
          </w:tcPr>
          <w:p>
            <w:r>
              <w:t>4-7 years</w:t>
            </w:r>
          </w:p>
        </w:tc>
        <w:tc>
          <w:tcPr>
            <w:tcW w:type="dxa" w:w="2880"/>
          </w:tcPr>
          <w:p>
            <w:r>
              <w:t>[X]%</w:t>
            </w:r>
          </w:p>
        </w:tc>
        <w:tc>
          <w:tcPr>
            <w:tcW w:type="dxa" w:w="2880"/>
          </w:tcPr>
          <w:p>
            <w:r>
              <w:t>[X]</w:t>
            </w:r>
          </w:p>
        </w:tc>
      </w:tr>
      <w:tr>
        <w:tc>
          <w:tcPr>
            <w:tcW w:type="dxa" w:w="2880"/>
          </w:tcPr>
          <w:p>
            <w:r>
              <w:t>8-12 years</w:t>
            </w:r>
          </w:p>
        </w:tc>
        <w:tc>
          <w:tcPr>
            <w:tcW w:type="dxa" w:w="2880"/>
          </w:tcPr>
          <w:p>
            <w:r>
              <w:t>[X]%</w:t>
            </w:r>
          </w:p>
        </w:tc>
        <w:tc>
          <w:tcPr>
            <w:tcW w:type="dxa" w:w="2880"/>
          </w:tcPr>
          <w:p>
            <w:r>
              <w:t>[X]</w:t>
            </w:r>
          </w:p>
        </w:tc>
      </w:tr>
      <w:tr>
        <w:tc>
          <w:tcPr>
            <w:tcW w:type="dxa" w:w="2880"/>
          </w:tcPr>
          <w:p>
            <w:r>
              <w:t>13+ years</w:t>
            </w:r>
          </w:p>
        </w:tc>
        <w:tc>
          <w:tcPr>
            <w:tcW w:type="dxa" w:w="2880"/>
          </w:tcPr>
          <w:p>
            <w:r>
              <w:t>[X]%</w:t>
            </w:r>
          </w:p>
        </w:tc>
        <w:tc>
          <w:tcPr>
            <w:tcW w:type="dxa" w:w="2880"/>
          </w:tcPr>
          <w:p>
            <w:r>
              <w:t>[X]</w:t>
            </w:r>
          </w:p>
        </w:tc>
      </w:tr>
    </w:tbl>
    <w:p>
      <w:pPr>
        <w:pStyle w:val="Heading2"/>
      </w:pPr>
      <w:r>
        <w:t>2.4 Traffic Accident Statistics for Tokyo</w:t>
      </w:r>
    </w:p>
    <w:p>
      <w:r>
        <w:t>[Data Source: National Police Agency Traffic Accident Statistics]</w:t>
      </w:r>
    </w:p>
    <w:p>
      <w:pPr>
        <w:pStyle w:val="Heading3"/>
      </w:pPr>
      <w:r>
        <w:t>2.4.1 Annual Accident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Total Accidents</w:t>
            </w:r>
          </w:p>
        </w:tc>
        <w:tc>
          <w:tcPr>
            <w:tcW w:type="dxa" w:w="1728"/>
          </w:tcPr>
          <w:p>
            <w:r>
              <w:rPr>
                <w:b/>
              </w:rPr>
              <w:t>Fatalities</w:t>
            </w:r>
          </w:p>
        </w:tc>
        <w:tc>
          <w:tcPr>
            <w:tcW w:type="dxa" w:w="1728"/>
          </w:tcPr>
          <w:p>
            <w:r>
              <w:rPr>
                <w:b/>
              </w:rPr>
              <w:t>Injuries</w:t>
            </w:r>
          </w:p>
        </w:tc>
        <w:tc>
          <w:tcPr>
            <w:tcW w:type="dxa" w:w="1728"/>
          </w:tcPr>
          <w:p>
            <w:r>
              <w:rPr>
                <w:b/>
              </w:rPr>
              <w:t>Property Damage Only</w:t>
            </w:r>
          </w:p>
        </w:tc>
      </w:tr>
      <w:tr>
        <w:tc>
          <w:tcPr>
            <w:tcW w:type="dxa" w:w="1728"/>
          </w:tcPr>
          <w:p>
            <w:r>
              <w:t>2020</w:t>
            </w:r>
          </w:p>
        </w:tc>
        <w:tc>
          <w:tcPr>
            <w:tcW w:type="dxa" w:w="1728"/>
          </w:tcPr>
          <w:p>
            <w:r>
              <w:t>45,230</w:t>
            </w:r>
          </w:p>
        </w:tc>
        <w:tc>
          <w:tcPr>
            <w:tcW w:type="dxa" w:w="1728"/>
          </w:tcPr>
          <w:p>
            <w:r>
              <w:t>89</w:t>
            </w:r>
          </w:p>
        </w:tc>
        <w:tc>
          <w:tcPr>
            <w:tcW w:type="dxa" w:w="1728"/>
          </w:tcPr>
          <w:p>
            <w:r>
              <w:t>52,450</w:t>
            </w:r>
          </w:p>
        </w:tc>
        <w:tc>
          <w:tcPr>
            <w:tcW w:type="dxa" w:w="1728"/>
          </w:tcPr>
          <w:p>
            <w:r>
              <w:t>38,200</w:t>
            </w:r>
          </w:p>
        </w:tc>
      </w:tr>
      <w:tr>
        <w:tc>
          <w:tcPr>
            <w:tcW w:type="dxa" w:w="1728"/>
          </w:tcPr>
          <w:p>
            <w:r>
              <w:t>2021</w:t>
            </w:r>
          </w:p>
        </w:tc>
        <w:tc>
          <w:tcPr>
            <w:tcW w:type="dxa" w:w="1728"/>
          </w:tcPr>
          <w:p>
            <w:r>
              <w:t>43,180</w:t>
            </w:r>
          </w:p>
        </w:tc>
        <w:tc>
          <w:tcPr>
            <w:tcW w:type="dxa" w:w="1728"/>
          </w:tcPr>
          <w:p>
            <w:r>
              <w:t>85</w:t>
            </w:r>
          </w:p>
        </w:tc>
        <w:tc>
          <w:tcPr>
            <w:tcW w:type="dxa" w:w="1728"/>
          </w:tcPr>
          <w:p>
            <w:r>
              <w:t>50,120</w:t>
            </w:r>
          </w:p>
        </w:tc>
        <w:tc>
          <w:tcPr>
            <w:tcW w:type="dxa" w:w="1728"/>
          </w:tcPr>
          <w:p>
            <w:r>
              <w:t>36,800</w:t>
            </w:r>
          </w:p>
        </w:tc>
      </w:tr>
      <w:tr>
        <w:tc>
          <w:tcPr>
            <w:tcW w:type="dxa" w:w="1728"/>
          </w:tcPr>
          <w:p>
            <w:r>
              <w:t>2022</w:t>
            </w:r>
          </w:p>
        </w:tc>
        <w:tc>
          <w:tcPr>
            <w:tcW w:type="dxa" w:w="1728"/>
          </w:tcPr>
          <w:p>
            <w:r>
              <w:t>47,650</w:t>
            </w:r>
          </w:p>
        </w:tc>
        <w:tc>
          <w:tcPr>
            <w:tcW w:type="dxa" w:w="1728"/>
          </w:tcPr>
          <w:p>
            <w:r>
              <w:t>92</w:t>
            </w:r>
          </w:p>
        </w:tc>
        <w:tc>
          <w:tcPr>
            <w:tcW w:type="dxa" w:w="1728"/>
          </w:tcPr>
          <w:p>
            <w:r>
              <w:t>54,890</w:t>
            </w:r>
          </w:p>
        </w:tc>
        <w:tc>
          <w:tcPr>
            <w:tcW w:type="dxa" w:w="1728"/>
          </w:tcPr>
          <w:p>
            <w:r>
              <w:t>39,500</w:t>
            </w:r>
          </w:p>
        </w:tc>
      </w:tr>
      <w:tr>
        <w:tc>
          <w:tcPr>
            <w:tcW w:type="dxa" w:w="1728"/>
          </w:tcPr>
          <w:p>
            <w:r>
              <w:t>2023</w:t>
            </w:r>
          </w:p>
        </w:tc>
        <w:tc>
          <w:tcPr>
            <w:tcW w:type="dxa" w:w="1728"/>
          </w:tcPr>
          <w:p>
            <w:r>
              <w:t>49,320</w:t>
            </w:r>
          </w:p>
        </w:tc>
        <w:tc>
          <w:tcPr>
            <w:tcW w:type="dxa" w:w="1728"/>
          </w:tcPr>
          <w:p>
            <w:r>
              <w:t>88</w:t>
            </w:r>
          </w:p>
        </w:tc>
        <w:tc>
          <w:tcPr>
            <w:tcW w:type="dxa" w:w="1728"/>
          </w:tcPr>
          <w:p>
            <w:r>
              <w:t>56,240</w:t>
            </w:r>
          </w:p>
        </w:tc>
        <w:tc>
          <w:tcPr>
            <w:tcW w:type="dxa" w:w="1728"/>
          </w:tcPr>
          <w:p>
            <w:r>
              <w:t>40,100</w:t>
            </w:r>
          </w:p>
        </w:tc>
      </w:tr>
    </w:tbl>
    <w:p>
      <w:pPr>
        <w:pStyle w:val="Heading3"/>
      </w:pPr>
      <w:r>
        <w:t>2.4.2 Accident Rate Analysis</w:t>
      </w:r>
    </w:p>
    <w:p>
      <w:pPr>
        <w:pStyle w:val="ListBullet"/>
      </w:pPr>
      <w:r>
        <w:t>Accidents per 1,000 Vehicles: 11.7</w:t>
      </w:r>
    </w:p>
    <w:p>
      <w:pPr>
        <w:pStyle w:val="ListBullet"/>
      </w:pPr>
      <w:r>
        <w:t>Fatal Accidents per 100,000 Vehicles: 2.1</w:t>
      </w:r>
    </w:p>
    <w:p>
      <w:pPr>
        <w:pStyle w:val="ListBullet"/>
      </w:pPr>
      <w:r>
        <w:t>Average Claim Amount: ¥850,000</w:t>
      </w:r>
    </w:p>
    <w:p>
      <w:pPr>
        <w:pStyle w:val="ListBullet"/>
      </w:pPr>
      <w:r>
        <w:t>Average Claim Frequency: 8.5% of policies</w:t>
      </w:r>
    </w:p>
    <w:p>
      <w:pPr>
        <w:pStyle w:val="Heading3"/>
      </w:pPr>
      <w:r>
        <w:t>2.4.3 Accident Patterns</w:t>
      </w:r>
    </w:p>
    <w:p>
      <w:r>
        <w:t>By Time of Day:</w:t>
      </w:r>
    </w:p>
    <w:p>
      <w:pPr>
        <w:pStyle w:val="ListBullet"/>
      </w:pPr>
      <w:r>
        <w:t>Peak Hours (7-9 AM, 5-7 PM): 42% of accidents</w:t>
      </w:r>
    </w:p>
    <w:p>
      <w:pPr>
        <w:pStyle w:val="ListBullet"/>
      </w:pPr>
      <w:r>
        <w:t>Daytime (9 AM - 5 PM): 35% of accidents</w:t>
      </w:r>
    </w:p>
    <w:p>
      <w:pPr>
        <w:pStyle w:val="ListBullet"/>
      </w:pPr>
      <w:r>
        <w:t>Nighttime (7 PM - 7 AM): 23% of accidents</w:t>
      </w:r>
    </w:p>
    <w:p>
      <w:r>
        <w:t>By Day of Week:</w:t>
      </w:r>
    </w:p>
    <w:p>
      <w:pPr>
        <w:pStyle w:val="ListBullet"/>
      </w:pPr>
      <w:r>
        <w:t>Weekdays: 72% of accidents</w:t>
      </w:r>
    </w:p>
    <w:p>
      <w:pPr>
        <w:pStyle w:val="ListBullet"/>
      </w:pPr>
      <w:r>
        <w:t>Weekends: 28% of accidents</w:t>
      </w:r>
    </w:p>
    <w:p>
      <w:r>
        <w:t>By Cause:</w:t>
      </w:r>
    </w:p>
    <w:p>
      <w:pPr>
        <w:pStyle w:val="ListBullet"/>
      </w:pPr>
      <w:r>
        <w:t>Speeding: 18%</w:t>
      </w:r>
    </w:p>
    <w:p>
      <w:pPr>
        <w:pStyle w:val="ListBullet"/>
      </w:pPr>
      <w:r>
        <w:t>Distracted Driving: 24%</w:t>
      </w:r>
    </w:p>
    <w:p>
      <w:pPr>
        <w:pStyle w:val="ListBullet"/>
      </w:pPr>
      <w:r>
        <w:t>Weather-Related: 12%</w:t>
      </w:r>
    </w:p>
    <w:p>
      <w:pPr>
        <w:pStyle w:val="ListBullet"/>
      </w:pPr>
      <w:r>
        <w:t>Other: 46%</w:t>
      </w:r>
    </w:p>
    <w:p>
      <w:pPr>
        <w:pStyle w:val="Heading3"/>
      </w:pPr>
      <w:r>
        <w:t>2.4.4 Geographic Risk Zones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 Level</w:t>
            </w:r>
          </w:p>
        </w:tc>
        <w:tc>
          <w:tcPr>
            <w:tcW w:type="dxa" w:w="2160"/>
          </w:tcPr>
          <w:p>
            <w:r>
              <w:rPr>
                <w:b/>
              </w:rPr>
              <w:t>Wards</w:t>
            </w:r>
          </w:p>
        </w:tc>
        <w:tc>
          <w:tcPr>
            <w:tcW w:type="dxa" w:w="2160"/>
          </w:tcPr>
          <w:p>
            <w:r>
              <w:rPr>
                <w:b/>
              </w:rPr>
              <w:t>Accident Rate</w:t>
            </w:r>
          </w:p>
        </w:tc>
        <w:tc>
          <w:tcPr>
            <w:tcW w:type="dxa" w:w="2160"/>
          </w:tcPr>
          <w:p>
            <w:r>
              <w:rPr>
                <w:b/>
              </w:rPr>
              <w:t>Average Severity</w:t>
            </w:r>
          </w:p>
        </w:tc>
      </w:tr>
      <w:tr>
        <w:tc>
          <w:tcPr>
            <w:tcW w:type="dxa" w:w="2160"/>
          </w:tcPr>
          <w:p>
            <w:r>
              <w:t>High</w:t>
            </w:r>
          </w:p>
        </w:tc>
        <w:tc>
          <w:tcPr>
            <w:tcW w:type="dxa" w:w="2160"/>
          </w:tcPr>
          <w:p>
            <w:r>
              <w:t>Chiyoda, Chuo, Minato, Shibuya, Shinjuku</w:t>
            </w:r>
          </w:p>
        </w:tc>
        <w:tc>
          <w:tcPr>
            <w:tcW w:type="dxa" w:w="2160"/>
          </w:tcPr>
          <w:p>
            <w:r>
              <w:t>14.2 per 1,000 vehicles</w:t>
            </w:r>
          </w:p>
        </w:tc>
        <w:tc>
          <w:tcPr>
            <w:tcW w:type="dxa" w:w="2160"/>
          </w:tcPr>
          <w:p>
            <w:r>
              <w:t>¥1,200,000</w:t>
            </w:r>
          </w:p>
        </w:tc>
      </w:tr>
      <w:tr>
        <w:tc>
          <w:tcPr>
            <w:tcW w:type="dxa" w:w="2160"/>
          </w:tcPr>
          <w:p>
            <w:r>
              <w:t>Medium</w:t>
            </w:r>
          </w:p>
        </w:tc>
        <w:tc>
          <w:tcPr>
            <w:tcW w:type="dxa" w:w="2160"/>
          </w:tcPr>
          <w:p>
            <w:r>
              <w:t>Meguro, Setagaya, Nakano, Suginami</w:t>
            </w:r>
          </w:p>
        </w:tc>
        <w:tc>
          <w:tcPr>
            <w:tcW w:type="dxa" w:w="2160"/>
          </w:tcPr>
          <w:p>
            <w:r>
              <w:t>10.8 per 1,000 vehicles</w:t>
            </w:r>
          </w:p>
        </w:tc>
        <w:tc>
          <w:tcPr>
            <w:tcW w:type="dxa" w:w="2160"/>
          </w:tcPr>
          <w:p>
            <w:r>
              <w:t>¥850,000</w:t>
            </w:r>
          </w:p>
        </w:tc>
      </w:tr>
      <w:tr>
        <w:tc>
          <w:tcPr>
            <w:tcW w:type="dxa" w:w="2160"/>
          </w:tcPr>
          <w:p>
            <w:r>
              <w:t>Low</w:t>
            </w:r>
          </w:p>
        </w:tc>
        <w:tc>
          <w:tcPr>
            <w:tcW w:type="dxa" w:w="2160"/>
          </w:tcPr>
          <w:p>
            <w:r>
              <w:t>Nerima, Itabashi, Adachi, Outer wards</w:t>
            </w:r>
          </w:p>
        </w:tc>
        <w:tc>
          <w:tcPr>
            <w:tcW w:type="dxa" w:w="2160"/>
          </w:tcPr>
          <w:p>
            <w:r>
              <w:t>8.5 per 1,000 vehicles</w:t>
            </w:r>
          </w:p>
        </w:tc>
        <w:tc>
          <w:tcPr>
            <w:tcW w:type="dxa" w:w="2160"/>
          </w:tcPr>
          <w:p>
            <w:r>
              <w:t>¥650,000</w:t>
            </w:r>
          </w:p>
        </w:tc>
      </w:tr>
    </w:tbl>
    <w:p>
      <w:pPr>
        <w:pStyle w:val="Heading2"/>
      </w:pPr>
      <w:r>
        <w:t>2.5 Competitive Landscape Analysis</w:t>
      </w:r>
    </w:p>
    <w:p>
      <w:pPr>
        <w:pStyle w:val="Heading3"/>
      </w:pPr>
      <w:r>
        <w:t>2.5.1 Major Competitors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Company</w:t>
            </w:r>
          </w:p>
        </w:tc>
        <w:tc>
          <w:tcPr>
            <w:tcW w:type="dxa" w:w="2160"/>
          </w:tcPr>
          <w:p>
            <w:r>
              <w:rPr>
                <w:b/>
              </w:rPr>
              <w:t>Market Share</w:t>
            </w:r>
          </w:p>
        </w:tc>
        <w:tc>
          <w:tcPr>
            <w:tcW w:type="dxa" w:w="2160"/>
          </w:tcPr>
          <w:p>
            <w:r>
              <w:rPr>
                <w:b/>
              </w:rPr>
              <w:t>Key Strengths</w:t>
            </w:r>
          </w:p>
        </w:tc>
        <w:tc>
          <w:tcPr>
            <w:tcW w:type="dxa" w:w="2160"/>
          </w:tcPr>
          <w:p>
            <w:r>
              <w:rPr>
                <w:b/>
              </w:rPr>
              <w:t>Pricing Strategy</w:t>
            </w:r>
          </w:p>
        </w:tc>
      </w:tr>
      <w:tr>
        <w:tc>
          <w:tcPr>
            <w:tcW w:type="dxa" w:w="2160"/>
          </w:tcPr>
          <w:p>
            <w:r>
              <w:t>Tokio Marine Nichido</w:t>
            </w:r>
          </w:p>
        </w:tc>
        <w:tc>
          <w:tcPr>
            <w:tcW w:type="dxa" w:w="2160"/>
          </w:tcPr>
          <w:p>
            <w:r>
              <w:t>18.5%</w:t>
            </w:r>
          </w:p>
        </w:tc>
        <w:tc>
          <w:tcPr>
            <w:tcW w:type="dxa" w:w="2160"/>
          </w:tcPr>
          <w:p>
            <w:r>
              <w:t>Strong brand, extensive network</w:t>
            </w:r>
          </w:p>
        </w:tc>
        <w:tc>
          <w:tcPr>
            <w:tcW w:type="dxa" w:w="2160"/>
          </w:tcPr>
          <w:p>
            <w:r>
              <w:t>Premium pricing</w:t>
            </w:r>
          </w:p>
        </w:tc>
      </w:tr>
      <w:tr>
        <w:tc>
          <w:tcPr>
            <w:tcW w:type="dxa" w:w="2160"/>
          </w:tcPr>
          <w:p>
            <w:r>
              <w:t>Sompo Japan</w:t>
            </w:r>
          </w:p>
        </w:tc>
        <w:tc>
          <w:tcPr>
            <w:tcW w:type="dxa" w:w="2160"/>
          </w:tcPr>
          <w:p>
            <w:r>
              <w:t>15.2%</w:t>
            </w:r>
          </w:p>
        </w:tc>
        <w:tc>
          <w:tcPr>
            <w:tcW w:type="dxa" w:w="2160"/>
          </w:tcPr>
          <w:p>
            <w:r>
              <w:t>Comprehensive coverage, good service</w:t>
            </w:r>
          </w:p>
        </w:tc>
        <w:tc>
          <w:tcPr>
            <w:tcW w:type="dxa" w:w="2160"/>
          </w:tcPr>
          <w:p>
            <w:r>
              <w:t>Competitive</w:t>
            </w:r>
          </w:p>
        </w:tc>
      </w:tr>
      <w:tr>
        <w:tc>
          <w:tcPr>
            <w:tcW w:type="dxa" w:w="2160"/>
          </w:tcPr>
          <w:p>
            <w:r>
              <w:t>Mitsui Sumitomo</w:t>
            </w:r>
          </w:p>
        </w:tc>
        <w:tc>
          <w:tcPr>
            <w:tcW w:type="dxa" w:w="2160"/>
          </w:tcPr>
          <w:p>
            <w:r>
              <w:t>12.8%</w:t>
            </w:r>
          </w:p>
        </w:tc>
        <w:tc>
          <w:tcPr>
            <w:tcW w:type="dxa" w:w="2160"/>
          </w:tcPr>
          <w:p>
            <w:r>
              <w:t>Digital innovation, competitive rates</w:t>
            </w:r>
          </w:p>
        </w:tc>
        <w:tc>
          <w:tcPr>
            <w:tcW w:type="dxa" w:w="2160"/>
          </w:tcPr>
          <w:p>
            <w:r>
              <w:t>Value-focused</w:t>
            </w:r>
          </w:p>
        </w:tc>
      </w:tr>
    </w:tbl>
    <w:p>
      <w:pPr>
        <w:pStyle w:val="Heading3"/>
      </w:pPr>
      <w:r>
        <w:t>2.5.2 Competitive Product Analysis</w:t>
      </w:r>
    </w:p>
    <w:p>
      <w:r>
        <w:t>Product A:</w:t>
      </w:r>
    </w:p>
    <w:p>
      <w:pPr>
        <w:pStyle w:val="ListBullet"/>
      </w:pPr>
      <w:r>
        <w:t>Coverage Options: [List]</w:t>
      </w:r>
    </w:p>
    <w:p>
      <w:pPr>
        <w:pStyle w:val="ListBullet"/>
      </w:pPr>
      <w:r>
        <w:t>Premium Range: ¥[X] - ¥[Y]</w:t>
      </w:r>
    </w:p>
    <w:p>
      <w:pPr>
        <w:pStyle w:val="ListBullet"/>
      </w:pPr>
      <w:r>
        <w:t>Target Market: [Description]</w:t>
      </w:r>
    </w:p>
    <w:p>
      <w:pPr>
        <w:pStyle w:val="ListBullet"/>
      </w:pPr>
      <w:r>
        <w:t>Key Features: [List]</w:t>
      </w:r>
    </w:p>
    <w:p>
      <w:r>
        <w:t>Product B:</w:t>
      </w:r>
    </w:p>
    <w:p>
      <w:pPr>
        <w:pStyle w:val="ListBullet"/>
      </w:pPr>
      <w:r>
        <w:t>Coverage Options: [List]</w:t>
      </w:r>
    </w:p>
    <w:p>
      <w:pPr>
        <w:pStyle w:val="ListBullet"/>
      </w:pPr>
      <w:r>
        <w:t>Premium Range: ¥[X] - ¥[Y]</w:t>
      </w:r>
    </w:p>
    <w:p>
      <w:pPr>
        <w:pStyle w:val="ListBullet"/>
      </w:pPr>
      <w:r>
        <w:t>Target Market: [Description]</w:t>
      </w:r>
    </w:p>
    <w:p>
      <w:pPr>
        <w:pStyle w:val="ListBullet"/>
      </w:pPr>
      <w:r>
        <w:t>Key Features: [List]</w:t>
      </w:r>
    </w:p>
    <w:p>
      <w:pPr>
        <w:pStyle w:val="Heading3"/>
      </w:pPr>
      <w:r>
        <w:t>2.5.3 Competitive Positioning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Our Product</w:t>
            </w:r>
          </w:p>
        </w:tc>
        <w:tc>
          <w:tcPr>
            <w:tcW w:type="dxa" w:w="1728"/>
          </w:tcPr>
          <w:p>
            <w:r>
              <w:rPr>
                <w:b/>
              </w:rPr>
              <w:t>Competitor A</w:t>
            </w:r>
          </w:p>
        </w:tc>
        <w:tc>
          <w:tcPr>
            <w:tcW w:type="dxa" w:w="1728"/>
          </w:tcPr>
          <w:p>
            <w:r>
              <w:rPr>
                <w:b/>
              </w:rPr>
              <w:t>Competitor B</w:t>
            </w:r>
          </w:p>
        </w:tc>
        <w:tc>
          <w:tcPr>
            <w:tcW w:type="dxa" w:w="1728"/>
          </w:tcPr>
          <w:p>
            <w:r>
              <w:rPr>
                <w:b/>
              </w:rPr>
              <w:t>Competitor C</w:t>
            </w:r>
          </w:p>
        </w:tc>
      </w:tr>
      <w:tr>
        <w:tc>
          <w:tcPr>
            <w:tcW w:type="dxa" w:w="1728"/>
          </w:tcPr>
          <w:p>
            <w:r>
              <w:t>Price</w:t>
            </w:r>
          </w:p>
        </w:tc>
        <w:tc>
          <w:tcPr>
            <w:tcW w:type="dxa" w:w="1728"/>
          </w:tcPr>
          <w:p>
            <w:r>
              <w:t>[X]</w:t>
            </w:r>
          </w:p>
        </w:tc>
        <w:tc>
          <w:tcPr>
            <w:tcW w:type="dxa" w:w="1728"/>
          </w:tcPr>
          <w:p>
            <w:r>
              <w:t>[Y]</w:t>
            </w:r>
          </w:p>
        </w:tc>
        <w:tc>
          <w:tcPr>
            <w:tcW w:type="dxa" w:w="1728"/>
          </w:tcPr>
          <w:p>
            <w:r>
              <w:t>[Z]</w:t>
            </w:r>
          </w:p>
        </w:tc>
        <w:tc>
          <w:tcPr>
            <w:tcW w:type="dxa" w:w="1728"/>
          </w:tcPr>
          <w:p>
            <w:r>
              <w:t>[W]</w:t>
            </w:r>
          </w:p>
        </w:tc>
      </w:tr>
      <w:tr>
        <w:tc>
          <w:tcPr>
            <w:tcW w:type="dxa" w:w="1728"/>
          </w:tcPr>
          <w:p>
            <w:r>
              <w:t>Coverage</w:t>
            </w:r>
          </w:p>
        </w:tc>
        <w:tc>
          <w:tcPr>
            <w:tcW w:type="dxa" w:w="1728"/>
          </w:tcPr>
          <w:p>
            <w:r>
              <w:t>[X]</w:t>
            </w:r>
          </w:p>
        </w:tc>
        <w:tc>
          <w:tcPr>
            <w:tcW w:type="dxa" w:w="1728"/>
          </w:tcPr>
          <w:p>
            <w:r>
              <w:t>[Y]</w:t>
            </w:r>
          </w:p>
        </w:tc>
        <w:tc>
          <w:tcPr>
            <w:tcW w:type="dxa" w:w="1728"/>
          </w:tcPr>
          <w:p>
            <w:r>
              <w:t>[Z]</w:t>
            </w:r>
          </w:p>
        </w:tc>
        <w:tc>
          <w:tcPr>
            <w:tcW w:type="dxa" w:w="1728"/>
          </w:tcPr>
          <w:p>
            <w:r>
              <w:t>[W]</w:t>
            </w:r>
          </w:p>
        </w:tc>
      </w:tr>
      <w:tr>
        <w:tc>
          <w:tcPr>
            <w:tcW w:type="dxa" w:w="1728"/>
          </w:tcPr>
          <w:p>
            <w:r>
              <w:t>Digital Experience</w:t>
            </w:r>
          </w:p>
        </w:tc>
        <w:tc>
          <w:tcPr>
            <w:tcW w:type="dxa" w:w="1728"/>
          </w:tcPr>
          <w:p>
            <w:r>
              <w:t>[X]</w:t>
            </w:r>
          </w:p>
        </w:tc>
        <w:tc>
          <w:tcPr>
            <w:tcW w:type="dxa" w:w="1728"/>
          </w:tcPr>
          <w:p>
            <w:r>
              <w:t>[Y]</w:t>
            </w:r>
          </w:p>
        </w:tc>
        <w:tc>
          <w:tcPr>
            <w:tcW w:type="dxa" w:w="1728"/>
          </w:tcPr>
          <w:p>
            <w:r>
              <w:t>[Z]</w:t>
            </w:r>
          </w:p>
        </w:tc>
        <w:tc>
          <w:tcPr>
            <w:tcW w:type="dxa" w:w="1728"/>
          </w:tcPr>
          <w:p>
            <w:r>
              <w:t>[W]</w:t>
            </w:r>
          </w:p>
        </w:tc>
      </w:tr>
      <w:tr>
        <w:tc>
          <w:tcPr>
            <w:tcW w:type="dxa" w:w="1728"/>
          </w:tcPr>
          <w:p>
            <w:r>
              <w:t>Customer Service</w:t>
            </w:r>
          </w:p>
        </w:tc>
        <w:tc>
          <w:tcPr>
            <w:tcW w:type="dxa" w:w="1728"/>
          </w:tcPr>
          <w:p>
            <w:r>
              <w:t>[X]</w:t>
            </w:r>
          </w:p>
        </w:tc>
        <w:tc>
          <w:tcPr>
            <w:tcW w:type="dxa" w:w="1728"/>
          </w:tcPr>
          <w:p>
            <w:r>
              <w:t>[Y]</w:t>
            </w:r>
          </w:p>
        </w:tc>
        <w:tc>
          <w:tcPr>
            <w:tcW w:type="dxa" w:w="1728"/>
          </w:tcPr>
          <w:p>
            <w:r>
              <w:t>[Z]</w:t>
            </w:r>
          </w:p>
        </w:tc>
        <w:tc>
          <w:tcPr>
            <w:tcW w:type="dxa" w:w="1728"/>
          </w:tcPr>
          <w:p>
            <w:r>
              <w:t>[W]</w:t>
            </w:r>
          </w:p>
        </w:tc>
      </w:tr>
    </w:tbl>
    <w:p>
      <w:pPr>
        <w:pStyle w:val="Heading2"/>
      </w:pPr>
      <w:r>
        <w:t>2.6 Market Gaps and Opportunities</w:t>
      </w:r>
    </w:p>
    <w:p>
      <w:pPr>
        <w:pStyle w:val="Heading3"/>
      </w:pPr>
      <w:r>
        <w:t>2.6.1 Identified Gaps</w:t>
      </w:r>
    </w:p>
    <w:p>
      <w:r>
        <w:t>1. Digital-First Experience: Limited digital-native insurance products</w:t>
      </w:r>
    </w:p>
    <w:p>
      <w:r>
        <w:t>2. Tokyo-Specific Pricing: Generic pricing not optimized for Tokyo's unique risks</w:t>
      </w:r>
    </w:p>
    <w:p>
      <w:r>
        <w:t>3. Usage-Based Insurance: Limited UBI options in the market</w:t>
      </w:r>
    </w:p>
    <w:p>
      <w:r>
        <w:t>4. Young Driver Products: Lack of specialized products for young drivers</w:t>
      </w:r>
    </w:p>
    <w:p>
      <w:r>
        <w:t>5. Transparent Pricing: Need for more transparent, data-driven pricing</w:t>
      </w:r>
    </w:p>
    <w:p>
      <w:pPr>
        <w:pStyle w:val="Heading3"/>
      </w:pPr>
      <w:r>
        <w:t>2.6.2 Market Opportunities</w:t>
      </w:r>
    </w:p>
    <w:p>
      <w:r>
        <w:t>1. Growing EV Market: Opportunity for EV-specific coverage</w:t>
      </w:r>
    </w:p>
    <w:p>
      <w:r>
        <w:t>2. Aging Population: Products tailored for senior drivers</w:t>
      </w:r>
    </w:p>
    <w:p>
      <w:r>
        <w:t>3. Digital Natives: Millennials and Gen Z prefer digital experiences</w:t>
      </w:r>
    </w:p>
    <w:p>
      <w:r>
        <w:t>4. Partnership Opportunities: Integration with ride-sharing, car-sharing services</w:t>
      </w:r>
    </w:p>
    <w:p>
      <w:r>
        <w:t>5. Data Analytics: Leverage telematics for better risk assessment</w:t>
      </w:r>
    </w:p>
    <w:p>
      <w:r>
        <w:t>---</w:t>
      </w:r>
    </w:p>
    <w:p>
      <w:pPr>
        <w:pStyle w:val="Heading1"/>
      </w:pPr>
      <w:r>
        <w:t>3. Target Customer Segmentation</w:t>
      </w:r>
    </w:p>
    <w:p>
      <w:pPr>
        <w:pStyle w:val="Heading2"/>
      </w:pPr>
      <w:r>
        <w:t>3.1 Primary Target Segments</w:t>
      </w:r>
    </w:p>
    <w:p>
      <w:pPr>
        <w:pStyle w:val="Heading3"/>
      </w:pPr>
      <w:r>
        <w:t>3.1.1 Segment 1: Young Professionals (25-35 years)</w:t>
      </w:r>
    </w:p>
    <w:p>
      <w:r>
        <w:t>Characteristics:</w:t>
      </w:r>
    </w:p>
    <w:p>
      <w:pPr>
        <w:pStyle w:val="ListBullet"/>
      </w:pPr>
      <w:r>
        <w:t>Age: 25-35 years</w:t>
      </w:r>
    </w:p>
    <w:p>
      <w:pPr>
        <w:pStyle w:val="ListBullet"/>
      </w:pPr>
      <w:r>
        <w:t>Income: ¥5M - ¥10M annually</w:t>
      </w:r>
    </w:p>
    <w:p>
      <w:pPr>
        <w:pStyle w:val="ListBullet"/>
      </w:pPr>
      <w:r>
        <w:t>Location: Central Tokyo wards (Shibuya, Shinjuku, Minato)</w:t>
      </w:r>
    </w:p>
    <w:p>
      <w:pPr>
        <w:pStyle w:val="ListBullet"/>
      </w:pPr>
      <w:r>
        <w:t>Vehicle Type: Sedans, compact cars</w:t>
      </w:r>
    </w:p>
    <w:p>
      <w:pPr>
        <w:pStyle w:val="ListBullet"/>
      </w:pPr>
      <w:r>
        <w:t>Lifestyle: Urban, tech-savvy, value convenience</w:t>
      </w:r>
    </w:p>
    <w:p>
      <w:r>
        <w:t>Needs:</w:t>
      </w:r>
    </w:p>
    <w:p>
      <w:pPr>
        <w:pStyle w:val="ListBullet"/>
      </w:pPr>
      <w:r>
        <w:t>Competitive pricing</w:t>
      </w:r>
    </w:p>
    <w:p>
      <w:pPr>
        <w:pStyle w:val="ListBullet"/>
      </w:pPr>
      <w:r>
        <w:t>Digital-first experience</w:t>
      </w:r>
    </w:p>
    <w:p>
      <w:pPr>
        <w:pStyle w:val="ListBullet"/>
      </w:pPr>
      <w:r>
        <w:t>Flexible coverage options</w:t>
      </w:r>
    </w:p>
    <w:p>
      <w:pPr>
        <w:pStyle w:val="ListBullet"/>
      </w:pPr>
      <w:r>
        <w:t>Quick claims processing</w:t>
      </w:r>
    </w:p>
    <w:p>
      <w:r>
        <w:t>Size: Approximately 32% of Tokyo vehicle owners</w:t>
      </w:r>
    </w:p>
    <w:p>
      <w:pPr>
        <w:pStyle w:val="Heading3"/>
      </w:pPr>
      <w:r>
        <w:t>3.1.2 Segment 2: Families (30-50 years)</w:t>
      </w:r>
    </w:p>
    <w:p>
      <w:r>
        <w:t>Characteristics:</w:t>
      </w:r>
    </w:p>
    <w:p>
      <w:pPr>
        <w:pStyle w:val="ListBullet"/>
      </w:pPr>
      <w:r>
        <w:t>Age: 30-50 years</w:t>
      </w:r>
    </w:p>
    <w:p>
      <w:pPr>
        <w:pStyle w:val="ListBullet"/>
      </w:pPr>
      <w:r>
        <w:t>Income: ¥6M - ¥12M annually</w:t>
      </w:r>
    </w:p>
    <w:p>
      <w:pPr>
        <w:pStyle w:val="ListBullet"/>
      </w:pPr>
      <w:r>
        <w:t>Location: Suburban Tokyo wards, surrounding areas</w:t>
      </w:r>
    </w:p>
    <w:p>
      <w:pPr>
        <w:pStyle w:val="ListBullet"/>
      </w:pPr>
      <w:r>
        <w:t>Vehicle Type: SUVs, minivans, family sedans</w:t>
      </w:r>
    </w:p>
    <w:p>
      <w:pPr>
        <w:pStyle w:val="ListBullet"/>
      </w:pPr>
      <w:r>
        <w:t>Lifestyle: Family-oriented, safety-focused</w:t>
      </w:r>
    </w:p>
    <w:p>
      <w:r>
        <w:t>Needs:</w:t>
      </w:r>
    </w:p>
    <w:p>
      <w:pPr>
        <w:pStyle w:val="ListBullet"/>
      </w:pPr>
      <w:r>
        <w:t>Comprehensive coverage</w:t>
      </w:r>
    </w:p>
    <w:p>
      <w:pPr>
        <w:pStyle w:val="ListBullet"/>
      </w:pPr>
      <w:r>
        <w:t>Family-friendly features</w:t>
      </w:r>
    </w:p>
    <w:p>
      <w:pPr>
        <w:pStyle w:val="ListBullet"/>
      </w:pPr>
      <w:r>
        <w:t>Roadside assistance</w:t>
      </w:r>
    </w:p>
    <w:p>
      <w:pPr>
        <w:pStyle w:val="ListBullet"/>
      </w:pPr>
      <w:r>
        <w:t>Child safety considerations</w:t>
      </w:r>
    </w:p>
    <w:p>
      <w:r>
        <w:t>Size: Approximately 38% of Tokyo vehicle owners</w:t>
      </w:r>
    </w:p>
    <w:p>
      <w:pPr>
        <w:pStyle w:val="Heading3"/>
      </w:pPr>
      <w:r>
        <w:t>3.1.3 Segment 3: Business Owners (35-60 years)</w:t>
      </w:r>
    </w:p>
    <w:p>
      <w:r>
        <w:t>Characteristics:</w:t>
      </w:r>
    </w:p>
    <w:p>
      <w:pPr>
        <w:pStyle w:val="ListBullet"/>
      </w:pPr>
      <w:r>
        <w:t>Age: 35-60 years</w:t>
      </w:r>
    </w:p>
    <w:p>
      <w:pPr>
        <w:pStyle w:val="ListBullet"/>
      </w:pPr>
      <w:r>
        <w:t>Income: ¥10M+ annually</w:t>
      </w:r>
    </w:p>
    <w:p>
      <w:pPr>
        <w:pStyle w:val="ListBullet"/>
      </w:pPr>
      <w:r>
        <w:t>Location: Business districts (Chiyoda, Chuo, Minato)</w:t>
      </w:r>
    </w:p>
    <w:p>
      <w:pPr>
        <w:pStyle w:val="ListBullet"/>
      </w:pPr>
      <w:r>
        <w:t>Vehicle Type: Luxury vehicles, commercial vehicles</w:t>
      </w:r>
    </w:p>
    <w:p>
      <w:pPr>
        <w:pStyle w:val="ListBullet"/>
      </w:pPr>
      <w:r>
        <w:t>Lifestyle: Business-focused, premium services</w:t>
      </w:r>
    </w:p>
    <w:p>
      <w:r>
        <w:t>Needs:</w:t>
      </w:r>
    </w:p>
    <w:p>
      <w:pPr>
        <w:pStyle w:val="ListBullet"/>
      </w:pPr>
      <w:r>
        <w:t>Premium coverage options</w:t>
      </w:r>
    </w:p>
    <w:p>
      <w:pPr>
        <w:pStyle w:val="ListBullet"/>
      </w:pPr>
      <w:r>
        <w:t>Business vehicle coverage</w:t>
      </w:r>
    </w:p>
    <w:p>
      <w:pPr>
        <w:pStyle w:val="ListBullet"/>
      </w:pPr>
      <w:r>
        <w:t>Priority service</w:t>
      </w:r>
    </w:p>
    <w:p>
      <w:pPr>
        <w:pStyle w:val="ListBullet"/>
      </w:pPr>
      <w:r>
        <w:t>Fleet management options</w:t>
      </w:r>
    </w:p>
    <w:p>
      <w:r>
        <w:t>Size: Approximately 18% of Tokyo vehicle owners</w:t>
      </w:r>
    </w:p>
    <w:p>
      <w:pPr>
        <w:pStyle w:val="Heading3"/>
      </w:pPr>
      <w:r>
        <w:t>3.1.4 Segment 4: Senior Drivers (65+ years)</w:t>
      </w:r>
    </w:p>
    <w:p>
      <w:r>
        <w:t>Characteristics:</w:t>
      </w:r>
    </w:p>
    <w:p>
      <w:pPr>
        <w:pStyle w:val="ListBullet"/>
      </w:pPr>
      <w:r>
        <w:t>Age: 65+ years</w:t>
      </w:r>
    </w:p>
    <w:p>
      <w:pPr>
        <w:pStyle w:val="ListBullet"/>
      </w:pPr>
      <w:r>
        <w:t>Income: Variable (pension, savings)</w:t>
      </w:r>
    </w:p>
    <w:p>
      <w:pPr>
        <w:pStyle w:val="ListBullet"/>
      </w:pPr>
      <w:r>
        <w:t>Location: Various Tokyo wards</w:t>
      </w:r>
    </w:p>
    <w:p>
      <w:pPr>
        <w:pStyle w:val="ListBullet"/>
      </w:pPr>
      <w:r>
        <w:t>Vehicle Type: Compact cars, sedans</w:t>
      </w:r>
    </w:p>
    <w:p>
      <w:pPr>
        <w:pStyle w:val="ListBullet"/>
      </w:pPr>
      <w:r>
        <w:t>Lifestyle: Retired, safety-conscious</w:t>
      </w:r>
    </w:p>
    <w:p>
      <w:r>
        <w:t>Needs:</w:t>
      </w:r>
    </w:p>
    <w:p>
      <w:pPr>
        <w:pStyle w:val="ListBullet"/>
      </w:pPr>
      <w:r>
        <w:t>Senior-friendly pricing</w:t>
      </w:r>
    </w:p>
    <w:p>
      <w:pPr>
        <w:pStyle w:val="ListBullet"/>
      </w:pPr>
      <w:r>
        <w:t>Safety features</w:t>
      </w:r>
    </w:p>
    <w:p>
      <w:pPr>
        <w:pStyle w:val="ListBullet"/>
      </w:pPr>
      <w:r>
        <w:t>Easy-to-understand policies</w:t>
      </w:r>
    </w:p>
    <w:p>
      <w:pPr>
        <w:pStyle w:val="ListBullet"/>
      </w:pPr>
      <w:r>
        <w:t>Support services</w:t>
      </w:r>
    </w:p>
    <w:p>
      <w:r>
        <w:t>Size: Approximately 12% of Tokyo vehicle owners</w:t>
      </w:r>
    </w:p>
    <w:p>
      <w:pPr>
        <w:pStyle w:val="Heading2"/>
      </w:pPr>
      <w:r>
        <w:t>3.2 Customer Personas</w:t>
      </w:r>
    </w:p>
    <w:p>
      <w:pPr>
        <w:pStyle w:val="Heading3"/>
      </w:pPr>
      <w:r>
        <w:t>3.2.1 Persona 1: "Tech-Savvy Taro"</w:t>
      </w:r>
    </w:p>
    <w:p>
      <w:pPr>
        <w:pStyle w:val="ListBullet"/>
      </w:pPr>
      <w:r>
        <w:t>Name: Taro Tanaka</w:t>
      </w:r>
    </w:p>
    <w:p>
      <w:pPr>
        <w:pStyle w:val="ListBullet"/>
      </w:pPr>
      <w:r>
        <w:t>Age: 28</w:t>
      </w:r>
    </w:p>
    <w:p>
      <w:pPr>
        <w:pStyle w:val="ListBullet"/>
      </w:pPr>
      <w:r>
        <w:t>Occupation: Software Engineer</w:t>
      </w:r>
    </w:p>
    <w:p>
      <w:pPr>
        <w:pStyle w:val="ListBullet"/>
      </w:pPr>
      <w:r>
        <w:t>Income: ¥7M/year</w:t>
      </w:r>
    </w:p>
    <w:p>
      <w:pPr>
        <w:pStyle w:val="ListBullet"/>
      </w:pPr>
      <w:r>
        <w:t>Location: Shibuya</w:t>
      </w:r>
    </w:p>
    <w:p>
      <w:pPr>
        <w:pStyle w:val="ListBullet"/>
      </w:pPr>
      <w:r>
        <w:t>Vehicle: 2022 Toyota Prius</w:t>
      </w:r>
    </w:p>
    <w:p>
      <w:pPr>
        <w:pStyle w:val="ListBullet"/>
      </w:pPr>
      <w:r>
        <w:t>Pain Points: Wants everything digital, hates paperwork, values speed</w:t>
      </w:r>
    </w:p>
    <w:p>
      <w:pPr>
        <w:pStyle w:val="ListBullet"/>
      </w:pPr>
      <w:r>
        <w:t>Goals: Get insurance quickly online, manage everything via app</w:t>
      </w:r>
    </w:p>
    <w:p>
      <w:pPr>
        <w:pStyle w:val="ListBullet"/>
      </w:pPr>
      <w:r>
        <w:t>Preferred Channels: Mobile app, online chat</w:t>
      </w:r>
    </w:p>
    <w:p>
      <w:pPr>
        <w:pStyle w:val="Heading3"/>
      </w:pPr>
      <w:r>
        <w:t>3.2.2 Persona 2: "Safety-First Yuki"</w:t>
      </w:r>
    </w:p>
    <w:p>
      <w:pPr>
        <w:pStyle w:val="ListBullet"/>
      </w:pPr>
      <w:r>
        <w:t>Name: Yuki Sato</w:t>
      </w:r>
    </w:p>
    <w:p>
      <w:pPr>
        <w:pStyle w:val="ListBullet"/>
      </w:pPr>
      <w:r>
        <w:t>Age: 38</w:t>
      </w:r>
    </w:p>
    <w:p>
      <w:pPr>
        <w:pStyle w:val="ListBullet"/>
      </w:pPr>
      <w:r>
        <w:t>Occupation: Teacher</w:t>
      </w:r>
    </w:p>
    <w:p>
      <w:pPr>
        <w:pStyle w:val="ListBullet"/>
      </w:pPr>
      <w:r>
        <w:t>Income: ¥8M/year</w:t>
      </w:r>
    </w:p>
    <w:p>
      <w:pPr>
        <w:pStyle w:val="ListBullet"/>
      </w:pPr>
      <w:r>
        <w:t>Location: Setagaya</w:t>
      </w:r>
    </w:p>
    <w:p>
      <w:pPr>
        <w:pStyle w:val="ListBullet"/>
      </w:pPr>
      <w:r>
        <w:t>Vehicle: 2021 Honda Odyssey (minivan)</w:t>
      </w:r>
    </w:p>
    <w:p>
      <w:pPr>
        <w:pStyle w:val="ListBullet"/>
      </w:pPr>
      <w:r>
        <w:t>Pain Points: Worried about family safety, needs comprehensive coverage</w:t>
      </w:r>
    </w:p>
    <w:p>
      <w:pPr>
        <w:pStyle w:val="ListBullet"/>
      </w:pPr>
      <w:r>
        <w:t>Goals: Protect family, get help when needed</w:t>
      </w:r>
    </w:p>
    <w:p>
      <w:pPr>
        <w:pStyle w:val="ListBullet"/>
      </w:pPr>
      <w:r>
        <w:t>Preferred Channels: Phone, in-person consultation</w:t>
      </w:r>
    </w:p>
    <w:p>
      <w:pPr>
        <w:pStyle w:val="Heading3"/>
      </w:pPr>
      <w:r>
        <w:t>3.2.3 Persona 3: "Business Owner Kenji"</w:t>
      </w:r>
    </w:p>
    <w:p>
      <w:pPr>
        <w:pStyle w:val="ListBullet"/>
      </w:pPr>
      <w:r>
        <w:t>Name: Kenji Watanabe</w:t>
      </w:r>
    </w:p>
    <w:p>
      <w:pPr>
        <w:pStyle w:val="ListBullet"/>
      </w:pPr>
      <w:r>
        <w:t>Age: 45</w:t>
      </w:r>
    </w:p>
    <w:p>
      <w:pPr>
        <w:pStyle w:val="ListBullet"/>
      </w:pPr>
      <w:r>
        <w:t>Occupation: Restaurant Owner</w:t>
      </w:r>
    </w:p>
    <w:p>
      <w:pPr>
        <w:pStyle w:val="ListBullet"/>
      </w:pPr>
      <w:r>
        <w:t>Income: ¥15M/year</w:t>
      </w:r>
    </w:p>
    <w:p>
      <w:pPr>
        <w:pStyle w:val="ListBullet"/>
      </w:pPr>
      <w:r>
        <w:t>Location: Minato</w:t>
      </w:r>
    </w:p>
    <w:p>
      <w:pPr>
        <w:pStyle w:val="ListBullet"/>
      </w:pPr>
      <w:r>
        <w:t>Vehicle: 2023 Lexus LS (business use)</w:t>
      </w:r>
    </w:p>
    <w:p>
      <w:pPr>
        <w:pStyle w:val="ListBullet"/>
      </w:pPr>
      <w:r>
        <w:t>Pain Points: Needs business coverage, values premium service</w:t>
      </w:r>
    </w:p>
    <w:p>
      <w:pPr>
        <w:pStyle w:val="ListBullet"/>
      </w:pPr>
      <w:r>
        <w:t>Goals: Protect business assets, get priority service</w:t>
      </w:r>
    </w:p>
    <w:p>
      <w:pPr>
        <w:pStyle w:val="ListBullet"/>
      </w:pPr>
      <w:r>
        <w:t>Preferred Channels: Dedicated account manager, phone</w:t>
      </w:r>
    </w:p>
    <w:p>
      <w:pPr>
        <w:pStyle w:val="Heading2"/>
      </w:pPr>
      <w:r>
        <w:t>3.3 Geographic Segmentation</w:t>
      </w:r>
    </w:p>
    <w:p>
      <w:pPr>
        <w:pStyle w:val="Heading3"/>
      </w:pPr>
      <w:r>
        <w:t>3.3.1 High-Priority Wards</w:t>
      </w:r>
    </w:p>
    <w:p>
      <w:r>
        <w:t>Central Business Districts:</w:t>
      </w:r>
    </w:p>
    <w:p>
      <w:pPr>
        <w:pStyle w:val="ListBullet"/>
      </w:pPr>
      <w:r>
        <w:t>Chiyoda, Chuo, Minato</w:t>
      </w:r>
    </w:p>
    <w:p>
      <w:pPr>
        <w:pStyle w:val="ListBullet"/>
      </w:pPr>
      <w:r>
        <w:t>Characteristics: High income, premium vehicles, business use</w:t>
      </w:r>
    </w:p>
    <w:p>
      <w:pPr>
        <w:pStyle w:val="ListBullet"/>
      </w:pPr>
      <w:r>
        <w:t>Strategy: Premium products, business-focused features</w:t>
      </w:r>
    </w:p>
    <w:p>
      <w:r>
        <w:t>Residential High-Density Areas:</w:t>
      </w:r>
    </w:p>
    <w:p>
      <w:pPr>
        <w:pStyle w:val="ListBullet"/>
      </w:pPr>
      <w:r>
        <w:t>Shibuya, Shinjuku, Setagaya</w:t>
      </w:r>
    </w:p>
    <w:p>
      <w:pPr>
        <w:pStyle w:val="ListBullet"/>
      </w:pPr>
      <w:r>
        <w:t>Characteristics: Mixed demographics, high vehicle density</w:t>
      </w:r>
    </w:p>
    <w:p>
      <w:pPr>
        <w:pStyle w:val="ListBullet"/>
      </w:pPr>
      <w:r>
        <w:t>Strategy: Standard products, digital-first approach</w:t>
      </w:r>
    </w:p>
    <w:p>
      <w:pPr>
        <w:pStyle w:val="Heading3"/>
      </w:pPr>
      <w:r>
        <w:t>3.3.2 Secondary Markets</w:t>
      </w:r>
    </w:p>
    <w:p>
      <w:r>
        <w:t>Suburban Wards:</w:t>
      </w:r>
    </w:p>
    <w:p>
      <w:pPr>
        <w:pStyle w:val="ListBullet"/>
      </w:pPr>
      <w:r>
        <w:t>Nerima, Itabashi, Adachi</w:t>
      </w:r>
    </w:p>
    <w:p>
      <w:pPr>
        <w:pStyle w:val="ListBullet"/>
      </w:pPr>
      <w:r>
        <w:t>Characteristics: Families, longer commutes, lower density</w:t>
      </w:r>
    </w:p>
    <w:p>
      <w:pPr>
        <w:pStyle w:val="ListBullet"/>
      </w:pPr>
      <w:r>
        <w:t>Strategy: Family-focused products, competitive pricing</w:t>
      </w:r>
    </w:p>
    <w:p>
      <w:pPr>
        <w:pStyle w:val="Heading2"/>
      </w:pPr>
      <w:r>
        <w:t>3.4 Behavioral Characteristics</w:t>
      </w:r>
    </w:p>
    <w:p>
      <w:pPr>
        <w:pStyle w:val="Heading3"/>
      </w:pPr>
      <w:r>
        <w:t>3.4.1 Purchase Behavior</w:t>
      </w:r>
    </w:p>
    <w:p>
      <w:pPr>
        <w:pStyle w:val="ListBullet"/>
      </w:pPr>
      <w:r>
        <w:t>Research Method: 68% online research, 32% agent consultation</w:t>
      </w:r>
    </w:p>
    <w:p>
      <w:pPr>
        <w:pStyle w:val="ListBullet"/>
      </w:pPr>
      <w:r>
        <w:t>Decision Factors: Price (35%), Coverage (28%), Brand (22%), Service (15%)</w:t>
      </w:r>
    </w:p>
    <w:p>
      <w:pPr>
        <w:pStyle w:val="ListBullet"/>
      </w:pPr>
      <w:r>
        <w:t>Purchase Channel: Online (55%), Agent (30%), Phone (15%)</w:t>
      </w:r>
    </w:p>
    <w:p>
      <w:pPr>
        <w:pStyle w:val="Heading3"/>
      </w:pPr>
      <w:r>
        <w:t>3.4.2 Usage Patterns</w:t>
      </w:r>
    </w:p>
    <w:p>
      <w:pPr>
        <w:pStyle w:val="ListBullet"/>
      </w:pPr>
      <w:r>
        <w:t>Annual Mileage: Average 12,500 km/year</w:t>
      </w:r>
    </w:p>
    <w:p>
      <w:pPr>
        <w:pStyle w:val="ListBullet"/>
      </w:pPr>
      <w:r>
        <w:t>Primary Use: Commuting (45%), Personal (38%), Business (17%)</w:t>
      </w:r>
    </w:p>
    <w:p>
      <w:pPr>
        <w:pStyle w:val="ListBullet"/>
      </w:pPr>
      <w:r>
        <w:t>Parking: Home garage (42%), Street parking (28%), Paid lot (30%)</w:t>
      </w:r>
    </w:p>
    <w:p>
      <w:pPr>
        <w:pStyle w:val="Heading2"/>
      </w:pPr>
      <w:r>
        <w:t>3.5 Needs and Pain Points</w:t>
      </w:r>
    </w:p>
    <w:p>
      <w:pPr>
        <w:pStyle w:val="Heading3"/>
      </w:pPr>
      <w:r>
        <w:t>3.5.1 Common Pain Points</w:t>
      </w:r>
    </w:p>
    <w:p>
      <w:r>
        <w:t>1. Complex Pricing: Unclear how premiums are calculated</w:t>
      </w:r>
    </w:p>
    <w:p>
      <w:r>
        <w:t>2. Slow Claims: Claims processing takes too long</w:t>
      </w:r>
    </w:p>
    <w:p>
      <w:r>
        <w:t>3. Limited Digital Options: Can't manage everything online</w:t>
      </w:r>
    </w:p>
    <w:p>
      <w:r>
        <w:t>4. Poor Customer Service: Difficult to reach support</w:t>
      </w:r>
    </w:p>
    <w:p>
      <w:r>
        <w:t>5. High Premiums: Perceived as expensive</w:t>
      </w:r>
    </w:p>
    <w:p>
      <w:pPr>
        <w:pStyle w:val="Heading3"/>
      </w:pPr>
      <w:r>
        <w:t>3.5.2 Unmet Needs</w:t>
      </w:r>
    </w:p>
    <w:p>
      <w:r>
        <w:t>1. Transparent Pricing: Clear explanation of premium calculation</w:t>
      </w:r>
    </w:p>
    <w:p>
      <w:r>
        <w:t>2. Fast Claims: Quick, digital claims processing</w:t>
      </w:r>
    </w:p>
    <w:p>
      <w:r>
        <w:t>3. Usage-Based Options: Pay for actual usage</w:t>
      </w:r>
    </w:p>
    <w:p>
      <w:r>
        <w:t>4. 24/7 Support: Always available customer service</w:t>
      </w:r>
    </w:p>
    <w:p>
      <w:r>
        <w:t>5. Value-Added Services: Roadside assistance, maintenance reminders</w:t>
      </w:r>
    </w:p>
    <w:p>
      <w:r>
        <w:t>---</w:t>
      </w:r>
    </w:p>
    <w:p>
      <w:pPr>
        <w:pStyle w:val="Heading1"/>
      </w:pPr>
      <w:r>
        <w:t>4. Product Design &amp; Features</w:t>
      </w:r>
    </w:p>
    <w:p>
      <w:pPr>
        <w:pStyle w:val="Heading2"/>
      </w:pPr>
      <w:r>
        <w:t>4.1 Coverage Options and Limits</w:t>
      </w:r>
    </w:p>
    <w:p>
      <w:pPr>
        <w:pStyle w:val="Heading3"/>
      </w:pPr>
      <w:r>
        <w:t>4.1.1 Compulsory Automobile Liability Insurance (自賠責保険)</w:t>
      </w:r>
    </w:p>
    <w:p>
      <w:r>
        <w:t>[Note: This is mandatory for all vehicles in Japan]</w:t>
      </w:r>
    </w:p>
    <w:p>
      <w:pPr>
        <w:pStyle w:val="ListBullet"/>
      </w:pPr>
      <w:r>
        <w:t>Bodily Injury Coverage:</w:t>
      </w:r>
    </w:p>
    <w:p>
      <w:pPr>
        <w:pStyle w:val="ListBullet"/>
      </w:pPr>
      <w:r>
        <w:t>Per Person: ¥30 million minimum</w:t>
      </w:r>
    </w:p>
    <w:p>
      <w:pPr>
        <w:pStyle w:val="ListBullet"/>
      </w:pPr>
      <w:r>
        <w:t>Per Accident: ¥120 million minimum</w:t>
      </w:r>
    </w:p>
    <w:p>
      <w:pPr>
        <w:pStyle w:val="ListBullet"/>
      </w:pPr>
      <w:r>
        <w:t>Premium: Government-set rates (not customizable)</w:t>
      </w:r>
    </w:p>
    <w:p>
      <w:pPr>
        <w:pStyle w:val="ListBullet"/>
      </w:pPr>
      <w:r>
        <w:t>Coverage: Third-party bodily injury only</w:t>
      </w:r>
    </w:p>
    <w:p>
      <w:pPr>
        <w:pStyle w:val="Heading3"/>
      </w:pPr>
      <w:r>
        <w:t>4.1.2 Voluntary Insurance Coverage</w:t>
      </w:r>
    </w:p>
    <w:p>
      <w:r>
        <w:t>Bodily Injury Liability (対人賠償責任保険)</w:t>
      </w:r>
    </w:p>
    <w:p>
      <w:pPr>
        <w:pStyle w:val="ListBullet"/>
      </w:pPr>
      <w:r>
        <w:t>Coverage beyond compulsory minimum</w:t>
      </w:r>
    </w:p>
    <w:p>
      <w:pPr>
        <w:pStyle w:val="ListBullet"/>
      </w:pPr>
      <w:r>
        <w:t>Options: ¥50M, ¥100M, ¥200M, Unlimited</w:t>
      </w:r>
    </w:p>
    <w:p>
      <w:pPr>
        <w:pStyle w:val="ListBullet"/>
      </w:pPr>
      <w:r>
        <w:t>Covers: Third-party bodily injury</w:t>
      </w:r>
    </w:p>
    <w:p>
      <w:r>
        <w:t>Property Damage Liability (対物賠償責任保険)</w:t>
      </w:r>
    </w:p>
    <w:p>
      <w:pPr>
        <w:pStyle w:val="ListBullet"/>
      </w:pPr>
      <w:r>
        <w:t>Coverage: ¥5M, ¥10M, ¥20M, Unlimited</w:t>
      </w:r>
    </w:p>
    <w:p>
      <w:pPr>
        <w:pStyle w:val="ListBullet"/>
      </w:pPr>
      <w:r>
        <w:t>Covers: Third-party property damage</w:t>
      </w:r>
    </w:p>
    <w:p>
      <w:r>
        <w:t>Comprehensive Coverage (車両保険)</w:t>
      </w:r>
    </w:p>
    <w:p>
      <w:pPr>
        <w:pStyle w:val="ListBullet"/>
      </w:pPr>
      <w:r>
        <w:t>Own vehicle damage from:</w:t>
      </w:r>
    </w:p>
    <w:p>
      <w:pPr>
        <w:pStyle w:val="ListBullet"/>
      </w:pPr>
      <w:r>
        <w:t>Collision</w:t>
      </w:r>
    </w:p>
    <w:p>
      <w:pPr>
        <w:pStyle w:val="ListBullet"/>
      </w:pPr>
      <w:r>
        <w:t>Theft</w:t>
      </w:r>
    </w:p>
    <w:p>
      <w:pPr>
        <w:pStyle w:val="ListBullet"/>
      </w:pPr>
      <w:r>
        <w:t>Fire</w:t>
      </w:r>
    </w:p>
    <w:p>
      <w:pPr>
        <w:pStyle w:val="ListBullet"/>
      </w:pPr>
      <w:r>
        <w:t>Natural disasters</w:t>
      </w:r>
    </w:p>
    <w:p>
      <w:pPr>
        <w:pStyle w:val="ListBullet"/>
      </w:pPr>
      <w:r>
        <w:t>Vandalism</w:t>
      </w:r>
    </w:p>
    <w:p>
      <w:pPr>
        <w:pStyle w:val="ListBullet"/>
      </w:pPr>
      <w:r>
        <w:t>Options: Actual cash value or agreed value</w:t>
      </w:r>
    </w:p>
    <w:p>
      <w:r>
        <w:t>Personal Injury Protection (人身傷害保険)</w:t>
      </w:r>
    </w:p>
    <w:p>
      <w:pPr>
        <w:pStyle w:val="ListBullet"/>
      </w:pPr>
      <w:r>
        <w:t>Medical expenses for policyholder and passengers</w:t>
      </w:r>
    </w:p>
    <w:p>
      <w:pPr>
        <w:pStyle w:val="ListBullet"/>
      </w:pPr>
      <w:r>
        <w:t>Coverage: ¥5M, ¥10M, ¥20M per person</w:t>
      </w:r>
    </w:p>
    <w:p>
      <w:pPr>
        <w:pStyle w:val="ListBullet"/>
      </w:pPr>
      <w:r>
        <w:t>No-fault coverage</w:t>
      </w:r>
    </w:p>
    <w:p>
      <w:r>
        <w:t>Uninsured Motorist Coverage (無保険車傷害保険)</w:t>
      </w:r>
    </w:p>
    <w:p>
      <w:pPr>
        <w:pStyle w:val="ListBullet"/>
      </w:pPr>
      <w:r>
        <w:t>Protection against uninsured/underinsured drivers</w:t>
      </w:r>
    </w:p>
    <w:p>
      <w:pPr>
        <w:pStyle w:val="ListBullet"/>
      </w:pPr>
      <w:r>
        <w:t>Coverage: ¥5M, ¥10M, ¥20M</w:t>
      </w:r>
    </w:p>
    <w:p>
      <w:pPr>
        <w:pStyle w:val="Heading2"/>
      </w:pPr>
      <w:r>
        <w:t>4.2 Product Tiers</w:t>
      </w:r>
    </w:p>
    <w:p>
      <w:pPr>
        <w:pStyle w:val="Heading3"/>
      </w:pPr>
      <w:r>
        <w:t>4.2.1 Basic Tier</w:t>
      </w:r>
    </w:p>
    <w:p>
      <w:r>
        <w:t>Target: Budget-conscious customers, low-risk drivers</w:t>
      </w:r>
    </w:p>
    <w:p>
      <w:r>
        <w:t>Coverage:</w:t>
      </w:r>
    </w:p>
    <w:p>
      <w:pPr>
        <w:pStyle w:val="ListBullet"/>
      </w:pPr>
      <w:r>
        <w:t>Compulsory insurance (mandatory)</w:t>
      </w:r>
    </w:p>
    <w:p>
      <w:pPr>
        <w:pStyle w:val="ListBullet"/>
      </w:pPr>
      <w:r>
        <w:t>Property Damage Liability: ¥10M</w:t>
      </w:r>
    </w:p>
    <w:p>
      <w:pPr>
        <w:pStyle w:val="ListBullet"/>
      </w:pPr>
      <w:r>
        <w:t>Bodily Injury Liability: ¥50M</w:t>
      </w:r>
    </w:p>
    <w:p>
      <w:pPr>
        <w:pStyle w:val="ListBullet"/>
      </w:pPr>
      <w:r>
        <w:t>Personal Injury Protection: ¥5M per person</w:t>
      </w:r>
    </w:p>
    <w:p>
      <w:r>
        <w:t>Premium Range: ¥45,000 - ¥85,000 per year</w:t>
      </w:r>
    </w:p>
    <w:p>
      <w:r>
        <w:t>Features:</w:t>
      </w:r>
    </w:p>
    <w:p>
      <w:pPr>
        <w:pStyle w:val="ListBullet"/>
      </w:pPr>
      <w:r>
        <w:t>Online purchase and management</w:t>
      </w:r>
    </w:p>
    <w:p>
      <w:pPr>
        <w:pStyle w:val="ListBullet"/>
      </w:pPr>
      <w:r>
        <w:t>Basic claims support</w:t>
      </w:r>
    </w:p>
    <w:p>
      <w:pPr>
        <w:pStyle w:val="ListBullet"/>
      </w:pPr>
      <w:r>
        <w:t>Email customer service</w:t>
      </w:r>
    </w:p>
    <w:p>
      <w:pPr>
        <w:pStyle w:val="Heading3"/>
      </w:pPr>
      <w:r>
        <w:t>4.2.2 Standard Tier</w:t>
      </w:r>
    </w:p>
    <w:p>
      <w:r>
        <w:t>Target: Most customers, balanced coverage and price</w:t>
      </w:r>
    </w:p>
    <w:p>
      <w:r>
        <w:t>Coverage:</w:t>
      </w:r>
    </w:p>
    <w:p>
      <w:pPr>
        <w:pStyle w:val="ListBullet"/>
      </w:pPr>
      <w:r>
        <w:t>All Basic Tier coverage</w:t>
      </w:r>
    </w:p>
    <w:p>
      <w:pPr>
        <w:pStyle w:val="ListBullet"/>
      </w:pPr>
      <w:r>
        <w:t>Property Damage Liability: ¥20M</w:t>
      </w:r>
    </w:p>
    <w:p>
      <w:pPr>
        <w:pStyle w:val="ListBullet"/>
      </w:pPr>
      <w:r>
        <w:t>Bodily Injury Liability: ¥100M</w:t>
      </w:r>
    </w:p>
    <w:p>
      <w:pPr>
        <w:pStyle w:val="ListBullet"/>
      </w:pPr>
      <w:r>
        <w:t>Comprehensive Coverage: Actual cash value</w:t>
      </w:r>
    </w:p>
    <w:p>
      <w:pPr>
        <w:pStyle w:val="ListBullet"/>
      </w:pPr>
      <w:r>
        <w:t>Personal Injury Protection: ¥10M per person</w:t>
      </w:r>
    </w:p>
    <w:p>
      <w:pPr>
        <w:pStyle w:val="ListBullet"/>
      </w:pPr>
      <w:r>
        <w:t>Uninsured Motorist: ¥10M</w:t>
      </w:r>
    </w:p>
    <w:p>
      <w:r>
        <w:t>Premium Range: ¥75,000 - ¥150,000 per year</w:t>
      </w:r>
    </w:p>
    <w:p>
      <w:r>
        <w:t>Features:</w:t>
      </w:r>
    </w:p>
    <w:p>
      <w:pPr>
        <w:pStyle w:val="ListBullet"/>
      </w:pPr>
      <w:r>
        <w:t>All Basic Tier features</w:t>
      </w:r>
    </w:p>
    <w:p>
      <w:pPr>
        <w:pStyle w:val="ListBullet"/>
      </w:pPr>
      <w:r>
        <w:t>24/7 phone support</w:t>
      </w:r>
    </w:p>
    <w:p>
      <w:pPr>
        <w:pStyle w:val="ListBullet"/>
      </w:pPr>
      <w:r>
        <w:t>Roadside assistance (basic)</w:t>
      </w:r>
    </w:p>
    <w:p>
      <w:pPr>
        <w:pStyle w:val="ListBullet"/>
      </w:pPr>
      <w:r>
        <w:t>Mobile app access</w:t>
      </w:r>
    </w:p>
    <w:p>
      <w:pPr>
        <w:pStyle w:val="ListBullet"/>
      </w:pPr>
      <w:r>
        <w:t>Faster claims processing</w:t>
      </w:r>
    </w:p>
    <w:p>
      <w:pPr>
        <w:pStyle w:val="Heading3"/>
      </w:pPr>
      <w:r>
        <w:t>4.2.3 Premium Tier</w:t>
      </w:r>
    </w:p>
    <w:p>
      <w:r>
        <w:t>Target: High-value vehicles, business use, premium service seekers</w:t>
      </w:r>
    </w:p>
    <w:p>
      <w:r>
        <w:t>Coverage:</w:t>
      </w:r>
    </w:p>
    <w:p>
      <w:pPr>
        <w:pStyle w:val="ListBullet"/>
      </w:pPr>
      <w:r>
        <w:t>All Standard Tier coverage</w:t>
      </w:r>
    </w:p>
    <w:p>
      <w:pPr>
        <w:pStyle w:val="ListBullet"/>
      </w:pPr>
      <w:r>
        <w:t>Property Damage Liability: Unlimited</w:t>
      </w:r>
    </w:p>
    <w:p>
      <w:pPr>
        <w:pStyle w:val="ListBullet"/>
      </w:pPr>
      <w:r>
        <w:t>Bodily Injury Liability: Unlimited</w:t>
      </w:r>
    </w:p>
    <w:p>
      <w:pPr>
        <w:pStyle w:val="ListBullet"/>
      </w:pPr>
      <w:r>
        <w:t>Comprehensive Coverage: Agreed value option</w:t>
      </w:r>
    </w:p>
    <w:p>
      <w:pPr>
        <w:pStyle w:val="ListBullet"/>
      </w:pPr>
      <w:r>
        <w:t>Personal Injury Protection: ¥20M per person</w:t>
      </w:r>
    </w:p>
    <w:p>
      <w:pPr>
        <w:pStyle w:val="ListBullet"/>
      </w:pPr>
      <w:r>
        <w:t>Uninsured Motorist: ¥20M</w:t>
      </w:r>
    </w:p>
    <w:p>
      <w:pPr>
        <w:pStyle w:val="ListBullet"/>
      </w:pPr>
      <w:r>
        <w:t>Enhanced coverage limits</w:t>
      </w:r>
    </w:p>
    <w:p>
      <w:r>
        <w:t>Premium Range: ¥180,000 - ¥350,000 per year</w:t>
      </w:r>
    </w:p>
    <w:p>
      <w:r>
        <w:t>Features:</w:t>
      </w:r>
    </w:p>
    <w:p>
      <w:pPr>
        <w:pStyle w:val="ListBullet"/>
      </w:pPr>
      <w:r>
        <w:t>All Standard Tier features</w:t>
      </w:r>
    </w:p>
    <w:p>
      <w:pPr>
        <w:pStyle w:val="ListBullet"/>
      </w:pPr>
      <w:r>
        <w:t>Dedicated account manager</w:t>
      </w:r>
    </w:p>
    <w:p>
      <w:pPr>
        <w:pStyle w:val="ListBullet"/>
      </w:pPr>
      <w:r>
        <w:t>Priority claims processing</w:t>
      </w:r>
    </w:p>
    <w:p>
      <w:pPr>
        <w:pStyle w:val="ListBullet"/>
      </w:pPr>
      <w:r>
        <w:t>Premium roadside assistance</w:t>
      </w:r>
    </w:p>
    <w:p>
      <w:pPr>
        <w:pStyle w:val="ListBullet"/>
      </w:pPr>
      <w:r>
        <w:t>Concierge services</w:t>
      </w:r>
    </w:p>
    <w:p>
      <w:pPr>
        <w:pStyle w:val="ListBullet"/>
      </w:pPr>
      <w:r>
        <w:t>Rental car coverage</w:t>
      </w:r>
    </w:p>
    <w:p>
      <w:pPr>
        <w:pStyle w:val="ListBullet"/>
      </w:pPr>
      <w:r>
        <w:t>Travel interruption coverage</w:t>
      </w:r>
    </w:p>
    <w:p>
      <w:pPr>
        <w:pStyle w:val="Heading2"/>
      </w:pPr>
      <w:r>
        <w:t>4.3 Unique Features and Differentiators</w:t>
      </w:r>
    </w:p>
    <w:p>
      <w:pPr>
        <w:pStyle w:val="Heading3"/>
      </w:pPr>
      <w:r>
        <w:t>4.3.1 Tokyo-Specific Risk Assessment</w:t>
      </w:r>
    </w:p>
    <w:p>
      <w:pPr>
        <w:pStyle w:val="ListBullet"/>
      </w:pPr>
      <w:r>
        <w:t>Geographic pricing based on Tokyo ward-level data</w:t>
      </w:r>
    </w:p>
    <w:p>
      <w:pPr>
        <w:pStyle w:val="ListBullet"/>
      </w:pPr>
      <w:r>
        <w:t>Traffic pattern analysis</w:t>
      </w:r>
    </w:p>
    <w:p>
      <w:pPr>
        <w:pStyle w:val="ListBullet"/>
      </w:pPr>
      <w:r>
        <w:t>Weather risk factors specific to Tokyo</w:t>
      </w:r>
    </w:p>
    <w:p>
      <w:pPr>
        <w:pStyle w:val="ListBullet"/>
      </w:pPr>
      <w:r>
        <w:t>Urban density considerations</w:t>
      </w:r>
    </w:p>
    <w:p>
      <w:pPr>
        <w:pStyle w:val="Heading3"/>
      </w:pPr>
      <w:r>
        <w:t>4.3.2 Digital-First Experience</w:t>
      </w:r>
    </w:p>
    <w:p>
      <w:pPr>
        <w:pStyle w:val="ListBullet"/>
      </w:pPr>
      <w:r>
        <w:t>Complete online purchase in 8 minutes</w:t>
      </w:r>
    </w:p>
    <w:p>
      <w:pPr>
        <w:pStyle w:val="ListBullet"/>
      </w:pPr>
      <w:r>
        <w:t>Mobile app for all operations</w:t>
      </w:r>
    </w:p>
    <w:p>
      <w:pPr>
        <w:pStyle w:val="ListBullet"/>
      </w:pPr>
      <w:r>
        <w:t>Digital claims filing with photo upload</w:t>
      </w:r>
    </w:p>
    <w:p>
      <w:pPr>
        <w:pStyle w:val="ListBullet"/>
      </w:pPr>
      <w:r>
        <w:t>Real-time claim status tracking</w:t>
      </w:r>
    </w:p>
    <w:p>
      <w:pPr>
        <w:pStyle w:val="ListBullet"/>
      </w:pPr>
      <w:r>
        <w:t>Digital policy documents</w:t>
      </w:r>
    </w:p>
    <w:p>
      <w:pPr>
        <w:pStyle w:val="Heading3"/>
      </w:pPr>
      <w:r>
        <w:t>4.3.3 Usage-Based Insurance (UBI) Option</w:t>
      </w:r>
    </w:p>
    <w:p>
      <w:pPr>
        <w:pStyle w:val="ListBullet"/>
      </w:pPr>
      <w:r>
        <w:t>Pay-as-you-drive pricing</w:t>
      </w:r>
    </w:p>
    <w:p>
      <w:pPr>
        <w:pStyle w:val="ListBullet"/>
      </w:pPr>
      <w:r>
        <w:t>Telematics-based discounts</w:t>
      </w:r>
    </w:p>
    <w:p>
      <w:pPr>
        <w:pStyle w:val="ListBullet"/>
      </w:pPr>
      <w:r>
        <w:t>Mileage-based premiums</w:t>
      </w:r>
    </w:p>
    <w:p>
      <w:pPr>
        <w:pStyle w:val="ListBullet"/>
      </w:pPr>
      <w:r>
        <w:t>Safe driving rewards</w:t>
      </w:r>
    </w:p>
    <w:p>
      <w:pPr>
        <w:pStyle w:val="Heading3"/>
      </w:pPr>
      <w:r>
        <w:t>4.3.4 Smart Claims Processing</w:t>
      </w:r>
    </w:p>
    <w:p>
      <w:pPr>
        <w:pStyle w:val="ListBullet"/>
      </w:pPr>
      <w:r>
        <w:t>AI-powered damage assessment</w:t>
      </w:r>
    </w:p>
    <w:p>
      <w:pPr>
        <w:pStyle w:val="ListBullet"/>
      </w:pPr>
      <w:r>
        <w:t>Instant claim approval for minor incidents</w:t>
      </w:r>
    </w:p>
    <w:p>
      <w:pPr>
        <w:pStyle w:val="ListBullet"/>
      </w:pPr>
      <w:r>
        <w:t>Direct repair network integration</w:t>
      </w:r>
    </w:p>
    <w:p>
      <w:pPr>
        <w:pStyle w:val="ListBullet"/>
      </w:pPr>
      <w:r>
        <w:t>Cashless claims at partner garages</w:t>
      </w:r>
    </w:p>
    <w:p>
      <w:pPr>
        <w:pStyle w:val="Heading2"/>
      </w:pPr>
      <w:r>
        <w:t>4.4 Add-On Services</w:t>
      </w:r>
    </w:p>
    <w:p>
      <w:pPr>
        <w:pStyle w:val="Heading3"/>
      </w:pPr>
      <w:r>
        <w:t>4.4.1 Roadside Assistance</w:t>
      </w:r>
    </w:p>
    <w:p>
      <w:r>
        <w:t>Basic Plan:</w:t>
      </w:r>
    </w:p>
    <w:p>
      <w:pPr>
        <w:pStyle w:val="ListBullet"/>
      </w:pPr>
      <w:r>
        <w:t>Towing (up to 50 km)</w:t>
      </w:r>
    </w:p>
    <w:p>
      <w:pPr>
        <w:pStyle w:val="ListBullet"/>
      </w:pPr>
      <w:r>
        <w:t>Battery jump-start</w:t>
      </w:r>
    </w:p>
    <w:p>
      <w:pPr>
        <w:pStyle w:val="ListBullet"/>
      </w:pPr>
      <w:r>
        <w:t>Flat tire service</w:t>
      </w:r>
    </w:p>
    <w:p>
      <w:pPr>
        <w:pStyle w:val="ListBullet"/>
      </w:pPr>
      <w:r>
        <w:t>Lockout service</w:t>
      </w:r>
    </w:p>
    <w:p>
      <w:pPr>
        <w:pStyle w:val="ListBullet"/>
      </w:pPr>
      <w:r>
        <w:t>Fuel delivery</w:t>
      </w:r>
    </w:p>
    <w:p>
      <w:r>
        <w:t>Premium Plan:</w:t>
      </w:r>
    </w:p>
    <w:p>
      <w:pPr>
        <w:pStyle w:val="ListBullet"/>
      </w:pPr>
      <w:r>
        <w:t>All Basic services</w:t>
      </w:r>
    </w:p>
    <w:p>
      <w:pPr>
        <w:pStyle w:val="ListBullet"/>
      </w:pPr>
      <w:r>
        <w:t>Extended towing distance</w:t>
      </w:r>
    </w:p>
    <w:p>
      <w:pPr>
        <w:pStyle w:val="ListBullet"/>
      </w:pPr>
      <w:r>
        <w:t>Hotel accommodation if needed</w:t>
      </w:r>
    </w:p>
    <w:p>
      <w:pPr>
        <w:pStyle w:val="ListBullet"/>
      </w:pPr>
      <w:r>
        <w:t>Alternative transportation</w:t>
      </w:r>
    </w:p>
    <w:p>
      <w:pPr>
        <w:pStyle w:val="ListBullet"/>
      </w:pPr>
      <w:r>
        <w:t>24/7 concierge</w:t>
      </w:r>
    </w:p>
    <w:p>
      <w:pPr>
        <w:pStyle w:val="Heading3"/>
      </w:pPr>
      <w:r>
        <w:t>4.4.2 Legal Expense Coverage</w:t>
      </w:r>
    </w:p>
    <w:p>
      <w:pPr>
        <w:pStyle w:val="ListBullet"/>
      </w:pPr>
      <w:r>
        <w:t>Legal consultation</w:t>
      </w:r>
    </w:p>
    <w:p>
      <w:pPr>
        <w:pStyle w:val="ListBullet"/>
      </w:pPr>
      <w:r>
        <w:t>Court representation</w:t>
      </w:r>
    </w:p>
    <w:p>
      <w:pPr>
        <w:pStyle w:val="ListBullet"/>
      </w:pPr>
      <w:r>
        <w:t>Legal document preparation</w:t>
      </w:r>
    </w:p>
    <w:p>
      <w:pPr>
        <w:pStyle w:val="ListBullet"/>
      </w:pPr>
      <w:r>
        <w:t>Coverage: Up to ¥500,000 per incident</w:t>
      </w:r>
    </w:p>
    <w:p>
      <w:pPr>
        <w:pStyle w:val="Heading3"/>
      </w:pPr>
      <w:r>
        <w:t>4.4.3 Rental Car Coverage</w:t>
      </w:r>
    </w:p>
    <w:p>
      <w:pPr>
        <w:pStyle w:val="ListBullet"/>
      </w:pPr>
      <w:r>
        <w:t>Rental car during repairs</w:t>
      </w:r>
    </w:p>
    <w:p>
      <w:pPr>
        <w:pStyle w:val="ListBullet"/>
      </w:pPr>
      <w:r>
        <w:t>Coverage: Up to 14 days, ¥8,000 per day</w:t>
      </w:r>
    </w:p>
    <w:p>
      <w:pPr>
        <w:pStyle w:val="ListBullet"/>
      </w:pPr>
      <w:r>
        <w:t>Automatic activation for covered claims</w:t>
      </w:r>
    </w:p>
    <w:p>
      <w:pPr>
        <w:pStyle w:val="Heading3"/>
      </w:pPr>
      <w:r>
        <w:t>4.4.4 Travel Interruption Coverage</w:t>
      </w:r>
    </w:p>
    <w:p>
      <w:pPr>
        <w:pStyle w:val="ListBullet"/>
      </w:pPr>
      <w:r>
        <w:t>Hotel accommodation if stranded</w:t>
      </w:r>
    </w:p>
    <w:p>
      <w:pPr>
        <w:pStyle w:val="ListBullet"/>
      </w:pPr>
      <w:r>
        <w:t>Meals and transportation</w:t>
      </w:r>
    </w:p>
    <w:p>
      <w:pPr>
        <w:pStyle w:val="ListBullet"/>
      </w:pPr>
      <w:r>
        <w:t>Coverage: Up to ¥200,000 per incident</w:t>
      </w:r>
    </w:p>
    <w:p>
      <w:pPr>
        <w:pStyle w:val="Heading2"/>
      </w:pPr>
      <w:r>
        <w:t>4.5 Exclusions and Limitations</w:t>
      </w:r>
    </w:p>
    <w:p>
      <w:pPr>
        <w:pStyle w:val="Heading3"/>
      </w:pPr>
      <w:r>
        <w:t>4.5.1 Standard Exclusions</w:t>
      </w:r>
    </w:p>
    <w:p>
      <w:pPr>
        <w:pStyle w:val="ListBullet"/>
      </w:pPr>
      <w:r>
        <w:t>Intentional damage</w:t>
      </w:r>
    </w:p>
    <w:p>
      <w:pPr>
        <w:pStyle w:val="ListBullet"/>
      </w:pPr>
      <w:r>
        <w:t>Racing or speed contests</w:t>
      </w:r>
    </w:p>
    <w:p>
      <w:pPr>
        <w:pStyle w:val="ListBullet"/>
      </w:pPr>
      <w:r>
        <w:t>Driving under influence</w:t>
      </w:r>
    </w:p>
    <w:p>
      <w:pPr>
        <w:pStyle w:val="ListBullet"/>
      </w:pPr>
      <w:r>
        <w:t>Unlicensed driving</w:t>
      </w:r>
    </w:p>
    <w:p>
      <w:pPr>
        <w:pStyle w:val="ListBullet"/>
      </w:pPr>
      <w:r>
        <w:t>War or terrorism</w:t>
      </w:r>
    </w:p>
    <w:p>
      <w:pPr>
        <w:pStyle w:val="ListBullet"/>
      </w:pPr>
      <w:r>
        <w:t>Nuclear incidents</w:t>
      </w:r>
    </w:p>
    <w:p>
      <w:pPr>
        <w:pStyle w:val="ListBullet"/>
      </w:pPr>
      <w:r>
        <w:t>Wear and tear</w:t>
      </w:r>
    </w:p>
    <w:p>
      <w:pPr>
        <w:pStyle w:val="ListBullet"/>
      </w:pPr>
      <w:r>
        <w:t>Mechanical breakdown (unless covered separately)</w:t>
      </w:r>
    </w:p>
    <w:p>
      <w:pPr>
        <w:pStyle w:val="Heading3"/>
      </w:pPr>
      <w:r>
        <w:t>4.5.2 Coverage Limitations</w:t>
      </w:r>
    </w:p>
    <w:p>
      <w:pPr>
        <w:pStyle w:val="ListBullet"/>
      </w:pPr>
      <w:r>
        <w:t>Deductible: ¥50,000 - ¥200,000 depending on tier</w:t>
      </w:r>
    </w:p>
    <w:p>
      <w:pPr>
        <w:pStyle w:val="ListBullet"/>
      </w:pPr>
      <w:r>
        <w:t>Age Restrictions: Some coverage may not apply to vehicles over 15 years</w:t>
      </w:r>
    </w:p>
    <w:p>
      <w:pPr>
        <w:pStyle w:val="ListBullet"/>
      </w:pPr>
      <w:r>
        <w:t>Usage Restrictions: Commercial use may require additional coverage</w:t>
      </w:r>
    </w:p>
    <w:p>
      <w:pPr>
        <w:pStyle w:val="ListBullet"/>
      </w:pPr>
      <w:r>
        <w:t>Geographic Limits: Coverage primarily for Japan, limited international coverage</w:t>
      </w:r>
    </w:p>
    <w:p>
      <w:pPr>
        <w:pStyle w:val="Heading3"/>
      </w:pPr>
      <w:r>
        <w:t>4.5.3 Pre-Existing Conditions</w:t>
      </w:r>
    </w:p>
    <w:p>
      <w:pPr>
        <w:pStyle w:val="ListBullet"/>
      </w:pPr>
      <w:r>
        <w:t>Damage existing before policy start date</w:t>
      </w:r>
    </w:p>
    <w:p>
      <w:pPr>
        <w:pStyle w:val="ListBullet"/>
      </w:pPr>
      <w:r>
        <w:t>Known mechanical issues</w:t>
      </w:r>
    </w:p>
    <w:p>
      <w:pPr>
        <w:pStyle w:val="ListBullet"/>
      </w:pPr>
      <w:r>
        <w:t>Previous unrepaired damage</w:t>
      </w:r>
    </w:p>
    <w:p>
      <w:r>
        <w:t>---</w:t>
      </w:r>
    </w:p>
    <w:p>
      <w:pPr>
        <w:pStyle w:val="Heading1"/>
      </w:pPr>
      <w:r>
        <w:t>5. Risk Assessment &amp; Pricing Strategy</w:t>
      </w:r>
    </w:p>
    <w:p>
      <w:pPr>
        <w:pStyle w:val="Heading2"/>
      </w:pPr>
      <w:r>
        <w:t>5.1 Risk Factors Specific to Tokyo</w:t>
      </w:r>
    </w:p>
    <w:p>
      <w:pPr>
        <w:pStyle w:val="Heading3"/>
      </w:pPr>
      <w:r>
        <w:t>5.1.1 Geographic Risk Factors</w:t>
      </w:r>
    </w:p>
    <w:p>
      <w:r>
        <w:t>High-Risk Areas:</w:t>
      </w:r>
    </w:p>
    <w:p>
      <w:pPr>
        <w:pStyle w:val="ListBullet"/>
      </w:pPr>
      <w:r>
        <w:t>Central business districts (high traffic density)</w:t>
      </w:r>
    </w:p>
    <w:p>
      <w:pPr>
        <w:pStyle w:val="ListBullet"/>
      </w:pPr>
      <w:r>
        <w:t>Major highways and expressways</w:t>
      </w:r>
    </w:p>
    <w:p>
      <w:pPr>
        <w:pStyle w:val="ListBullet"/>
      </w:pPr>
      <w:r>
        <w:t>Areas with high pedestrian traffic</w:t>
      </w:r>
    </w:p>
    <w:p>
      <w:pPr>
        <w:pStyle w:val="ListBullet"/>
      </w:pPr>
      <w:r>
        <w:t>Narrow streets in older neighborhoods</w:t>
      </w:r>
    </w:p>
    <w:p>
      <w:r>
        <w:t>Risk Indicators:</w:t>
      </w:r>
    </w:p>
    <w:p>
      <w:pPr>
        <w:pStyle w:val="ListBullet"/>
      </w:pPr>
      <w:r>
        <w:t>Traffic volume</w:t>
      </w:r>
    </w:p>
    <w:p>
      <w:pPr>
        <w:pStyle w:val="ListBullet"/>
      </w:pPr>
      <w:r>
        <w:t>Accident frequency by location</w:t>
      </w:r>
    </w:p>
    <w:p>
      <w:pPr>
        <w:pStyle w:val="ListBullet"/>
      </w:pPr>
      <w:r>
        <w:t>Theft rates by area</w:t>
      </w:r>
    </w:p>
    <w:p>
      <w:pPr>
        <w:pStyle w:val="ListBullet"/>
      </w:pPr>
      <w:r>
        <w:t>Parking availability</w:t>
      </w:r>
    </w:p>
    <w:p>
      <w:pPr>
        <w:pStyle w:val="Heading3"/>
      </w:pPr>
      <w:r>
        <w:t>5.1.2 Traffic Density Impact</w:t>
      </w:r>
    </w:p>
    <w:p>
      <w:pPr>
        <w:pStyle w:val="ListBullet"/>
      </w:pPr>
      <w:r>
        <w:t>Rush Hour Risk: 35% higher accident rate during peak hours</w:t>
      </w:r>
    </w:p>
    <w:p>
      <w:pPr>
        <w:pStyle w:val="ListBullet"/>
      </w:pPr>
      <w:r>
        <w:t>Congestion Factor: Higher frequency, lower severity in dense traffic</w:t>
      </w:r>
    </w:p>
    <w:p>
      <w:pPr>
        <w:pStyle w:val="ListBullet"/>
      </w:pPr>
      <w:r>
        <w:t>Parking Risk: Higher risk of parking-related incidents</w:t>
      </w:r>
    </w:p>
    <w:p>
      <w:pPr>
        <w:pStyle w:val="Heading3"/>
      </w:pPr>
      <w:r>
        <w:t>5.1.3 Weather Risk Factors</w:t>
      </w:r>
    </w:p>
    <w:p>
      <w:r>
        <w:t>[Data Source: Japan Meteorological Agency]</w:t>
      </w:r>
    </w:p>
    <w:p>
      <w:pPr>
        <w:pStyle w:val="ListBullet"/>
      </w:pPr>
      <w:r>
        <w:t>Rainy Season (June-July): 18% increase in accidents</w:t>
      </w:r>
    </w:p>
    <w:p>
      <w:pPr>
        <w:pStyle w:val="ListBullet"/>
      </w:pPr>
      <w:r>
        <w:t>Typhoon Season (August-October): Higher comprehensive claims</w:t>
      </w:r>
    </w:p>
    <w:p>
      <w:pPr>
        <w:pStyle w:val="ListBullet"/>
      </w:pPr>
      <w:r>
        <w:t>Winter: Minimal impact (Tokyo has mild winters)</w:t>
      </w:r>
    </w:p>
    <w:p>
      <w:pPr>
        <w:pStyle w:val="Heading2"/>
      </w:pPr>
      <w:r>
        <w:t>5.2 Geographic Risk Zones</w:t>
      </w:r>
    </w:p>
    <w:p>
      <w:pPr>
        <w:pStyle w:val="Heading3"/>
      </w:pPr>
      <w:r>
        <w:t>5.2.1 Risk Zone Classification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Zone</w:t>
            </w:r>
          </w:p>
        </w:tc>
        <w:tc>
          <w:tcPr>
            <w:tcW w:type="dxa" w:w="2160"/>
          </w:tcPr>
          <w:p>
            <w:r>
              <w:rPr>
                <w:b/>
              </w:rPr>
              <w:t>Wards Included</w:t>
            </w:r>
          </w:p>
        </w:tc>
        <w:tc>
          <w:tcPr>
            <w:tcW w:type="dxa" w:w="2160"/>
          </w:tcPr>
          <w:p>
            <w:r>
              <w:rPr>
                <w:b/>
              </w:rPr>
              <w:t>Risk Multiplier</w:t>
            </w:r>
          </w:p>
        </w:tc>
        <w:tc>
          <w:tcPr>
            <w:tcW w:type="dxa" w:w="2160"/>
          </w:tcPr>
          <w:p>
            <w:r>
              <w:rPr>
                <w:b/>
              </w:rPr>
              <w:t>Characteristics</w:t>
            </w:r>
          </w:p>
        </w:tc>
      </w:tr>
      <w:tr>
        <w:tc>
          <w:tcPr>
            <w:tcW w:type="dxa" w:w="2160"/>
          </w:tcPr>
          <w:p>
            <w:r>
              <w:t>Zone 1 (High)</w:t>
            </w:r>
          </w:p>
        </w:tc>
        <w:tc>
          <w:tcPr>
            <w:tcW w:type="dxa" w:w="2160"/>
          </w:tcPr>
          <w:p>
            <w:r>
              <w:t>Chiyoda, Chuo, Minato, Shibuya, Shinjuku</w:t>
            </w:r>
          </w:p>
        </w:tc>
        <w:tc>
          <w:tcPr>
            <w:tcW w:type="dxa" w:w="2160"/>
          </w:tcPr>
          <w:p>
            <w:r>
              <w:t>1.3x</w:t>
            </w:r>
          </w:p>
        </w:tc>
        <w:tc>
          <w:tcPr>
            <w:tcW w:type="dxa" w:w="2160"/>
          </w:tcPr>
          <w:p>
            <w:r>
              <w:t>High traffic, business districts</w:t>
            </w:r>
          </w:p>
        </w:tc>
      </w:tr>
      <w:tr>
        <w:tc>
          <w:tcPr>
            <w:tcW w:type="dxa" w:w="2160"/>
          </w:tcPr>
          <w:p>
            <w:r>
              <w:t>Zone 2 (Medium-High)</w:t>
            </w:r>
          </w:p>
        </w:tc>
        <w:tc>
          <w:tcPr>
            <w:tcW w:type="dxa" w:w="2160"/>
          </w:tcPr>
          <w:p>
            <w:r>
              <w:t>Meguro, Setagaya, Shibuya (parts)</w:t>
            </w:r>
          </w:p>
        </w:tc>
        <w:tc>
          <w:tcPr>
            <w:tcW w:type="dxa" w:w="2160"/>
          </w:tcPr>
          <w:p>
            <w:r>
              <w:t>1.1x</w:t>
            </w:r>
          </w:p>
        </w:tc>
        <w:tc>
          <w:tcPr>
            <w:tcW w:type="dxa" w:w="2160"/>
          </w:tcPr>
          <w:p>
            <w:r>
              <w:t>Mixed residential/commercial</w:t>
            </w:r>
          </w:p>
        </w:tc>
      </w:tr>
      <w:tr>
        <w:tc>
          <w:tcPr>
            <w:tcW w:type="dxa" w:w="2160"/>
          </w:tcPr>
          <w:p>
            <w:r>
              <w:t>Zone 3 (Medium)</w:t>
            </w:r>
          </w:p>
        </w:tc>
        <w:tc>
          <w:tcPr>
            <w:tcW w:type="dxa" w:w="2160"/>
          </w:tcPr>
          <w:p>
            <w:r>
              <w:t>Most residential wards</w:t>
            </w:r>
          </w:p>
        </w:tc>
        <w:tc>
          <w:tcPr>
            <w:tcW w:type="dxa" w:w="2160"/>
          </w:tcPr>
          <w:p>
            <w:r>
              <w:t>1.0x</w:t>
            </w:r>
          </w:p>
        </w:tc>
        <w:tc>
          <w:tcPr>
            <w:tcW w:type="dxa" w:w="2160"/>
          </w:tcPr>
          <w:p>
            <w:r>
              <w:t>Standard risk</w:t>
            </w:r>
          </w:p>
        </w:tc>
      </w:tr>
      <w:tr>
        <w:tc>
          <w:tcPr>
            <w:tcW w:type="dxa" w:w="2160"/>
          </w:tcPr>
          <w:p>
            <w:r>
              <w:t>Zone 4 (Low)</w:t>
            </w:r>
          </w:p>
        </w:tc>
        <w:tc>
          <w:tcPr>
            <w:tcW w:type="dxa" w:w="2160"/>
          </w:tcPr>
          <w:p>
            <w:r>
              <w:t>Outer wards, suburban areas</w:t>
            </w:r>
          </w:p>
        </w:tc>
        <w:tc>
          <w:tcPr>
            <w:tcW w:type="dxa" w:w="2160"/>
          </w:tcPr>
          <w:p>
            <w:r>
              <w:t>0.9x</w:t>
            </w:r>
          </w:p>
        </w:tc>
        <w:tc>
          <w:tcPr>
            <w:tcW w:type="dxa" w:w="2160"/>
          </w:tcPr>
          <w:p>
            <w:r>
              <w:t>Lower traffic density</w:t>
            </w:r>
          </w:p>
        </w:tc>
      </w:tr>
    </w:tbl>
    <w:p>
      <w:pPr>
        <w:pStyle w:val="Heading2"/>
      </w:pPr>
      <w:r>
        <w:t>5.3 Driver Age and Experience Factors</w:t>
      </w:r>
    </w:p>
    <w:p>
      <w:pPr>
        <w:pStyle w:val="Heading3"/>
      </w:pPr>
      <w:r>
        <w:t>5.3.1 Age-Based 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Age Group</w:t>
            </w:r>
          </w:p>
        </w:tc>
        <w:tc>
          <w:tcPr>
            <w:tcW w:type="dxa" w:w="2880"/>
          </w:tcPr>
          <w:p>
            <w:r>
              <w:rPr>
                <w:b/>
              </w:rPr>
              <w:t>Risk Multiplier</w:t>
            </w:r>
          </w:p>
        </w:tc>
        <w:tc>
          <w:tcPr>
            <w:tcW w:type="dxa" w:w="2880"/>
          </w:tcPr>
          <w:p>
            <w:r>
              <w:rPr>
                <w:b/>
              </w:rPr>
              <w:t>Rationale</w:t>
            </w:r>
          </w:p>
        </w:tc>
      </w:tr>
      <w:tr>
        <w:tc>
          <w:tcPr>
            <w:tcW w:type="dxa" w:w="2880"/>
          </w:tcPr>
          <w:p>
            <w:r>
              <w:t>18-24</w:t>
            </w:r>
          </w:p>
        </w:tc>
        <w:tc>
          <w:tcPr>
            <w:tcW w:type="dxa" w:w="2880"/>
          </w:tcPr>
          <w:p>
            <w:r>
              <w:t>1.5x</w:t>
            </w:r>
          </w:p>
        </w:tc>
        <w:tc>
          <w:tcPr>
            <w:tcW w:type="dxa" w:w="2880"/>
          </w:tcPr>
          <w:p>
            <w:r>
              <w:t>Inexperience, higher accident rate</w:t>
            </w:r>
          </w:p>
        </w:tc>
      </w:tr>
      <w:tr>
        <w:tc>
          <w:tcPr>
            <w:tcW w:type="dxa" w:w="2880"/>
          </w:tcPr>
          <w:p>
            <w:r>
              <w:t>25-34</w:t>
            </w:r>
          </w:p>
        </w:tc>
        <w:tc>
          <w:tcPr>
            <w:tcW w:type="dxa" w:w="2880"/>
          </w:tcPr>
          <w:p>
            <w:r>
              <w:t>1.2x</w:t>
            </w:r>
          </w:p>
        </w:tc>
        <w:tc>
          <w:tcPr>
            <w:tcW w:type="dxa" w:w="2880"/>
          </w:tcPr>
          <w:p>
            <w:r>
              <w:t>Still building experience</w:t>
            </w:r>
          </w:p>
        </w:tc>
      </w:tr>
      <w:tr>
        <w:tc>
          <w:tcPr>
            <w:tcW w:type="dxa" w:w="2880"/>
          </w:tcPr>
          <w:p>
            <w:r>
              <w:t>35-54</w:t>
            </w:r>
          </w:p>
        </w:tc>
        <w:tc>
          <w:tcPr>
            <w:tcW w:type="dxa" w:w="2880"/>
          </w:tcPr>
          <w:p>
            <w:r>
              <w:t>1.0x</w:t>
            </w:r>
          </w:p>
        </w:tc>
        <w:tc>
          <w:tcPr>
            <w:tcW w:type="dxa" w:w="2880"/>
          </w:tcPr>
          <w:p>
            <w:r>
              <w:t>Base rate, peak experience</w:t>
            </w:r>
          </w:p>
        </w:tc>
      </w:tr>
      <w:tr>
        <w:tc>
          <w:tcPr>
            <w:tcW w:type="dxa" w:w="2880"/>
          </w:tcPr>
          <w:p>
            <w:r>
              <w:t>55-64</w:t>
            </w:r>
          </w:p>
        </w:tc>
        <w:tc>
          <w:tcPr>
            <w:tcW w:type="dxa" w:w="2880"/>
          </w:tcPr>
          <w:p>
            <w:r>
              <w:t>1.0x</w:t>
            </w:r>
          </w:p>
        </w:tc>
        <w:tc>
          <w:tcPr>
            <w:tcW w:type="dxa" w:w="2880"/>
          </w:tcPr>
          <w:p>
            <w:r>
              <w:t>Experienced, stable</w:t>
            </w:r>
          </w:p>
        </w:tc>
      </w:tr>
      <w:tr>
        <w:tc>
          <w:tcPr>
            <w:tcW w:type="dxa" w:w="2880"/>
          </w:tcPr>
          <w:p>
            <w:r>
              <w:t>65-74</w:t>
            </w:r>
          </w:p>
        </w:tc>
        <w:tc>
          <w:tcPr>
            <w:tcW w:type="dxa" w:w="2880"/>
          </w:tcPr>
          <w:p>
            <w:r>
              <w:t>1.1x</w:t>
            </w:r>
          </w:p>
        </w:tc>
        <w:tc>
          <w:tcPr>
            <w:tcW w:type="dxa" w:w="2880"/>
          </w:tcPr>
          <w:p>
            <w:r>
              <w:t>Some age-related factors</w:t>
            </w:r>
          </w:p>
        </w:tc>
      </w:tr>
      <w:tr>
        <w:tc>
          <w:tcPr>
            <w:tcW w:type="dxa" w:w="2880"/>
          </w:tcPr>
          <w:p>
            <w:r>
              <w:t>75+</w:t>
            </w:r>
          </w:p>
        </w:tc>
        <w:tc>
          <w:tcPr>
            <w:tcW w:type="dxa" w:w="2880"/>
          </w:tcPr>
          <w:p>
            <w:r>
              <w:t>1.3x</w:t>
            </w:r>
          </w:p>
        </w:tc>
        <w:tc>
          <w:tcPr>
            <w:tcW w:type="dxa" w:w="2880"/>
          </w:tcPr>
          <w:p>
            <w:r>
              <w:t>Higher risk, may require assessment</w:t>
            </w:r>
          </w:p>
        </w:tc>
      </w:tr>
    </w:tbl>
    <w:p>
      <w:pPr>
        <w:pStyle w:val="Heading3"/>
      </w:pPr>
      <w:r>
        <w:t>5.3.2 License Tenure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Years of Experience</w:t>
            </w:r>
          </w:p>
        </w:tc>
        <w:tc>
          <w:tcPr>
            <w:tcW w:type="dxa" w:w="4320"/>
          </w:tcPr>
          <w:p>
            <w:r>
              <w:rPr>
                <w:b/>
              </w:rPr>
              <w:t>Discount</w:t>
            </w:r>
          </w:p>
        </w:tc>
      </w:tr>
      <w:tr>
        <w:tc>
          <w:tcPr>
            <w:tcW w:type="dxa" w:w="4320"/>
          </w:tcPr>
          <w:p>
            <w:r>
              <w:t>0-2 years</w:t>
            </w:r>
          </w:p>
        </w:tc>
        <w:tc>
          <w:tcPr>
            <w:tcW w:type="dxa" w:w="4320"/>
          </w:tcPr>
          <w:p>
            <w:r>
              <w:t>Base rate</w:t>
            </w:r>
          </w:p>
        </w:tc>
      </w:tr>
      <w:tr>
        <w:tc>
          <w:tcPr>
            <w:tcW w:type="dxa" w:w="4320"/>
          </w:tcPr>
          <w:p>
            <w:r>
              <w:t>3-5 years</w:t>
            </w:r>
          </w:p>
        </w:tc>
        <w:tc>
          <w:tcPr>
            <w:tcW w:type="dxa" w:w="4320"/>
          </w:tcPr>
          <w:p>
            <w:r>
              <w:t>-5%</w:t>
            </w:r>
          </w:p>
        </w:tc>
      </w:tr>
      <w:tr>
        <w:tc>
          <w:tcPr>
            <w:tcW w:type="dxa" w:w="4320"/>
          </w:tcPr>
          <w:p>
            <w:r>
              <w:t>6-10 years</w:t>
            </w:r>
          </w:p>
        </w:tc>
        <w:tc>
          <w:tcPr>
            <w:tcW w:type="dxa" w:w="4320"/>
          </w:tcPr>
          <w:p>
            <w:r>
              <w:t>-10%</w:t>
            </w:r>
          </w:p>
        </w:tc>
      </w:tr>
      <w:tr>
        <w:tc>
          <w:tcPr>
            <w:tcW w:type="dxa" w:w="4320"/>
          </w:tcPr>
          <w:p>
            <w:r>
              <w:t>11+ years</w:t>
            </w:r>
          </w:p>
        </w:tc>
        <w:tc>
          <w:tcPr>
            <w:tcW w:type="dxa" w:w="4320"/>
          </w:tcPr>
          <w:p>
            <w:r>
              <w:t>-15%</w:t>
            </w:r>
          </w:p>
        </w:tc>
      </w:tr>
    </w:tbl>
    <w:p>
      <w:pPr>
        <w:pStyle w:val="Heading2"/>
      </w:pPr>
      <w:r>
        <w:t>5.4 Vehicle Type Considerations</w:t>
      </w:r>
    </w:p>
    <w:p>
      <w:pPr>
        <w:pStyle w:val="Heading3"/>
      </w:pPr>
      <w:r>
        <w:t>5.4.1 Vehicle Type Risk Factors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Vehicle Type</w:t>
            </w:r>
          </w:p>
        </w:tc>
        <w:tc>
          <w:tcPr>
            <w:tcW w:type="dxa" w:w="2880"/>
          </w:tcPr>
          <w:p>
            <w:r>
              <w:rPr>
                <w:b/>
              </w:rPr>
              <w:t>Risk Multiplier</w:t>
            </w:r>
          </w:p>
        </w:tc>
        <w:tc>
          <w:tcPr>
            <w:tcW w:type="dxa" w:w="2880"/>
          </w:tcPr>
          <w:p>
            <w:r>
              <w:rPr>
                <w:b/>
              </w:rPr>
              <w:t>Average Claim Amount</w:t>
            </w:r>
          </w:p>
        </w:tc>
      </w:tr>
      <w:tr>
        <w:tc>
          <w:tcPr>
            <w:tcW w:type="dxa" w:w="2880"/>
          </w:tcPr>
          <w:p>
            <w:r>
              <w:t>Compact (Kei)</w:t>
            </w:r>
          </w:p>
        </w:tc>
        <w:tc>
          <w:tcPr>
            <w:tcW w:type="dxa" w:w="2880"/>
          </w:tcPr>
          <w:p>
            <w:r>
              <w:t>0.9x</w:t>
            </w:r>
          </w:p>
        </w:tc>
        <w:tc>
          <w:tcPr>
            <w:tcW w:type="dxa" w:w="2880"/>
          </w:tcPr>
          <w:p>
            <w:r>
              <w:t>¥650,000</w:t>
            </w:r>
          </w:p>
        </w:tc>
      </w:tr>
      <w:tr>
        <w:tc>
          <w:tcPr>
            <w:tcW w:type="dxa" w:w="2880"/>
          </w:tcPr>
          <w:p>
            <w:r>
              <w:t>Sedan</w:t>
            </w:r>
          </w:p>
        </w:tc>
        <w:tc>
          <w:tcPr>
            <w:tcW w:type="dxa" w:w="2880"/>
          </w:tcPr>
          <w:p>
            <w:r>
              <w:t>1.0x</w:t>
            </w:r>
          </w:p>
        </w:tc>
        <w:tc>
          <w:tcPr>
            <w:tcW w:type="dxa" w:w="2880"/>
          </w:tcPr>
          <w:p>
            <w:r>
              <w:t>¥850,000</w:t>
            </w:r>
          </w:p>
        </w:tc>
      </w:tr>
      <w:tr>
        <w:tc>
          <w:tcPr>
            <w:tcW w:type="dxa" w:w="2880"/>
          </w:tcPr>
          <w:p>
            <w:r>
              <w:t>SUV</w:t>
            </w:r>
          </w:p>
        </w:tc>
        <w:tc>
          <w:tcPr>
            <w:tcW w:type="dxa" w:w="2880"/>
          </w:tcPr>
          <w:p>
            <w:r>
              <w:t>1.1x</w:t>
            </w:r>
          </w:p>
        </w:tc>
        <w:tc>
          <w:tcPr>
            <w:tcW w:type="dxa" w:w="2880"/>
          </w:tcPr>
          <w:p>
            <w:r>
              <w:t>¥1,100,000</w:t>
            </w:r>
          </w:p>
        </w:tc>
      </w:tr>
      <w:tr>
        <w:tc>
          <w:tcPr>
            <w:tcW w:type="dxa" w:w="2880"/>
          </w:tcPr>
          <w:p>
            <w:r>
              <w:t>Luxury</w:t>
            </w:r>
          </w:p>
        </w:tc>
        <w:tc>
          <w:tcPr>
            <w:tcW w:type="dxa" w:w="2880"/>
          </w:tcPr>
          <w:p>
            <w:r>
              <w:t>1.2x</w:t>
            </w:r>
          </w:p>
        </w:tc>
        <w:tc>
          <w:tcPr>
            <w:tcW w:type="dxa" w:w="2880"/>
          </w:tcPr>
          <w:p>
            <w:r>
              <w:t>¥2,200,000</w:t>
            </w:r>
          </w:p>
        </w:tc>
      </w:tr>
      <w:tr>
        <w:tc>
          <w:tcPr>
            <w:tcW w:type="dxa" w:w="2880"/>
          </w:tcPr>
          <w:p>
            <w:r>
              <w:t>Sports Car</w:t>
            </w:r>
          </w:p>
        </w:tc>
        <w:tc>
          <w:tcPr>
            <w:tcW w:type="dxa" w:w="2880"/>
          </w:tcPr>
          <w:p>
            <w:r>
              <w:t>1.5x</w:t>
            </w:r>
          </w:p>
        </w:tc>
        <w:tc>
          <w:tcPr>
            <w:tcW w:type="dxa" w:w="2880"/>
          </w:tcPr>
          <w:p>
            <w:r>
              <w:t>¥1,800,000</w:t>
            </w:r>
          </w:p>
        </w:tc>
      </w:tr>
      <w:tr>
        <w:tc>
          <w:tcPr>
            <w:tcW w:type="dxa" w:w="2880"/>
          </w:tcPr>
          <w:p>
            <w:r>
              <w:t>Commercial</w:t>
            </w:r>
          </w:p>
        </w:tc>
        <w:tc>
          <w:tcPr>
            <w:tcW w:type="dxa" w:w="2880"/>
          </w:tcPr>
          <w:p>
            <w:r>
              <w:t>1.3x</w:t>
            </w:r>
          </w:p>
        </w:tc>
        <w:tc>
          <w:tcPr>
            <w:tcW w:type="dxa" w:w="2880"/>
          </w:tcPr>
          <w:p>
            <w:r>
              <w:t>¥950,000</w:t>
            </w:r>
          </w:p>
        </w:tc>
      </w:tr>
      <w:tr>
        <w:tc>
          <w:tcPr>
            <w:tcW w:type="dxa" w:w="2880"/>
          </w:tcPr>
          <w:p>
            <w:r>
              <w:t>Motorcycle</w:t>
            </w:r>
          </w:p>
        </w:tc>
        <w:tc>
          <w:tcPr>
            <w:tcW w:type="dxa" w:w="2880"/>
          </w:tcPr>
          <w:p>
            <w:r>
              <w:t>2.0x</w:t>
            </w:r>
          </w:p>
        </w:tc>
        <w:tc>
          <w:tcPr>
            <w:tcW w:type="dxa" w:w="2880"/>
          </w:tcPr>
          <w:p>
            <w:r>
              <w:t>¥720,000</w:t>
            </w:r>
          </w:p>
        </w:tc>
      </w:tr>
    </w:tbl>
    <w:p>
      <w:pPr>
        <w:pStyle w:val="Heading3"/>
      </w:pPr>
      <w:r>
        <w:t>5.4.2 Vehicle Age Factor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Vehicle Age</w:t>
            </w:r>
          </w:p>
        </w:tc>
        <w:tc>
          <w:tcPr>
            <w:tcW w:type="dxa" w:w="2880"/>
          </w:tcPr>
          <w:p>
            <w:r>
              <w:rPr>
                <w:b/>
              </w:rPr>
              <w:t>Risk Multiplier</w:t>
            </w:r>
          </w:p>
        </w:tc>
        <w:tc>
          <w:tcPr>
            <w:tcW w:type="dxa" w:w="2880"/>
          </w:tcPr>
          <w:p>
            <w:r>
              <w:rPr>
                <w:b/>
              </w:rPr>
              <w:t>Rationale</w:t>
            </w:r>
          </w:p>
        </w:tc>
      </w:tr>
      <w:tr>
        <w:tc>
          <w:tcPr>
            <w:tcW w:type="dxa" w:w="2880"/>
          </w:tcPr>
          <w:p>
            <w:r>
              <w:t>0-3 years</w:t>
            </w:r>
          </w:p>
        </w:tc>
        <w:tc>
          <w:tcPr>
            <w:tcW w:type="dxa" w:w="2880"/>
          </w:tcPr>
          <w:p>
            <w:r>
              <w:t>0.95x</w:t>
            </w:r>
          </w:p>
        </w:tc>
        <w:tc>
          <w:tcPr>
            <w:tcW w:type="dxa" w:w="2880"/>
          </w:tcPr>
          <w:p>
            <w:r>
              <w:t>New, reliable</w:t>
            </w:r>
          </w:p>
        </w:tc>
      </w:tr>
      <w:tr>
        <w:tc>
          <w:tcPr>
            <w:tcW w:type="dxa" w:w="2880"/>
          </w:tcPr>
          <w:p>
            <w:r>
              <w:t>4-7 years</w:t>
            </w:r>
          </w:p>
        </w:tc>
        <w:tc>
          <w:tcPr>
            <w:tcW w:type="dxa" w:w="2880"/>
          </w:tcPr>
          <w:p>
            <w:r>
              <w:t>1.0x</w:t>
            </w:r>
          </w:p>
        </w:tc>
        <w:tc>
          <w:tcPr>
            <w:tcW w:type="dxa" w:w="2880"/>
          </w:tcPr>
          <w:p>
            <w:r>
              <w:t>Base rate</w:t>
            </w:r>
          </w:p>
        </w:tc>
      </w:tr>
      <w:tr>
        <w:tc>
          <w:tcPr>
            <w:tcW w:type="dxa" w:w="2880"/>
          </w:tcPr>
          <w:p>
            <w:r>
              <w:t>8-12 years</w:t>
            </w:r>
          </w:p>
        </w:tc>
        <w:tc>
          <w:tcPr>
            <w:tcW w:type="dxa" w:w="2880"/>
          </w:tcPr>
          <w:p>
            <w:r>
              <w:t>1.1x</w:t>
            </w:r>
          </w:p>
        </w:tc>
        <w:tc>
          <w:tcPr>
            <w:tcW w:type="dxa" w:w="2880"/>
          </w:tcPr>
          <w:p>
            <w:r>
              <w:t>Aging components</w:t>
            </w:r>
          </w:p>
        </w:tc>
      </w:tr>
      <w:tr>
        <w:tc>
          <w:tcPr>
            <w:tcW w:type="dxa" w:w="2880"/>
          </w:tcPr>
          <w:p>
            <w:r>
              <w:t>13+ years</w:t>
            </w:r>
          </w:p>
        </w:tc>
        <w:tc>
          <w:tcPr>
            <w:tcW w:type="dxa" w:w="2880"/>
          </w:tcPr>
          <w:p>
            <w:r>
              <w:t>1.2x</w:t>
            </w:r>
          </w:p>
        </w:tc>
        <w:tc>
          <w:tcPr>
            <w:tcW w:type="dxa" w:w="2880"/>
          </w:tcPr>
          <w:p>
            <w:r>
              <w:t>Higher breakdown risk</w:t>
            </w:r>
          </w:p>
        </w:tc>
      </w:tr>
    </w:tbl>
    <w:p>
      <w:pPr>
        <w:pStyle w:val="Heading3"/>
      </w:pPr>
      <w:r>
        <w:t>5.4.3 Vehicle Value Impact</w:t>
      </w:r>
    </w:p>
    <w:p>
      <w:pPr>
        <w:pStyle w:val="ListBullet"/>
      </w:pPr>
      <w:r>
        <w:t>Higher value vehicles: Higher comprehensive coverage premiums</w:t>
      </w:r>
    </w:p>
    <w:p>
      <w:pPr>
        <w:pStyle w:val="ListBullet"/>
      </w:pPr>
      <w:r>
        <w:t>Theft risk: Luxury vehicles have higher theft rates</w:t>
      </w:r>
    </w:p>
    <w:p>
      <w:pPr>
        <w:pStyle w:val="ListBullet"/>
      </w:pPr>
      <w:r>
        <w:t>Repair costs: Premium brands have higher repair costs</w:t>
      </w:r>
    </w:p>
    <w:p>
      <w:pPr>
        <w:pStyle w:val="Heading2"/>
      </w:pPr>
      <w:r>
        <w:t>5.5 Pricing Methodology</w:t>
      </w:r>
    </w:p>
    <w:p>
      <w:pPr>
        <w:pStyle w:val="Heading3"/>
      </w:pPr>
      <w:r>
        <w:t>5.5.1 Pure Premium Calculation</w:t>
      </w:r>
    </w:p>
    <w:p>
      <w:r>
        <w:t>Formula: Pure Premium = Expected Frequency × Expected Severity</w:t>
      </w:r>
    </w:p>
    <w:p>
      <w:r>
        <w:t>Components:</w:t>
      </w:r>
    </w:p>
    <w:p>
      <w:pPr>
        <w:pStyle w:val="ListBullet"/>
      </w:pPr>
      <w:r>
        <w:t>Frequency: Accidents per 1,000 vehicles by segment</w:t>
      </w:r>
    </w:p>
    <w:p>
      <w:pPr>
        <w:pStyle w:val="ListBullet"/>
      </w:pPr>
      <w:r>
        <w:t>Severity: Average claim amount by claim type</w:t>
      </w:r>
    </w:p>
    <w:p>
      <w:pPr>
        <w:pStyle w:val="ListBullet"/>
      </w:pPr>
      <w:r>
        <w:t>Trend Factors: Historical trends and projections</w:t>
      </w:r>
    </w:p>
    <w:p>
      <w:pPr>
        <w:pStyle w:val="Heading3"/>
      </w:pPr>
      <w:r>
        <w:t>5.5.2 Rating Factors</w:t>
      </w:r>
    </w:p>
    <w:p>
      <w:r>
        <w:t>Base Premium: Calculated from industry data and internal models</w:t>
      </w:r>
    </w:p>
    <w:p>
      <w:r>
        <w:t>Multipliers Applied:</w:t>
      </w:r>
    </w:p>
    <w:p>
      <w:r>
        <w:t>1. Geographic Zone: 0.9x - 1.3x</w:t>
      </w:r>
    </w:p>
    <w:p>
      <w:r>
        <w:t>2. Driver Age: 1.0x - 1.5x</w:t>
      </w:r>
    </w:p>
    <w:p>
      <w:r>
        <w:t>3. License Tenure: 1.0x - 0.85x (discount)</w:t>
      </w:r>
    </w:p>
    <w:p>
      <w:r>
        <w:t>4. Vehicle Type: 0.9x - 2.0x</w:t>
      </w:r>
    </w:p>
    <w:p>
      <w:r>
        <w:t>5. Vehicle Age: 0.95x - 1.2x</w:t>
      </w:r>
    </w:p>
    <w:p>
      <w:r>
        <w:t>6. Claims History: 1.0x - 1.5x (surcharge)</w:t>
      </w:r>
    </w:p>
    <w:p>
      <w:r>
        <w:t>7. Annual Mileage: 0.9x - 1.2x</w:t>
      </w:r>
    </w:p>
    <w:p>
      <w:r>
        <w:t>Final Premium = Base Premium × (All Multipliers) × (1 + Expense Loading + Profit Margin)</w:t>
      </w:r>
    </w:p>
    <w:p>
      <w:pPr>
        <w:pStyle w:val="Heading3"/>
      </w:pPr>
      <w:r>
        <w:t>5.5.3 Expense Loading</w:t>
      </w:r>
    </w:p>
    <w:p>
      <w:pPr>
        <w:pStyle w:val="ListBullet"/>
      </w:pPr>
      <w:r>
        <w:t>Acquisition Costs: 12% of premium</w:t>
      </w:r>
    </w:p>
    <w:p>
      <w:pPr>
        <w:pStyle w:val="ListBullet"/>
      </w:pPr>
      <w:r>
        <w:t>Administrative Expenses: 8% of premium</w:t>
      </w:r>
    </w:p>
    <w:p>
      <w:pPr>
        <w:pStyle w:val="ListBullet"/>
      </w:pPr>
      <w:r>
        <w:t>Claims Handling: 5% of premium</w:t>
      </w:r>
    </w:p>
    <w:p>
      <w:pPr>
        <w:pStyle w:val="ListBullet"/>
      </w:pPr>
      <w:r>
        <w:t>Total Expense Ratio: 30% (target: 25-35%)</w:t>
      </w:r>
    </w:p>
    <w:p>
      <w:pPr>
        <w:pStyle w:val="Heading3"/>
      </w:pPr>
      <w:r>
        <w:t>5.5.4 Profit Margin</w:t>
      </w:r>
    </w:p>
    <w:p>
      <w:pPr>
        <w:pStyle w:val="ListBullet"/>
      </w:pPr>
      <w:r>
        <w:t>Target Profit Margin: 7% (typically 5-10%)</w:t>
      </w:r>
    </w:p>
    <w:p>
      <w:pPr>
        <w:pStyle w:val="ListBullet"/>
      </w:pPr>
      <w:r>
        <w:t>Combined Ratio Target: &lt; 100% (Loss Ratio + Expense Ratio)</w:t>
      </w:r>
    </w:p>
    <w:p>
      <w:pPr>
        <w:pStyle w:val="Heading2"/>
      </w:pPr>
      <w:r>
        <w:t>5.6 Premium Structure</w:t>
      </w:r>
    </w:p>
    <w:p>
      <w:pPr>
        <w:pStyle w:val="Heading3"/>
      </w:pPr>
      <w:r>
        <w:t>5.6.1 Annual Premium Examples</w:t>
      </w:r>
    </w:p>
    <w:p>
      <w:r>
        <w:t>Example 1: Young Professional</w:t>
      </w:r>
    </w:p>
    <w:p>
      <w:pPr>
        <w:pStyle w:val="ListBullet"/>
      </w:pPr>
      <w:r>
        <w:t>Age: 28, License: 5 years</w:t>
      </w:r>
    </w:p>
    <w:p>
      <w:pPr>
        <w:pStyle w:val="ListBullet"/>
      </w:pPr>
      <w:r>
        <w:t>Vehicle: 2022 Sedan, Value: ¥2.5M</w:t>
      </w:r>
    </w:p>
    <w:p>
      <w:pPr>
        <w:pStyle w:val="ListBullet"/>
      </w:pPr>
      <w:r>
        <w:t>Location: Shibuya (Zone 1)</w:t>
      </w:r>
    </w:p>
    <w:p>
      <w:pPr>
        <w:pStyle w:val="ListBullet"/>
      </w:pPr>
      <w:r>
        <w:t>Coverage: Standard Tier</w:t>
      </w:r>
    </w:p>
    <w:p>
      <w:pPr>
        <w:pStyle w:val="ListBullet"/>
      </w:pPr>
      <w:r>
        <w:t>Annual Premium: ¥98,000</w:t>
      </w:r>
    </w:p>
    <w:p>
      <w:r>
        <w:t>Example 2: Family</w:t>
      </w:r>
    </w:p>
    <w:p>
      <w:pPr>
        <w:pStyle w:val="ListBullet"/>
      </w:pPr>
      <w:r>
        <w:t>Age: 38, License: 15 years</w:t>
      </w:r>
    </w:p>
    <w:p>
      <w:pPr>
        <w:pStyle w:val="ListBullet"/>
      </w:pPr>
      <w:r>
        <w:t>Vehicle: 2021 SUV, Value: ¥3.5M</w:t>
      </w:r>
    </w:p>
    <w:p>
      <w:pPr>
        <w:pStyle w:val="ListBullet"/>
      </w:pPr>
      <w:r>
        <w:t>Location: Setagaya (Zone 2)</w:t>
      </w:r>
    </w:p>
    <w:p>
      <w:pPr>
        <w:pStyle w:val="ListBullet"/>
      </w:pPr>
      <w:r>
        <w:t>Coverage: Standard Tier</w:t>
      </w:r>
    </w:p>
    <w:p>
      <w:pPr>
        <w:pStyle w:val="ListBullet"/>
      </w:pPr>
      <w:r>
        <w:t>Annual Premium: ¥125,000</w:t>
      </w:r>
    </w:p>
    <w:p>
      <w:r>
        <w:t>Example 3: Business Owner</w:t>
      </w:r>
    </w:p>
    <w:p>
      <w:pPr>
        <w:pStyle w:val="ListBullet"/>
      </w:pPr>
      <w:r>
        <w:t>Age: 45, License: 20 years</w:t>
      </w:r>
    </w:p>
    <w:p>
      <w:pPr>
        <w:pStyle w:val="ListBullet"/>
      </w:pPr>
      <w:r>
        <w:t>Vehicle: 2023 Luxury Sedan, Value: ¥8M</w:t>
      </w:r>
    </w:p>
    <w:p>
      <w:pPr>
        <w:pStyle w:val="ListBullet"/>
      </w:pPr>
      <w:r>
        <w:t>Location: Minato (Zone 1)</w:t>
      </w:r>
    </w:p>
    <w:p>
      <w:pPr>
        <w:pStyle w:val="ListBullet"/>
      </w:pPr>
      <w:r>
        <w:t>Coverage: Premium Tier</w:t>
      </w:r>
    </w:p>
    <w:p>
      <w:pPr>
        <w:pStyle w:val="ListBullet"/>
      </w:pPr>
      <w:r>
        <w:t>Annual Premium: ¥285,000</w:t>
      </w:r>
    </w:p>
    <w:p>
      <w:pPr>
        <w:pStyle w:val="Heading2"/>
      </w:pPr>
      <w:r>
        <w:t>5.7 Discounts and Surcharges</w:t>
      </w:r>
    </w:p>
    <w:p>
      <w:pPr>
        <w:pStyle w:val="Heading3"/>
      </w:pPr>
      <w:r>
        <w:t>5.7.1 Available Discounts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Discount Type</w:t>
            </w:r>
          </w:p>
        </w:tc>
        <w:tc>
          <w:tcPr>
            <w:tcW w:type="dxa" w:w="2880"/>
          </w:tcPr>
          <w:p>
            <w:r>
              <w:rPr>
                <w:b/>
              </w:rPr>
              <w:t>Amount</w:t>
            </w:r>
          </w:p>
        </w:tc>
        <w:tc>
          <w:tcPr>
            <w:tcW w:type="dxa" w:w="2880"/>
          </w:tcPr>
          <w:p>
            <w:r>
              <w:rPr>
                <w:b/>
              </w:rPr>
              <w:t>Eligibility</w:t>
            </w:r>
          </w:p>
        </w:tc>
      </w:tr>
      <w:tr>
        <w:tc>
          <w:tcPr>
            <w:tcW w:type="dxa" w:w="2880"/>
          </w:tcPr>
          <w:p>
            <w:r>
              <w:t>Safe Driver</w:t>
            </w:r>
          </w:p>
        </w:tc>
        <w:tc>
          <w:tcPr>
            <w:tcW w:type="dxa" w:w="2880"/>
          </w:tcPr>
          <w:p>
            <w:r>
              <w:t>10-15%</w:t>
            </w:r>
          </w:p>
        </w:tc>
        <w:tc>
          <w:tcPr>
            <w:tcW w:type="dxa" w:w="2880"/>
          </w:tcPr>
          <w:p>
            <w:r>
              <w:t>No claims in past 3 years</w:t>
            </w:r>
          </w:p>
        </w:tc>
      </w:tr>
      <w:tr>
        <w:tc>
          <w:tcPr>
            <w:tcW w:type="dxa" w:w="2880"/>
          </w:tcPr>
          <w:p>
            <w:r>
              <w:t>Multi-Vehicle</w:t>
            </w:r>
          </w:p>
        </w:tc>
        <w:tc>
          <w:tcPr>
            <w:tcW w:type="dxa" w:w="2880"/>
          </w:tcPr>
          <w:p>
            <w:r>
              <w:t>5-10%</w:t>
            </w:r>
          </w:p>
        </w:tc>
        <w:tc>
          <w:tcPr>
            <w:tcW w:type="dxa" w:w="2880"/>
          </w:tcPr>
          <w:p>
            <w:r>
              <w:t>Insure 2+ vehicles</w:t>
            </w:r>
          </w:p>
        </w:tc>
      </w:tr>
      <w:tr>
        <w:tc>
          <w:tcPr>
            <w:tcW w:type="dxa" w:w="2880"/>
          </w:tcPr>
          <w:p>
            <w:r>
              <w:t>Anti-Theft Device</w:t>
            </w:r>
          </w:p>
        </w:tc>
        <w:tc>
          <w:tcPr>
            <w:tcW w:type="dxa" w:w="2880"/>
          </w:tcPr>
          <w:p>
            <w:r>
              <w:t>3-7%</w:t>
            </w:r>
          </w:p>
        </w:tc>
        <w:tc>
          <w:tcPr>
            <w:tcW w:type="dxa" w:w="2880"/>
          </w:tcPr>
          <w:p>
            <w:r>
              <w:t>Approved security system</w:t>
            </w:r>
          </w:p>
        </w:tc>
      </w:tr>
      <w:tr>
        <w:tc>
          <w:tcPr>
            <w:tcW w:type="dxa" w:w="2880"/>
          </w:tcPr>
          <w:p>
            <w:r>
              <w:t>Defensive Driving Course</w:t>
            </w:r>
          </w:p>
        </w:tc>
        <w:tc>
          <w:tcPr>
            <w:tcW w:type="dxa" w:w="2880"/>
          </w:tcPr>
          <w:p>
            <w:r>
              <w:t>3-5%</w:t>
            </w:r>
          </w:p>
        </w:tc>
        <w:tc>
          <w:tcPr>
            <w:tcW w:type="dxa" w:w="2880"/>
          </w:tcPr>
          <w:p>
            <w:r>
              <w:t>Completed approved course</w:t>
            </w:r>
          </w:p>
        </w:tc>
      </w:tr>
      <w:tr>
        <w:tc>
          <w:tcPr>
            <w:tcW w:type="dxa" w:w="2880"/>
          </w:tcPr>
          <w:p>
            <w:r>
              <w:t>Low Mileage</w:t>
            </w:r>
          </w:p>
        </w:tc>
        <w:tc>
          <w:tcPr>
            <w:tcW w:type="dxa" w:w="2880"/>
          </w:tcPr>
          <w:p>
            <w:r>
              <w:t>5-15%</w:t>
            </w:r>
          </w:p>
        </w:tc>
        <w:tc>
          <w:tcPr>
            <w:tcW w:type="dxa" w:w="2880"/>
          </w:tcPr>
          <w:p>
            <w:r>
              <w:t>Annual mileage &lt; 8,000 km</w:t>
            </w:r>
          </w:p>
        </w:tc>
      </w:tr>
      <w:tr>
        <w:tc>
          <w:tcPr>
            <w:tcW w:type="dxa" w:w="2880"/>
          </w:tcPr>
          <w:p>
            <w:r>
              <w:t>Loyalty</w:t>
            </w:r>
          </w:p>
        </w:tc>
        <w:tc>
          <w:tcPr>
            <w:tcW w:type="dxa" w:w="2880"/>
          </w:tcPr>
          <w:p>
            <w:r>
              <w:t>2-5%</w:t>
            </w:r>
          </w:p>
        </w:tc>
        <w:tc>
          <w:tcPr>
            <w:tcW w:type="dxa" w:w="2880"/>
          </w:tcPr>
          <w:p>
            <w:r>
              <w:t>Renewal discount</w:t>
            </w:r>
          </w:p>
        </w:tc>
      </w:tr>
      <w:tr>
        <w:tc>
          <w:tcPr>
            <w:tcW w:type="dxa" w:w="2880"/>
          </w:tcPr>
          <w:p>
            <w:r>
              <w:t>Online Purchase</w:t>
            </w:r>
          </w:p>
        </w:tc>
        <w:tc>
          <w:tcPr>
            <w:tcW w:type="dxa" w:w="2880"/>
          </w:tcPr>
          <w:p>
            <w:r>
              <w:t>3-5%</w:t>
            </w:r>
          </w:p>
        </w:tc>
        <w:tc>
          <w:tcPr>
            <w:tcW w:type="dxa" w:w="2880"/>
          </w:tcPr>
          <w:p>
            <w:r>
              <w:t>Purchase online</w:t>
            </w:r>
          </w:p>
        </w:tc>
      </w:tr>
      <w:tr>
        <w:tc>
          <w:tcPr>
            <w:tcW w:type="dxa" w:w="2880"/>
          </w:tcPr>
          <w:p>
            <w:r>
              <w:t>Early Payment</w:t>
            </w:r>
          </w:p>
        </w:tc>
        <w:tc>
          <w:tcPr>
            <w:tcW w:type="dxa" w:w="2880"/>
          </w:tcPr>
          <w:p>
            <w:r>
              <w:t>2-3%</w:t>
            </w:r>
          </w:p>
        </w:tc>
        <w:tc>
          <w:tcPr>
            <w:tcW w:type="dxa" w:w="2880"/>
          </w:tcPr>
          <w:p>
            <w:r>
              <w:t>Annual payment in advance</w:t>
            </w:r>
          </w:p>
        </w:tc>
      </w:tr>
    </w:tbl>
    <w:p>
      <w:pPr>
        <w:pStyle w:val="Heading3"/>
      </w:pPr>
      <w:r>
        <w:t>5.7.2 Surcharges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Surcharge Type</w:t>
            </w:r>
          </w:p>
        </w:tc>
        <w:tc>
          <w:tcPr>
            <w:tcW w:type="dxa" w:w="2880"/>
          </w:tcPr>
          <w:p>
            <w:r>
              <w:rPr>
                <w:b/>
              </w:rPr>
              <w:t>Amount</w:t>
            </w:r>
          </w:p>
        </w:tc>
        <w:tc>
          <w:tcPr>
            <w:tcW w:type="dxa" w:w="2880"/>
          </w:tcPr>
          <w:p>
            <w:r>
              <w:rPr>
                <w:b/>
              </w:rPr>
              <w:t>Trigger</w:t>
            </w:r>
          </w:p>
        </w:tc>
      </w:tr>
      <w:tr>
        <w:tc>
          <w:tcPr>
            <w:tcW w:type="dxa" w:w="2880"/>
          </w:tcPr>
          <w:p>
            <w:r>
              <w:t>Young Driver</w:t>
            </w:r>
          </w:p>
        </w:tc>
        <w:tc>
          <w:tcPr>
            <w:tcW w:type="dxa" w:w="2880"/>
          </w:tcPr>
          <w:p>
            <w:r>
              <w:t>20-50%</w:t>
            </w:r>
          </w:p>
        </w:tc>
        <w:tc>
          <w:tcPr>
            <w:tcW w:type="dxa" w:w="2880"/>
          </w:tcPr>
          <w:p>
            <w:r>
              <w:t>Age 18-24</w:t>
            </w:r>
          </w:p>
        </w:tc>
      </w:tr>
      <w:tr>
        <w:tc>
          <w:tcPr>
            <w:tcW w:type="dxa" w:w="2880"/>
          </w:tcPr>
          <w:p>
            <w:r>
              <w:t>High-Risk Vehicle</w:t>
            </w:r>
          </w:p>
        </w:tc>
        <w:tc>
          <w:tcPr>
            <w:tcW w:type="dxa" w:w="2880"/>
          </w:tcPr>
          <w:p>
            <w:r>
              <w:t>10-30%</w:t>
            </w:r>
          </w:p>
        </w:tc>
        <w:tc>
          <w:tcPr>
            <w:tcW w:type="dxa" w:w="2880"/>
          </w:tcPr>
          <w:p>
            <w:r>
              <w:t>Sports cars, high-value</w:t>
            </w:r>
          </w:p>
        </w:tc>
      </w:tr>
      <w:tr>
        <w:tc>
          <w:tcPr>
            <w:tcW w:type="dxa" w:w="2880"/>
          </w:tcPr>
          <w:p>
            <w:r>
              <w:t>High Mileage</w:t>
            </w:r>
          </w:p>
        </w:tc>
        <w:tc>
          <w:tcPr>
            <w:tcW w:type="dxa" w:w="2880"/>
          </w:tcPr>
          <w:p>
            <w:r>
              <w:t>5-15%</w:t>
            </w:r>
          </w:p>
        </w:tc>
        <w:tc>
          <w:tcPr>
            <w:tcW w:type="dxa" w:w="2880"/>
          </w:tcPr>
          <w:p>
            <w:r>
              <w:t>Annual mileage &gt; 20,000 km</w:t>
            </w:r>
          </w:p>
        </w:tc>
      </w:tr>
      <w:tr>
        <w:tc>
          <w:tcPr>
            <w:tcW w:type="dxa" w:w="2880"/>
          </w:tcPr>
          <w:p>
            <w:r>
              <w:t>Claims History</w:t>
            </w:r>
          </w:p>
        </w:tc>
        <w:tc>
          <w:tcPr>
            <w:tcW w:type="dxa" w:w="2880"/>
          </w:tcPr>
          <w:p>
            <w:r>
              <w:t>10-50%</w:t>
            </w:r>
          </w:p>
        </w:tc>
        <w:tc>
          <w:tcPr>
            <w:tcW w:type="dxa" w:w="2880"/>
          </w:tcPr>
          <w:p>
            <w:r>
              <w:t>Based on claim frequency/severity</w:t>
            </w:r>
          </w:p>
        </w:tc>
      </w:tr>
      <w:tr>
        <w:tc>
          <w:tcPr>
            <w:tcW w:type="dxa" w:w="2880"/>
          </w:tcPr>
          <w:p>
            <w:r>
              <w:t>Traffic Violations</w:t>
            </w:r>
          </w:p>
        </w:tc>
        <w:tc>
          <w:tcPr>
            <w:tcW w:type="dxa" w:w="2880"/>
          </w:tcPr>
          <w:p>
            <w:r>
              <w:t>5-20%</w:t>
            </w:r>
          </w:p>
        </w:tc>
        <w:tc>
          <w:tcPr>
            <w:tcW w:type="dxa" w:w="2880"/>
          </w:tcPr>
          <w:p>
            <w:r>
              <w:t>Recent violations</w:t>
            </w:r>
          </w:p>
        </w:tc>
      </w:tr>
    </w:tbl>
    <w:p>
      <w:pPr>
        <w:pStyle w:val="Heading2"/>
      </w:pPr>
      <w:r>
        <w:t>5.8 Competitive Pricing Analysis</w:t>
      </w:r>
    </w:p>
    <w:p>
      <w:pPr>
        <w:pStyle w:val="Heading3"/>
      </w:pPr>
      <w:r>
        <w:t>5.8.1 Market Price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Coverage Tier</w:t>
            </w:r>
          </w:p>
        </w:tc>
        <w:tc>
          <w:tcPr>
            <w:tcW w:type="dxa" w:w="1728"/>
          </w:tcPr>
          <w:p>
            <w:r>
              <w:rPr>
                <w:b/>
              </w:rPr>
              <w:t>Our Price</w:t>
            </w:r>
          </w:p>
        </w:tc>
        <w:tc>
          <w:tcPr>
            <w:tcW w:type="dxa" w:w="1728"/>
          </w:tcPr>
          <w:p>
            <w:r>
              <w:rPr>
                <w:b/>
              </w:rPr>
              <w:t>Competitor A</w:t>
            </w:r>
          </w:p>
        </w:tc>
        <w:tc>
          <w:tcPr>
            <w:tcW w:type="dxa" w:w="1728"/>
          </w:tcPr>
          <w:p>
            <w:r>
              <w:rPr>
                <w:b/>
              </w:rPr>
              <w:t>Competitor B</w:t>
            </w:r>
          </w:p>
        </w:tc>
        <w:tc>
          <w:tcPr>
            <w:tcW w:type="dxa" w:w="1728"/>
          </w:tcPr>
          <w:p>
            <w:r>
              <w:rPr>
                <w:b/>
              </w:rPr>
              <w:t>Market Average</w:t>
            </w:r>
          </w:p>
        </w:tc>
      </w:tr>
      <w:tr>
        <w:tc>
          <w:tcPr>
            <w:tcW w:type="dxa" w:w="1728"/>
          </w:tcPr>
          <w:p>
            <w:r>
              <w:t>Basic</w:t>
            </w:r>
          </w:p>
        </w:tc>
        <w:tc>
          <w:tcPr>
            <w:tcW w:type="dxa" w:w="1728"/>
          </w:tcPr>
          <w:p>
            <w:r>
              <w:t>¥65,000</w:t>
            </w:r>
          </w:p>
        </w:tc>
        <w:tc>
          <w:tcPr>
            <w:tcW w:type="dxa" w:w="1728"/>
          </w:tcPr>
          <w:p>
            <w:r>
              <w:t>¥72,000</w:t>
            </w:r>
          </w:p>
        </w:tc>
        <w:tc>
          <w:tcPr>
            <w:tcW w:type="dxa" w:w="1728"/>
          </w:tcPr>
          <w:p>
            <w:r>
              <w:t>¥68,000</w:t>
            </w:r>
          </w:p>
        </w:tc>
        <w:tc>
          <w:tcPr>
            <w:tcW w:type="dxa" w:w="1728"/>
          </w:tcPr>
          <w:p>
            <w:r>
              <w:t>¥70,000</w:t>
            </w:r>
          </w:p>
        </w:tc>
      </w:tr>
      <w:tr>
        <w:tc>
          <w:tcPr>
            <w:tcW w:type="dxa" w:w="1728"/>
          </w:tcPr>
          <w:p>
            <w:r>
              <w:t>Standard</w:t>
            </w:r>
          </w:p>
        </w:tc>
        <w:tc>
          <w:tcPr>
            <w:tcW w:type="dxa" w:w="1728"/>
          </w:tcPr>
          <w:p>
            <w:r>
              <w:t>¥125,000</w:t>
            </w:r>
          </w:p>
        </w:tc>
        <w:tc>
          <w:tcPr>
            <w:tcW w:type="dxa" w:w="1728"/>
          </w:tcPr>
          <w:p>
            <w:r>
              <w:t>¥138,000</w:t>
            </w:r>
          </w:p>
        </w:tc>
        <w:tc>
          <w:tcPr>
            <w:tcW w:type="dxa" w:w="1728"/>
          </w:tcPr>
          <w:p>
            <w:r>
              <w:t>¥132,000</w:t>
            </w:r>
          </w:p>
        </w:tc>
        <w:tc>
          <w:tcPr>
            <w:tcW w:type="dxa" w:w="1728"/>
          </w:tcPr>
          <w:p>
            <w:r>
              <w:t>¥135,000</w:t>
            </w:r>
          </w:p>
        </w:tc>
      </w:tr>
      <w:tr>
        <w:tc>
          <w:tcPr>
            <w:tcW w:type="dxa" w:w="1728"/>
          </w:tcPr>
          <w:p>
            <w:r>
              <w:t>Premium</w:t>
            </w:r>
          </w:p>
        </w:tc>
        <w:tc>
          <w:tcPr>
            <w:tcW w:type="dxa" w:w="1728"/>
          </w:tcPr>
          <w:p>
            <w:r>
              <w:t>¥285,000</w:t>
            </w:r>
          </w:p>
        </w:tc>
        <w:tc>
          <w:tcPr>
            <w:tcW w:type="dxa" w:w="1728"/>
          </w:tcPr>
          <w:p>
            <w:r>
              <w:t>¥320,000</w:t>
            </w:r>
          </w:p>
        </w:tc>
        <w:tc>
          <w:tcPr>
            <w:tcW w:type="dxa" w:w="1728"/>
          </w:tcPr>
          <w:p>
            <w:r>
              <w:t>¥305,000</w:t>
            </w:r>
          </w:p>
        </w:tc>
        <w:tc>
          <w:tcPr>
            <w:tcW w:type="dxa" w:w="1728"/>
          </w:tcPr>
          <w:p>
            <w:r>
              <w:t>¥310,000</w:t>
            </w:r>
          </w:p>
        </w:tc>
      </w:tr>
    </w:tbl>
    <w:p>
      <w:pPr>
        <w:pStyle w:val="Heading3"/>
      </w:pPr>
      <w:r>
        <w:t>5.8.2 Pricing Strategy</w:t>
      </w:r>
    </w:p>
    <w:p>
      <w:pPr>
        <w:pStyle w:val="ListBullet"/>
      </w:pPr>
      <w:r>
        <w:t>Positioning: Competitive pricing with value-added services</w:t>
      </w:r>
    </w:p>
    <w:p>
      <w:pPr>
        <w:pStyle w:val="ListBullet"/>
      </w:pPr>
      <w:r>
        <w:t>Target: 5-10% below market average for comparable coverage</w:t>
      </w:r>
    </w:p>
    <w:p>
      <w:pPr>
        <w:pStyle w:val="ListBullet"/>
      </w:pPr>
      <w:r>
        <w:t>Differentiation: Focus on value, not just price</w:t>
      </w:r>
    </w:p>
    <w:p>
      <w:pPr>
        <w:pStyle w:val="ListBullet"/>
      </w:pPr>
      <w:r>
        <w:t>Flexibility: Usage-based options for cost-conscious customers</w:t>
      </w:r>
    </w:p>
    <w:p>
      <w:r>
        <w:t>---</w:t>
      </w:r>
    </w:p>
    <w:p>
      <w:pPr>
        <w:pStyle w:val="Heading1"/>
      </w:pPr>
      <w:r>
        <w:t>6. Regulatory Compliance</w:t>
      </w:r>
    </w:p>
    <w:p>
      <w:pPr>
        <w:pStyle w:val="Heading2"/>
      </w:pPr>
      <w:r>
        <w:t>6.1 Japanese Insurance Regulations</w:t>
      </w:r>
    </w:p>
    <w:p>
      <w:pPr>
        <w:pStyle w:val="Heading3"/>
      </w:pPr>
      <w:r>
        <w:t>6.1.1 Insurance Business Act (保険業法)</w:t>
      </w:r>
    </w:p>
    <w:p>
      <w:r>
        <w:t>Key Requirements:</w:t>
      </w:r>
    </w:p>
    <w:p>
      <w:pPr>
        <w:pStyle w:val="ListBullet"/>
      </w:pPr>
      <w:r>
        <w:t>License from Financial Services Agency (FSA)</w:t>
      </w:r>
    </w:p>
    <w:p>
      <w:pPr>
        <w:pStyle w:val="ListBullet"/>
      </w:pPr>
      <w:r>
        <w:t>Minimum capital requirements</w:t>
      </w:r>
    </w:p>
    <w:p>
      <w:pPr>
        <w:pStyle w:val="ListBullet"/>
      </w:pPr>
      <w:r>
        <w:t>Solvency margin requirements</w:t>
      </w:r>
    </w:p>
    <w:p>
      <w:pPr>
        <w:pStyle w:val="ListBullet"/>
      </w:pPr>
      <w:r>
        <w:t>Regular reporting to FSA</w:t>
      </w:r>
    </w:p>
    <w:p>
      <w:pPr>
        <w:pStyle w:val="ListBullet"/>
      </w:pPr>
      <w:r>
        <w:t>Consumer protection measures</w:t>
      </w:r>
    </w:p>
    <w:p>
      <w:pPr>
        <w:pStyle w:val="Heading3"/>
      </w:pPr>
      <w:r>
        <w:t>6.1.2 Compulsory Automobile Liability Insurance Law (自動車損害賠償保障法)</w:t>
      </w:r>
    </w:p>
    <w:p>
      <w:r>
        <w:t>Requirements:</w:t>
      </w:r>
    </w:p>
    <w:p>
      <w:pPr>
        <w:pStyle w:val="ListBullet"/>
      </w:pPr>
      <w:r>
        <w:t>All vehicles must have Jibaiseki (自賠責保険)</w:t>
      </w:r>
    </w:p>
    <w:p>
      <w:pPr>
        <w:pStyle w:val="ListBullet"/>
      </w:pPr>
      <w:r>
        <w:t>Government-set premium rates</w:t>
      </w:r>
    </w:p>
    <w:p>
      <w:pPr>
        <w:pStyle w:val="ListBullet"/>
      </w:pPr>
      <w:r>
        <w:t>Minimum coverage limits (¥30M per person, ¥120M per accident)</w:t>
      </w:r>
    </w:p>
    <w:p>
      <w:pPr>
        <w:pStyle w:val="ListBullet"/>
      </w:pPr>
      <w:r>
        <w:t>Cannot be declined or modified</w:t>
      </w:r>
    </w:p>
    <w:p>
      <w:pPr>
        <w:pStyle w:val="Heading2"/>
      </w:pPr>
      <w:r>
        <w:t>6.2 Financial Services Agency (FSA) Compliance</w:t>
      </w:r>
    </w:p>
    <w:p>
      <w:pPr>
        <w:pStyle w:val="Heading3"/>
      </w:pPr>
      <w:r>
        <w:t>6.2.1 Licensing Requirements</w:t>
      </w:r>
    </w:p>
    <w:p>
      <w:pPr>
        <w:pStyle w:val="ListBullet"/>
      </w:pPr>
      <w:r>
        <w:t>Application Process: Submit business plan, financial statements, management structure</w:t>
      </w:r>
    </w:p>
    <w:p>
      <w:pPr>
        <w:pStyle w:val="ListBullet"/>
      </w:pPr>
      <w:r>
        <w:t>Capital Requirements: Minimum ¥1,000 million</w:t>
      </w:r>
    </w:p>
    <w:p>
      <w:pPr>
        <w:pStyle w:val="ListBullet"/>
      </w:pPr>
      <w:r>
        <w:t>Approval Timeline: Typically 6-12 months</w:t>
      </w:r>
    </w:p>
    <w:p>
      <w:pPr>
        <w:pStyle w:val="Heading3"/>
      </w:pPr>
      <w:r>
        <w:t>6.2.2 Ongoing Compliance</w:t>
      </w:r>
    </w:p>
    <w:p>
      <w:pPr>
        <w:pStyle w:val="ListBullet"/>
      </w:pPr>
      <w:r>
        <w:t>Regular Reporting: Quarterly and annual reports</w:t>
      </w:r>
    </w:p>
    <w:p>
      <w:pPr>
        <w:pStyle w:val="ListBullet"/>
      </w:pPr>
      <w:r>
        <w:t>Solvency Margin: Maintain required solvency ratio</w:t>
      </w:r>
    </w:p>
    <w:p>
      <w:pPr>
        <w:pStyle w:val="ListBullet"/>
      </w:pPr>
      <w:r>
        <w:t>Audit Requirements: Annual external audit</w:t>
      </w:r>
    </w:p>
    <w:p>
      <w:pPr>
        <w:pStyle w:val="ListBullet"/>
      </w:pPr>
      <w:r>
        <w:t>Disclosure Requirements: Public disclosure of key metrics</w:t>
      </w:r>
    </w:p>
    <w:p>
      <w:pPr>
        <w:pStyle w:val="Heading2"/>
      </w:pPr>
      <w:r>
        <w:t>6.3 Data Privacy Requirements</w:t>
      </w:r>
    </w:p>
    <w:p>
      <w:pPr>
        <w:pStyle w:val="Heading3"/>
      </w:pPr>
      <w:r>
        <w:t>6.3.1 Personal Information Protection Act (個人情報保護法)</w:t>
      </w:r>
    </w:p>
    <w:p>
      <w:r>
        <w:t>Requirements:</w:t>
      </w:r>
    </w:p>
    <w:p>
      <w:pPr>
        <w:pStyle w:val="ListBullet"/>
      </w:pPr>
      <w:r>
        <w:t>Obtain consent for data collection</w:t>
      </w:r>
    </w:p>
    <w:p>
      <w:pPr>
        <w:pStyle w:val="ListBullet"/>
      </w:pPr>
      <w:r>
        <w:t>Secure storage of personal information</w:t>
      </w:r>
    </w:p>
    <w:p>
      <w:pPr>
        <w:pStyle w:val="ListBullet"/>
      </w:pPr>
      <w:r>
        <w:t>Limited use of data to stated purposes</w:t>
      </w:r>
    </w:p>
    <w:p>
      <w:pPr>
        <w:pStyle w:val="ListBullet"/>
      </w:pPr>
      <w:r>
        <w:t>Right to access and correct personal data</w:t>
      </w:r>
    </w:p>
    <w:p>
      <w:pPr>
        <w:pStyle w:val="ListBullet"/>
      </w:pPr>
      <w:r>
        <w:t>Data breach notification requirements</w:t>
      </w:r>
    </w:p>
    <w:p>
      <w:pPr>
        <w:pStyle w:val="Heading3"/>
      </w:pPr>
      <w:r>
        <w:t>6.3.2 Data Handling Practices</w:t>
      </w:r>
    </w:p>
    <w:p>
      <w:pPr>
        <w:pStyle w:val="ListBullet"/>
      </w:pPr>
      <w:r>
        <w:t>Collection: Only collect necessary information</w:t>
      </w:r>
    </w:p>
    <w:p>
      <w:pPr>
        <w:pStyle w:val="ListBullet"/>
      </w:pPr>
      <w:r>
        <w:t>Storage: Secure, encrypted storage</w:t>
      </w:r>
    </w:p>
    <w:p>
      <w:pPr>
        <w:pStyle w:val="ListBullet"/>
      </w:pPr>
      <w:r>
        <w:t>Usage: Only for insurance purposes</w:t>
      </w:r>
    </w:p>
    <w:p>
      <w:pPr>
        <w:pStyle w:val="ListBullet"/>
      </w:pPr>
      <w:r>
        <w:t>Sharing: Limited, with consent</w:t>
      </w:r>
    </w:p>
    <w:p>
      <w:pPr>
        <w:pStyle w:val="ListBullet"/>
      </w:pPr>
      <w:r>
        <w:t>Retention: As required by law</w:t>
      </w:r>
    </w:p>
    <w:p>
      <w:pPr>
        <w:pStyle w:val="Heading2"/>
      </w:pPr>
      <w:r>
        <w:t>6.4 Disclosure Requirements</w:t>
      </w:r>
    </w:p>
    <w:p>
      <w:pPr>
        <w:pStyle w:val="Heading3"/>
      </w:pPr>
      <w:r>
        <w:t>6.4.1 Policy Documents</w:t>
      </w:r>
    </w:p>
    <w:p>
      <w:pPr>
        <w:pStyle w:val="ListBullet"/>
      </w:pPr>
      <w:r>
        <w:t>Policy Terms: Clear, plain language</w:t>
      </w:r>
    </w:p>
    <w:p>
      <w:pPr>
        <w:pStyle w:val="ListBullet"/>
      </w:pPr>
      <w:r>
        <w:t>Coverage Details: Explicit coverage and exclusions</w:t>
      </w:r>
    </w:p>
    <w:p>
      <w:pPr>
        <w:pStyle w:val="ListBullet"/>
      </w:pPr>
      <w:r>
        <w:t>Premium Calculation: Transparent pricing explanation</w:t>
      </w:r>
    </w:p>
    <w:p>
      <w:pPr>
        <w:pStyle w:val="ListBullet"/>
      </w:pPr>
      <w:r>
        <w:t>Claims Process: Clear claims procedures</w:t>
      </w:r>
    </w:p>
    <w:p>
      <w:pPr>
        <w:pStyle w:val="Heading3"/>
      </w:pPr>
      <w:r>
        <w:t>6.4.2 Consumer Protection</w:t>
      </w:r>
    </w:p>
    <w:p>
      <w:pPr>
        <w:pStyle w:val="ListBullet"/>
      </w:pPr>
      <w:r>
        <w:t>Cooling-Off Period: 14 days to cancel after purchase</w:t>
      </w:r>
    </w:p>
    <w:p>
      <w:pPr>
        <w:pStyle w:val="ListBullet"/>
      </w:pPr>
      <w:r>
        <w:t>Complaint Handling: Established complaint resolution process</w:t>
      </w:r>
    </w:p>
    <w:p>
      <w:pPr>
        <w:pStyle w:val="ListBullet"/>
      </w:pPr>
      <w:r>
        <w:t>Dispute Resolution: Access to insurance dispute resolution service</w:t>
      </w:r>
    </w:p>
    <w:p>
      <w:pPr>
        <w:pStyle w:val="Heading2"/>
      </w:pPr>
      <w:r>
        <w:t>6.5 Regulatory Reporting</w:t>
      </w:r>
    </w:p>
    <w:p>
      <w:pPr>
        <w:pStyle w:val="Heading3"/>
      </w:pPr>
      <w:r>
        <w:t>6.5.1 Required Reports</w:t>
      </w:r>
    </w:p>
    <w:p>
      <w:pPr>
        <w:pStyle w:val="ListBullet"/>
      </w:pPr>
      <w:r>
        <w:t>Quarterly Reports: Financial position, claims experience</w:t>
      </w:r>
    </w:p>
    <w:p>
      <w:pPr>
        <w:pStyle w:val="ListBullet"/>
      </w:pPr>
      <w:r>
        <w:t>Annual Reports: Comprehensive financial and operational data</w:t>
      </w:r>
    </w:p>
    <w:p>
      <w:pPr>
        <w:pStyle w:val="ListBullet"/>
      </w:pPr>
      <w:r>
        <w:t>Incident Reports: Significant events, data breaches</w:t>
      </w:r>
    </w:p>
    <w:p>
      <w:pPr>
        <w:pStyle w:val="ListBullet"/>
      </w:pPr>
      <w:r>
        <w:t>Market Conduct Reports: Customer complaints, service quality</w:t>
      </w:r>
    </w:p>
    <w:p>
      <w:r>
        <w:t>---</w:t>
      </w:r>
    </w:p>
    <w:p>
      <w:pPr>
        <w:pStyle w:val="Heading1"/>
      </w:pPr>
      <w:r>
        <w:t>7. Technology &amp; Operations</w:t>
      </w:r>
    </w:p>
    <w:p>
      <w:pPr>
        <w:pStyle w:val="Heading2"/>
      </w:pPr>
      <w:r>
        <w:t>7.1 Digital Platform Requirements</w:t>
      </w:r>
    </w:p>
    <w:p>
      <w:pPr>
        <w:pStyle w:val="Heading3"/>
      </w:pPr>
      <w:r>
        <w:t>7.1.1 Online Platform Features</w:t>
      </w:r>
    </w:p>
    <w:p>
      <w:r>
        <w:t>Customer Portal:</w:t>
      </w:r>
    </w:p>
    <w:p>
      <w:pPr>
        <w:pStyle w:val="ListBullet"/>
      </w:pPr>
      <w:r>
        <w:t>Account registration and login</w:t>
      </w:r>
    </w:p>
    <w:p>
      <w:pPr>
        <w:pStyle w:val="ListBullet"/>
      </w:pPr>
      <w:r>
        <w:t>Policy purchase and management</w:t>
      </w:r>
    </w:p>
    <w:p>
      <w:pPr>
        <w:pStyle w:val="ListBullet"/>
      </w:pPr>
      <w:r>
        <w:t>Claims filing and tracking</w:t>
      </w:r>
    </w:p>
    <w:p>
      <w:pPr>
        <w:pStyle w:val="ListBullet"/>
      </w:pPr>
      <w:r>
        <w:t>Document access and download</w:t>
      </w:r>
    </w:p>
    <w:p>
      <w:pPr>
        <w:pStyle w:val="ListBullet"/>
      </w:pPr>
      <w:r>
        <w:t>Payment processing</w:t>
      </w:r>
    </w:p>
    <w:p>
      <w:pPr>
        <w:pStyle w:val="ListBullet"/>
      </w:pPr>
      <w:r>
        <w:t>Policy renewal</w:t>
      </w:r>
    </w:p>
    <w:p>
      <w:r>
        <w:t>Admin Portal:</w:t>
      </w:r>
    </w:p>
    <w:p>
      <w:pPr>
        <w:pStyle w:val="ListBullet"/>
      </w:pPr>
      <w:r>
        <w:t>Policy management</w:t>
      </w:r>
    </w:p>
    <w:p>
      <w:pPr>
        <w:pStyle w:val="ListBullet"/>
      </w:pPr>
      <w:r>
        <w:t>Claims processing</w:t>
      </w:r>
    </w:p>
    <w:p>
      <w:pPr>
        <w:pStyle w:val="ListBullet"/>
      </w:pPr>
      <w:r>
        <w:t>Customer service tools</w:t>
      </w:r>
    </w:p>
    <w:p>
      <w:pPr>
        <w:pStyle w:val="ListBullet"/>
      </w:pPr>
      <w:r>
        <w:t>Reporting and analytics</w:t>
      </w:r>
    </w:p>
    <w:p>
      <w:pPr>
        <w:pStyle w:val="ListBullet"/>
      </w:pPr>
      <w:r>
        <w:t>Underwriting tools</w:t>
      </w:r>
    </w:p>
    <w:p>
      <w:pPr>
        <w:pStyle w:val="Heading3"/>
      </w:pPr>
      <w:r>
        <w:t>7.1.2 Technical Architecture</w:t>
      </w:r>
    </w:p>
    <w:p>
      <w:pPr>
        <w:pStyle w:val="ListBullet"/>
      </w:pPr>
      <w:r>
        <w:t>Frontend: Web application, mobile app (iOS/Android)</w:t>
      </w:r>
    </w:p>
    <w:p>
      <w:pPr>
        <w:pStyle w:val="ListBullet"/>
      </w:pPr>
      <w:r>
        <w:t>Backend: Cloud-based infrastructure</w:t>
      </w:r>
    </w:p>
    <w:p>
      <w:pPr>
        <w:pStyle w:val="ListBullet"/>
      </w:pPr>
      <w:r>
        <w:t>Database: Secure, encrypted customer data storage</w:t>
      </w:r>
    </w:p>
    <w:p>
      <w:pPr>
        <w:pStyle w:val="ListBullet"/>
      </w:pPr>
      <w:r>
        <w:t>Integration: Third-party services (payment, verification, etc.)</w:t>
      </w:r>
    </w:p>
    <w:p>
      <w:pPr>
        <w:pStyle w:val="ListBullet"/>
      </w:pPr>
      <w:r>
        <w:t>Security: End-to-end encryption, secure authentication</w:t>
      </w:r>
    </w:p>
    <w:p>
      <w:pPr>
        <w:pStyle w:val="Heading2"/>
      </w:pPr>
      <w:r>
        <w:t>7.2 Claims Processing System</w:t>
      </w:r>
    </w:p>
    <w:p>
      <w:pPr>
        <w:pStyle w:val="Heading3"/>
      </w:pPr>
      <w:r>
        <w:t>7.2.1 Claims Workflow</w:t>
      </w:r>
    </w:p>
    <w:p>
      <w:r>
        <w:t>1. Claim Filing: Online form, mobile app, or phone</w:t>
      </w:r>
    </w:p>
    <w:p>
      <w:r>
        <w:t>2. Initial Assessment: Automated or manual review</w:t>
      </w:r>
    </w:p>
    <w:p>
      <w:r>
        <w:t>3. Damage Assessment: Photo upload, AI assessment, or in-person inspection</w:t>
      </w:r>
    </w:p>
    <w:p>
      <w:r>
        <w:t>4. Approval: Automated for simple claims, manual for complex</w:t>
      </w:r>
    </w:p>
    <w:p>
      <w:r>
        <w:t>5. Payment: Direct to repair shop or customer</w:t>
      </w:r>
    </w:p>
    <w:p>
      <w:r>
        <w:t>6. Follow-up: Customer satisfaction survey</w:t>
      </w:r>
    </w:p>
    <w:p>
      <w:pPr>
        <w:pStyle w:val="Heading3"/>
      </w:pPr>
      <w:r>
        <w:t>7.2.2 Claims Processing Features</w:t>
      </w:r>
    </w:p>
    <w:p>
      <w:pPr>
        <w:pStyle w:val="ListBullet"/>
      </w:pPr>
      <w:r>
        <w:t>Digital Claims Filing: Upload photos, fill forms online</w:t>
      </w:r>
    </w:p>
    <w:p>
      <w:pPr>
        <w:pStyle w:val="ListBullet"/>
      </w:pPr>
      <w:r>
        <w:t>AI Damage Assessment: Automated initial assessment</w:t>
      </w:r>
    </w:p>
    <w:p>
      <w:pPr>
        <w:pStyle w:val="ListBullet"/>
      </w:pPr>
      <w:r>
        <w:t>Real-Time Status: Track claim progress</w:t>
      </w:r>
    </w:p>
    <w:p>
      <w:pPr>
        <w:pStyle w:val="ListBullet"/>
      </w:pPr>
      <w:r>
        <w:t>Direct Repair Network: Cashless claims at partner garages</w:t>
      </w:r>
    </w:p>
    <w:p>
      <w:pPr>
        <w:pStyle w:val="ListBullet"/>
      </w:pPr>
      <w:r>
        <w:t>Fast Processing: Target 3 days for simple claims</w:t>
      </w:r>
    </w:p>
    <w:p>
      <w:pPr>
        <w:pStyle w:val="Heading2"/>
      </w:pPr>
      <w:r>
        <w:t>7.3 Customer Service Channels</w:t>
      </w:r>
    </w:p>
    <w:p>
      <w:pPr>
        <w:pStyle w:val="Heading3"/>
      </w:pPr>
      <w:r>
        <w:t>7.3.1 Support Channels</w:t>
      </w:r>
    </w:p>
    <w:p>
      <w:pPr>
        <w:pStyle w:val="ListBullet"/>
      </w:pPr>
      <w:r>
        <w:t>Phone: 24/7 support line</w:t>
      </w:r>
    </w:p>
    <w:p>
      <w:pPr>
        <w:pStyle w:val="ListBullet"/>
      </w:pPr>
      <w:r>
        <w:t>Email: Response within [X] hours</w:t>
      </w:r>
    </w:p>
    <w:p>
      <w:pPr>
        <w:pStyle w:val="ListBullet"/>
      </w:pPr>
      <w:r>
        <w:t>Live Chat: Available during business hours</w:t>
      </w:r>
    </w:p>
    <w:p>
      <w:pPr>
        <w:pStyle w:val="ListBullet"/>
      </w:pPr>
      <w:r>
        <w:t>Mobile App: In-app support</w:t>
      </w:r>
    </w:p>
    <w:p>
      <w:pPr>
        <w:pStyle w:val="ListBullet"/>
      </w:pPr>
      <w:r>
        <w:t>In-Person: Partner locations (if needed)</w:t>
      </w:r>
    </w:p>
    <w:p>
      <w:pPr>
        <w:pStyle w:val="Heading3"/>
      </w:pPr>
      <w:r>
        <w:t>7.3.2 Service Level Targets</w:t>
      </w:r>
    </w:p>
    <w:p>
      <w:pPr>
        <w:pStyle w:val="ListBullet"/>
      </w:pPr>
      <w:r>
        <w:t>Phone Response: Answer within 30 seconds</w:t>
      </w:r>
    </w:p>
    <w:p>
      <w:pPr>
        <w:pStyle w:val="ListBullet"/>
      </w:pPr>
      <w:r>
        <w:t>Email Response: Within 4 hours</w:t>
      </w:r>
    </w:p>
    <w:p>
      <w:pPr>
        <w:pStyle w:val="ListBullet"/>
      </w:pPr>
      <w:r>
        <w:t>Chat Response: Within 2 minutes</w:t>
      </w:r>
    </w:p>
    <w:p>
      <w:pPr>
        <w:pStyle w:val="ListBullet"/>
      </w:pPr>
      <w:r>
        <w:t>Claims Processing: 3 days for simple claims</w:t>
      </w:r>
    </w:p>
    <w:p>
      <w:pPr>
        <w:pStyle w:val="Heading2"/>
      </w:pPr>
      <w:r>
        <w:t>7.4 Mobile App Features</w:t>
      </w:r>
    </w:p>
    <w:p>
      <w:pPr>
        <w:pStyle w:val="Heading3"/>
      </w:pPr>
      <w:r>
        <w:t>7.4.1 Core Features</w:t>
      </w:r>
    </w:p>
    <w:p>
      <w:pPr>
        <w:pStyle w:val="ListBullet"/>
      </w:pPr>
      <w:r>
        <w:t>Policy purchase and management</w:t>
      </w:r>
    </w:p>
    <w:p>
      <w:pPr>
        <w:pStyle w:val="ListBullet"/>
      </w:pPr>
      <w:r>
        <w:t>Digital ID card</w:t>
      </w:r>
    </w:p>
    <w:p>
      <w:pPr>
        <w:pStyle w:val="ListBullet"/>
      </w:pPr>
      <w:r>
        <w:t>Claims filing with photo upload</w:t>
      </w:r>
    </w:p>
    <w:p>
      <w:pPr>
        <w:pStyle w:val="ListBullet"/>
      </w:pPr>
      <w:r>
        <w:t>Claim status tracking</w:t>
      </w:r>
    </w:p>
    <w:p>
      <w:pPr>
        <w:pStyle w:val="ListBullet"/>
      </w:pPr>
      <w:r>
        <w:t>Roadside assistance request</w:t>
      </w:r>
    </w:p>
    <w:p>
      <w:pPr>
        <w:pStyle w:val="ListBullet"/>
      </w:pPr>
      <w:r>
        <w:t>Payment and billing</w:t>
      </w:r>
    </w:p>
    <w:p>
      <w:pPr>
        <w:pStyle w:val="ListBullet"/>
      </w:pPr>
      <w:r>
        <w:t>Document storage</w:t>
      </w:r>
    </w:p>
    <w:p>
      <w:pPr>
        <w:pStyle w:val="ListBullet"/>
      </w:pPr>
      <w:r>
        <w:t>Notifications and alerts</w:t>
      </w:r>
    </w:p>
    <w:p>
      <w:pPr>
        <w:pStyle w:val="Heading3"/>
      </w:pPr>
      <w:r>
        <w:t>7.4.2 Advanced Features</w:t>
      </w:r>
    </w:p>
    <w:p>
      <w:pPr>
        <w:pStyle w:val="ListBullet"/>
      </w:pPr>
      <w:r>
        <w:t>Usage tracking (for UBI)</w:t>
      </w:r>
    </w:p>
    <w:p>
      <w:pPr>
        <w:pStyle w:val="ListBullet"/>
      </w:pPr>
      <w:r>
        <w:t>Driving behavior monitoring</w:t>
      </w:r>
    </w:p>
    <w:p>
      <w:pPr>
        <w:pStyle w:val="ListBullet"/>
      </w:pPr>
      <w:r>
        <w:t>Maintenance reminders</w:t>
      </w:r>
    </w:p>
    <w:p>
      <w:pPr>
        <w:pStyle w:val="ListBullet"/>
      </w:pPr>
      <w:r>
        <w:t>Accident reporting</w:t>
      </w:r>
    </w:p>
    <w:p>
      <w:pPr>
        <w:pStyle w:val="ListBullet"/>
      </w:pPr>
      <w:r>
        <w:t>Emergency contacts</w:t>
      </w:r>
    </w:p>
    <w:p>
      <w:pPr>
        <w:pStyle w:val="ListBullet"/>
      </w:pPr>
      <w:r>
        <w:t>Location services</w:t>
      </w:r>
    </w:p>
    <w:p>
      <w:pPr>
        <w:pStyle w:val="Heading2"/>
      </w:pPr>
      <w:r>
        <w:t>7.5 Integration with Partners</w:t>
      </w:r>
    </w:p>
    <w:p>
      <w:pPr>
        <w:pStyle w:val="Heading3"/>
      </w:pPr>
      <w:r>
        <w:t>7.5.1 Repair Shop Network</w:t>
      </w:r>
    </w:p>
    <w:p>
      <w:pPr>
        <w:pStyle w:val="ListBullet"/>
      </w:pPr>
      <w:r>
        <w:t>Partners: 150 certified repair shops in Tokyo</w:t>
      </w:r>
    </w:p>
    <w:p>
      <w:pPr>
        <w:pStyle w:val="ListBullet"/>
      </w:pPr>
      <w:r>
        <w:t>Integration: Direct billing, cashless claims</w:t>
      </w:r>
    </w:p>
    <w:p>
      <w:pPr>
        <w:pStyle w:val="ListBullet"/>
      </w:pPr>
      <w:r>
        <w:t>Quality Standards: Certified technicians, quality assurance</w:t>
      </w:r>
    </w:p>
    <w:p>
      <w:pPr>
        <w:pStyle w:val="ListBullet"/>
      </w:pPr>
      <w:r>
        <w:t>Coverage: All Tokyo wards</w:t>
      </w:r>
    </w:p>
    <w:p>
      <w:pPr>
        <w:pStyle w:val="Heading3"/>
      </w:pPr>
      <w:r>
        <w:t>7.5.2 Service Providers</w:t>
      </w:r>
    </w:p>
    <w:p>
      <w:pPr>
        <w:pStyle w:val="ListBullet"/>
      </w:pPr>
      <w:r>
        <w:t>Towing Services: 24/7 towing partners</w:t>
      </w:r>
    </w:p>
    <w:p>
      <w:pPr>
        <w:pStyle w:val="ListBullet"/>
      </w:pPr>
      <w:r>
        <w:t>Rental Car Companies: Preferred rental partners</w:t>
      </w:r>
    </w:p>
    <w:p>
      <w:pPr>
        <w:pStyle w:val="ListBullet"/>
      </w:pPr>
      <w:r>
        <w:t>Roadside Assistance: Nationwide network</w:t>
      </w:r>
    </w:p>
    <w:p>
      <w:pPr>
        <w:pStyle w:val="ListBullet"/>
      </w:pPr>
      <w:r>
        <w:t>Legal Services: Partner law firms for legal coverage</w:t>
      </w:r>
    </w:p>
    <w:p>
      <w:r>
        <w:t>---</w:t>
      </w:r>
    </w:p>
    <w:p>
      <w:pPr>
        <w:pStyle w:val="Heading1"/>
      </w:pPr>
      <w:r>
        <w:t>8. Marketing &amp; Distribution Strategy</w:t>
      </w:r>
    </w:p>
    <w:p>
      <w:pPr>
        <w:pStyle w:val="Heading2"/>
      </w:pPr>
      <w:r>
        <w:t>8.1 Distribution Channels</w:t>
      </w:r>
    </w:p>
    <w:p>
      <w:pPr>
        <w:pStyle w:val="Heading3"/>
      </w:pPr>
      <w:r>
        <w:t>8.1.1 Direct Channels</w:t>
      </w:r>
    </w:p>
    <w:p>
      <w:pPr>
        <w:pStyle w:val="ListBullet"/>
      </w:pPr>
      <w:r>
        <w:t>Online: Website, mobile app</w:t>
      </w:r>
    </w:p>
    <w:p>
      <w:pPr>
        <w:pStyle w:val="ListBullet"/>
      </w:pPr>
      <w:r>
        <w:t>Phone: Call center sales</w:t>
      </w:r>
    </w:p>
    <w:p>
      <w:pPr>
        <w:pStyle w:val="ListBullet"/>
      </w:pPr>
      <w:r>
        <w:t>Mobile App: In-app purchases</w:t>
      </w:r>
    </w:p>
    <w:p>
      <w:pPr>
        <w:pStyle w:val="Heading3"/>
      </w:pPr>
      <w:r>
        <w:t>8.1.2 Indirect Channels</w:t>
      </w:r>
    </w:p>
    <w:p>
      <w:pPr>
        <w:pStyle w:val="ListBullet"/>
      </w:pPr>
      <w:r>
        <w:t>Agents: Licensed insurance agents</w:t>
      </w:r>
    </w:p>
    <w:p>
      <w:pPr>
        <w:pStyle w:val="ListBullet"/>
      </w:pPr>
      <w:r>
        <w:t>Brokers: Insurance brokers</w:t>
      </w:r>
    </w:p>
    <w:p>
      <w:pPr>
        <w:pStyle w:val="ListBullet"/>
      </w:pPr>
      <w:r>
        <w:t>Partners: Car dealerships, financial institutions</w:t>
      </w:r>
    </w:p>
    <w:p>
      <w:pPr>
        <w:pStyle w:val="ListBullet"/>
      </w:pPr>
      <w:r>
        <w:t>Affiliates: Online affiliates, comparison sites</w:t>
      </w:r>
    </w:p>
    <w:p>
      <w:pPr>
        <w:pStyle w:val="Heading2"/>
      </w:pPr>
      <w:r>
        <w:t>8.2 Marketing Approach</w:t>
      </w:r>
    </w:p>
    <w:p>
      <w:pPr>
        <w:pStyle w:val="Heading3"/>
      </w:pPr>
      <w:r>
        <w:t>8.2.1 Digital Marketing</w:t>
      </w:r>
    </w:p>
    <w:p>
      <w:pPr>
        <w:pStyle w:val="ListBullet"/>
      </w:pPr>
      <w:r>
        <w:t>Search Engine Marketing: Google Ads, SEO</w:t>
      </w:r>
    </w:p>
    <w:p>
      <w:pPr>
        <w:pStyle w:val="ListBullet"/>
      </w:pPr>
      <w:r>
        <w:t>Social Media: Facebook, Instagram, Twitter, LinkedIn</w:t>
      </w:r>
    </w:p>
    <w:p>
      <w:pPr>
        <w:pStyle w:val="ListBullet"/>
      </w:pPr>
      <w:r>
        <w:t>Content Marketing: Blog, guides, educational content</w:t>
      </w:r>
    </w:p>
    <w:p>
      <w:pPr>
        <w:pStyle w:val="ListBullet"/>
      </w:pPr>
      <w:r>
        <w:t>Email Marketing: Newsletters, promotional campaigns</w:t>
      </w:r>
    </w:p>
    <w:p>
      <w:pPr>
        <w:pStyle w:val="ListBullet"/>
      </w:pPr>
      <w:r>
        <w:t>Influencer Marketing: Partnerships with relevant influencers</w:t>
      </w:r>
    </w:p>
    <w:p>
      <w:pPr>
        <w:pStyle w:val="Heading3"/>
      </w:pPr>
      <w:r>
        <w:t>8.2.2 Traditional Marketing</w:t>
      </w:r>
    </w:p>
    <w:p>
      <w:pPr>
        <w:pStyle w:val="ListBullet"/>
      </w:pPr>
      <w:r>
        <w:t>Print Advertising: Magazines, newspapers</w:t>
      </w:r>
    </w:p>
    <w:p>
      <w:pPr>
        <w:pStyle w:val="ListBullet"/>
      </w:pPr>
      <w:r>
        <w:t>Outdoor Advertising: Billboards, transit ads</w:t>
      </w:r>
    </w:p>
    <w:p>
      <w:pPr>
        <w:pStyle w:val="ListBullet"/>
      </w:pPr>
      <w:r>
        <w:t>Radio/TV: Targeted advertising</w:t>
      </w:r>
    </w:p>
    <w:p>
      <w:pPr>
        <w:pStyle w:val="ListBullet"/>
      </w:pPr>
      <w:r>
        <w:t>Events: Trade shows, community events</w:t>
      </w:r>
    </w:p>
    <w:p>
      <w:pPr>
        <w:pStyle w:val="Heading2"/>
      </w:pPr>
      <w:r>
        <w:t>8.3 Brand Positioning</w:t>
      </w:r>
    </w:p>
    <w:p>
      <w:pPr>
        <w:pStyle w:val="Heading3"/>
      </w:pPr>
      <w:r>
        <w:t>8.3.1 Brand Identity</w:t>
      </w:r>
    </w:p>
    <w:p>
      <w:pPr>
        <w:pStyle w:val="ListBullet"/>
      </w:pPr>
      <w:r>
        <w:t>Positioning: Digital-first, transparent, customer-centric</w:t>
      </w:r>
    </w:p>
    <w:p>
      <w:pPr>
        <w:pStyle w:val="ListBullet"/>
      </w:pPr>
      <w:r>
        <w:t>Values: Innovation, transparency, reliability, customer focus</w:t>
      </w:r>
    </w:p>
    <w:p>
      <w:pPr>
        <w:pStyle w:val="ListBullet"/>
      </w:pPr>
      <w:r>
        <w:t>Tone: Friendly, professional, approachable</w:t>
      </w:r>
    </w:p>
    <w:p>
      <w:pPr>
        <w:pStyle w:val="ListBullet"/>
      </w:pPr>
      <w:r>
        <w:t>Visual Identity: Modern, clean, tech-forward</w:t>
      </w:r>
    </w:p>
    <w:p>
      <w:pPr>
        <w:pStyle w:val="Heading3"/>
      </w:pPr>
      <w:r>
        <w:t>8.3.2 Key Messages</w:t>
      </w:r>
    </w:p>
    <w:p>
      <w:r>
        <w:t>1. "Insurance made simple for Tokyo drivers"</w:t>
      </w:r>
    </w:p>
    <w:p>
      <w:r>
        <w:t>2. "Transparent pricing, digital convenience"</w:t>
      </w:r>
    </w:p>
    <w:p>
      <w:r>
        <w:t>3. "Protection tailored to Tokyo's unique needs"</w:t>
      </w:r>
    </w:p>
    <w:p>
      <w:r>
        <w:t>4. "Fast claims, great service"</w:t>
      </w:r>
    </w:p>
    <w:p>
      <w:pPr>
        <w:pStyle w:val="Heading2"/>
      </w:pPr>
      <w:r>
        <w:t>8.4 Customer Acquisition Strategy</w:t>
      </w:r>
    </w:p>
    <w:p>
      <w:pPr>
        <w:pStyle w:val="Heading3"/>
      </w:pPr>
      <w:r>
        <w:t>8.4.1 Acquisition Channels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Target</w:t>
            </w:r>
          </w:p>
        </w:tc>
        <w:tc>
          <w:tcPr>
            <w:tcW w:type="dxa" w:w="2160"/>
          </w:tcPr>
          <w:p>
            <w:r>
              <w:rPr>
                <w:b/>
              </w:rPr>
              <w:t>Expected Conversion</w:t>
            </w:r>
          </w:p>
        </w:tc>
        <w:tc>
          <w:tcPr>
            <w:tcW w:type="dxa" w:w="2160"/>
          </w:tcPr>
          <w:p>
            <w:r>
              <w:rPr>
                <w:b/>
              </w:rPr>
              <w:t>Cost per Acquisition</w:t>
            </w:r>
          </w:p>
        </w:tc>
      </w:tr>
      <w:tr>
        <w:tc>
          <w:tcPr>
            <w:tcW w:type="dxa" w:w="2160"/>
          </w:tcPr>
          <w:p>
            <w:r>
              <w:t>Online Search</w:t>
            </w:r>
          </w:p>
        </w:tc>
        <w:tc>
          <w:tcPr>
            <w:tcW w:type="dxa" w:w="2160"/>
          </w:tcPr>
          <w:p>
            <w:r>
              <w:t>All segments</w:t>
            </w:r>
          </w:p>
        </w:tc>
        <w:tc>
          <w:tcPr>
            <w:tcW w:type="dxa" w:w="2160"/>
          </w:tcPr>
          <w:p>
            <w:r>
              <w:t>3.2%</w:t>
            </w:r>
          </w:p>
        </w:tc>
        <w:tc>
          <w:tcPr>
            <w:tcW w:type="dxa" w:w="2160"/>
          </w:tcPr>
          <w:p>
            <w:r>
              <w:t>¥8,500</w:t>
            </w:r>
          </w:p>
        </w:tc>
      </w:tr>
      <w:tr>
        <w:tc>
          <w:tcPr>
            <w:tcW w:type="dxa" w:w="2160"/>
          </w:tcPr>
          <w:p>
            <w:r>
              <w:t>Social Media</w:t>
            </w:r>
          </w:p>
        </w:tc>
        <w:tc>
          <w:tcPr>
            <w:tcW w:type="dxa" w:w="2160"/>
          </w:tcPr>
          <w:p>
            <w:r>
              <w:t>Young professionals</w:t>
            </w:r>
          </w:p>
        </w:tc>
        <w:tc>
          <w:tcPr>
            <w:tcW w:type="dxa" w:w="2160"/>
          </w:tcPr>
          <w:p>
            <w:r>
              <w:t>2.8%</w:t>
            </w:r>
          </w:p>
        </w:tc>
        <w:tc>
          <w:tcPr>
            <w:tcW w:type="dxa" w:w="2160"/>
          </w:tcPr>
          <w:p>
            <w:r>
              <w:t>¥12,000</w:t>
            </w:r>
          </w:p>
        </w:tc>
      </w:tr>
      <w:tr>
        <w:tc>
          <w:tcPr>
            <w:tcW w:type="dxa" w:w="2160"/>
          </w:tcPr>
          <w:p>
            <w:r>
              <w:t>Referrals</w:t>
            </w:r>
          </w:p>
        </w:tc>
        <w:tc>
          <w:tcPr>
            <w:tcW w:type="dxa" w:w="2160"/>
          </w:tcPr>
          <w:p>
            <w:r>
              <w:t>All segments</w:t>
            </w:r>
          </w:p>
        </w:tc>
        <w:tc>
          <w:tcPr>
            <w:tcW w:type="dxa" w:w="2160"/>
          </w:tcPr>
          <w:p>
            <w:r>
              <w:t>5.5%</w:t>
            </w:r>
          </w:p>
        </w:tc>
        <w:tc>
          <w:tcPr>
            <w:tcW w:type="dxa" w:w="2160"/>
          </w:tcPr>
          <w:p>
            <w:r>
              <w:t>¥3,200</w:t>
            </w:r>
          </w:p>
        </w:tc>
      </w:tr>
      <w:tr>
        <w:tc>
          <w:tcPr>
            <w:tcW w:type="dxa" w:w="2160"/>
          </w:tcPr>
          <w:p>
            <w:r>
              <w:t>Partners</w:t>
            </w:r>
          </w:p>
        </w:tc>
        <w:tc>
          <w:tcPr>
            <w:tcW w:type="dxa" w:w="2160"/>
          </w:tcPr>
          <w:p>
            <w:r>
              <w:t>Business owners</w:t>
            </w:r>
          </w:p>
        </w:tc>
        <w:tc>
          <w:tcPr>
            <w:tcW w:type="dxa" w:w="2160"/>
          </w:tcPr>
          <w:p>
            <w:r>
              <w:t>4.1%</w:t>
            </w:r>
          </w:p>
        </w:tc>
        <w:tc>
          <w:tcPr>
            <w:tcW w:type="dxa" w:w="2160"/>
          </w:tcPr>
          <w:p>
            <w:r>
              <w:t>¥15,000</w:t>
            </w:r>
          </w:p>
        </w:tc>
      </w:tr>
      <w:tr>
        <w:tc>
          <w:tcPr>
            <w:tcW w:type="dxa" w:w="2160"/>
          </w:tcPr>
          <w:p>
            <w:r>
              <w:t>Agents</w:t>
            </w:r>
          </w:p>
        </w:tc>
        <w:tc>
          <w:tcPr>
            <w:tcW w:type="dxa" w:w="2160"/>
          </w:tcPr>
          <w:p>
            <w:r>
              <w:t>Families, seniors</w:t>
            </w:r>
          </w:p>
        </w:tc>
        <w:tc>
          <w:tcPr>
            <w:tcW w:type="dxa" w:w="2160"/>
          </w:tcPr>
          <w:p>
            <w:r>
              <w:t>6.2%</w:t>
            </w:r>
          </w:p>
        </w:tc>
        <w:tc>
          <w:tcPr>
            <w:tcW w:type="dxa" w:w="2160"/>
          </w:tcPr>
          <w:p>
            <w:r>
              <w:t>¥18,000</w:t>
            </w:r>
          </w:p>
        </w:tc>
      </w:tr>
    </w:tbl>
    <w:p>
      <w:pPr>
        <w:pStyle w:val="Heading3"/>
      </w:pPr>
      <w:r>
        <w:t>8.4.2 Acquisition Tactics</w:t>
      </w:r>
    </w:p>
    <w:p>
      <w:pPr>
        <w:pStyle w:val="ListBullet"/>
      </w:pPr>
      <w:r>
        <w:t>Promotional Offers: First-year discounts, referral bonuses</w:t>
      </w:r>
    </w:p>
    <w:p>
      <w:pPr>
        <w:pStyle w:val="ListBullet"/>
      </w:pPr>
      <w:r>
        <w:t>Comparison Tools: Online comparison with competitors</w:t>
      </w:r>
    </w:p>
    <w:p>
      <w:pPr>
        <w:pStyle w:val="ListBullet"/>
      </w:pPr>
      <w:r>
        <w:t>Educational Content: Guides, calculators, FAQs</w:t>
      </w:r>
    </w:p>
    <w:p>
      <w:pPr>
        <w:pStyle w:val="ListBullet"/>
      </w:pPr>
      <w:r>
        <w:t>Free Quotes: Instant online quotes</w:t>
      </w:r>
    </w:p>
    <w:p>
      <w:pPr>
        <w:pStyle w:val="ListBullet"/>
      </w:pPr>
      <w:r>
        <w:t>Trial Periods: Risk-free trial options</w:t>
      </w:r>
    </w:p>
    <w:p>
      <w:pPr>
        <w:pStyle w:val="Heading2"/>
      </w:pPr>
      <w:r>
        <w:t>8.5 Partnership Opportunities</w:t>
      </w:r>
    </w:p>
    <w:p>
      <w:pPr>
        <w:pStyle w:val="Heading3"/>
      </w:pPr>
      <w:r>
        <w:t>8.5.1 Strategic Partners</w:t>
      </w:r>
    </w:p>
    <w:p>
      <w:pPr>
        <w:pStyle w:val="ListBullet"/>
      </w:pPr>
      <w:r>
        <w:t>Car Dealerships: Offer insurance at point of sale</w:t>
      </w:r>
    </w:p>
    <w:p>
      <w:pPr>
        <w:pStyle w:val="ListBullet"/>
      </w:pPr>
      <w:r>
        <w:t>Financial Institutions: Cross-sell to banking customers</w:t>
      </w:r>
    </w:p>
    <w:p>
      <w:pPr>
        <w:pStyle w:val="ListBullet"/>
      </w:pPr>
      <w:r>
        <w:t>Ride-Sharing Companies: Specialized coverage for drivers</w:t>
      </w:r>
    </w:p>
    <w:p>
      <w:pPr>
        <w:pStyle w:val="ListBullet"/>
      </w:pPr>
      <w:r>
        <w:t>Car-Sharing Services: Coverage for shared vehicles</w:t>
      </w:r>
    </w:p>
    <w:p>
      <w:pPr>
        <w:pStyle w:val="ListBullet"/>
      </w:pPr>
      <w:r>
        <w:t>Technology Companies: Integration with vehicle telematics</w:t>
      </w:r>
    </w:p>
    <w:p>
      <w:pPr>
        <w:pStyle w:val="Heading3"/>
      </w:pPr>
      <w:r>
        <w:t>8.5.2 Partnership Benefits</w:t>
      </w:r>
    </w:p>
    <w:p>
      <w:pPr>
        <w:pStyle w:val="ListBullet"/>
      </w:pPr>
      <w:r>
        <w:t>Access to Customer Base: Reach new customers</w:t>
      </w:r>
    </w:p>
    <w:p>
      <w:pPr>
        <w:pStyle w:val="ListBullet"/>
      </w:pPr>
      <w:r>
        <w:t>Bundled Services: Create value packages</w:t>
      </w:r>
    </w:p>
    <w:p>
      <w:pPr>
        <w:pStyle w:val="ListBullet"/>
      </w:pPr>
      <w:r>
        <w:t>Data Sharing: Improve risk assessment</w:t>
      </w:r>
    </w:p>
    <w:p>
      <w:pPr>
        <w:pStyle w:val="ListBullet"/>
      </w:pPr>
      <w:r>
        <w:t>Co-Marketing: Joint marketing campaigns</w:t>
      </w:r>
    </w:p>
    <w:p>
      <w:r>
        <w:t>---</w:t>
      </w:r>
    </w:p>
    <w:p>
      <w:pPr>
        <w:pStyle w:val="Heading1"/>
      </w:pPr>
      <w:r>
        <w:t>9. Financial Projections</w:t>
      </w:r>
    </w:p>
    <w:p>
      <w:pPr>
        <w:pStyle w:val="Heading2"/>
      </w:pPr>
      <w:r>
        <w:t>9.1 Revenue Projections</w:t>
      </w:r>
    </w:p>
    <w:p>
      <w:pPr>
        <w:pStyle w:val="Heading3"/>
      </w:pPr>
      <w:r>
        <w:t>9.1.1 Premium Volume Forecast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Policies Written</w:t>
            </w:r>
          </w:p>
        </w:tc>
        <w:tc>
          <w:tcPr>
            <w:tcW w:type="dxa" w:w="2160"/>
          </w:tcPr>
          <w:p>
            <w:r>
              <w:rPr>
                <w:b/>
              </w:rPr>
              <w:t>Average Premium (¥)</w:t>
            </w:r>
          </w:p>
        </w:tc>
        <w:tc>
          <w:tcPr>
            <w:tcW w:type="dxa" w:w="2160"/>
          </w:tcPr>
          <w:p>
            <w:r>
              <w:rPr>
                <w:b/>
              </w:rPr>
              <w:t>Total Premium Volume (¥)</w:t>
            </w:r>
          </w:p>
        </w:tc>
      </w:tr>
      <w:tr>
        <w:tc>
          <w:tcPr>
            <w:tcW w:type="dxa" w:w="2160"/>
          </w:tcPr>
          <w:p>
            <w:r>
              <w:t>Year 1</w:t>
            </w:r>
          </w:p>
        </w:tc>
        <w:tc>
          <w:tcPr>
            <w:tcW w:type="dxa" w:w="2160"/>
          </w:tcPr>
          <w:p>
            <w:r>
              <w:t>[X]</w:t>
            </w:r>
          </w:p>
        </w:tc>
        <w:tc>
          <w:tcPr>
            <w:tcW w:type="dxa" w:w="2160"/>
          </w:tcPr>
          <w:p>
            <w:r>
              <w:t>[Y]</w:t>
            </w:r>
          </w:p>
        </w:tc>
        <w:tc>
          <w:tcPr>
            <w:tcW w:type="dxa" w:w="2160"/>
          </w:tcPr>
          <w:p>
            <w:r>
              <w:t>[Z]M</w:t>
            </w:r>
          </w:p>
        </w:tc>
      </w:tr>
      <w:tr>
        <w:tc>
          <w:tcPr>
            <w:tcW w:type="dxa" w:w="2160"/>
          </w:tcPr>
          <w:p>
            <w:r>
              <w:t>Year 2</w:t>
            </w:r>
          </w:p>
        </w:tc>
        <w:tc>
          <w:tcPr>
            <w:tcW w:type="dxa" w:w="2160"/>
          </w:tcPr>
          <w:p>
            <w:r>
              <w:t>[X]</w:t>
            </w:r>
          </w:p>
        </w:tc>
        <w:tc>
          <w:tcPr>
            <w:tcW w:type="dxa" w:w="2160"/>
          </w:tcPr>
          <w:p>
            <w:r>
              <w:t>[Y]</w:t>
            </w:r>
          </w:p>
        </w:tc>
        <w:tc>
          <w:tcPr>
            <w:tcW w:type="dxa" w:w="2160"/>
          </w:tcPr>
          <w:p>
            <w:r>
              <w:t>[Z]M</w:t>
            </w:r>
          </w:p>
        </w:tc>
      </w:tr>
      <w:tr>
        <w:tc>
          <w:tcPr>
            <w:tcW w:type="dxa" w:w="2160"/>
          </w:tcPr>
          <w:p>
            <w:r>
              <w:t>Year 3</w:t>
            </w:r>
          </w:p>
        </w:tc>
        <w:tc>
          <w:tcPr>
            <w:tcW w:type="dxa" w:w="2160"/>
          </w:tcPr>
          <w:p>
            <w:r>
              <w:t>[X]</w:t>
            </w:r>
          </w:p>
        </w:tc>
        <w:tc>
          <w:tcPr>
            <w:tcW w:type="dxa" w:w="2160"/>
          </w:tcPr>
          <w:p>
            <w:r>
              <w:t>[Y]</w:t>
            </w:r>
          </w:p>
        </w:tc>
        <w:tc>
          <w:tcPr>
            <w:tcW w:type="dxa" w:w="2160"/>
          </w:tcPr>
          <w:p>
            <w:r>
              <w:t>[Z]M</w:t>
            </w:r>
          </w:p>
        </w:tc>
      </w:tr>
      <w:tr>
        <w:tc>
          <w:tcPr>
            <w:tcW w:type="dxa" w:w="2160"/>
          </w:tcPr>
          <w:p>
            <w:r>
              <w:t>Year 4</w:t>
            </w:r>
          </w:p>
        </w:tc>
        <w:tc>
          <w:tcPr>
            <w:tcW w:type="dxa" w:w="2160"/>
          </w:tcPr>
          <w:p>
            <w:r>
              <w:t>[X]</w:t>
            </w:r>
          </w:p>
        </w:tc>
        <w:tc>
          <w:tcPr>
            <w:tcW w:type="dxa" w:w="2160"/>
          </w:tcPr>
          <w:p>
            <w:r>
              <w:t>[Y]</w:t>
            </w:r>
          </w:p>
        </w:tc>
        <w:tc>
          <w:tcPr>
            <w:tcW w:type="dxa" w:w="2160"/>
          </w:tcPr>
          <w:p>
            <w:r>
              <w:t>[Z]M</w:t>
            </w:r>
          </w:p>
        </w:tc>
      </w:tr>
      <w:tr>
        <w:tc>
          <w:tcPr>
            <w:tcW w:type="dxa" w:w="2160"/>
          </w:tcPr>
          <w:p>
            <w:r>
              <w:t>Year 5</w:t>
            </w:r>
          </w:p>
        </w:tc>
        <w:tc>
          <w:tcPr>
            <w:tcW w:type="dxa" w:w="2160"/>
          </w:tcPr>
          <w:p>
            <w:r>
              <w:t>[X]</w:t>
            </w:r>
          </w:p>
        </w:tc>
        <w:tc>
          <w:tcPr>
            <w:tcW w:type="dxa" w:w="2160"/>
          </w:tcPr>
          <w:p>
            <w:r>
              <w:t>[Y]</w:t>
            </w:r>
          </w:p>
        </w:tc>
        <w:tc>
          <w:tcPr>
            <w:tcW w:type="dxa" w:w="2160"/>
          </w:tcPr>
          <w:p>
            <w:r>
              <w:t>[Z]M</w:t>
            </w:r>
          </w:p>
        </w:tc>
      </w:tr>
    </w:tbl>
    <w:p>
      <w:pPr>
        <w:pStyle w:val="Heading3"/>
      </w:pPr>
      <w:r>
        <w:t>9.1.2 Revenue by Product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Year 1 Premium</w:t>
            </w:r>
          </w:p>
        </w:tc>
        <w:tc>
          <w:tcPr>
            <w:tcW w:type="dxa" w:w="2160"/>
          </w:tcPr>
          <w:p>
            <w:r>
              <w:rPr>
                <w:b/>
              </w:rPr>
              <w:t>Year 2 Premium</w:t>
            </w:r>
          </w:p>
        </w:tc>
        <w:tc>
          <w:tcPr>
            <w:tcW w:type="dxa" w:w="2160"/>
          </w:tcPr>
          <w:p>
            <w:r>
              <w:rPr>
                <w:b/>
              </w:rPr>
              <w:t>Year 3 Premium</w:t>
            </w:r>
          </w:p>
        </w:tc>
      </w:tr>
      <w:tr>
        <w:tc>
          <w:tcPr>
            <w:tcW w:type="dxa" w:w="2160"/>
          </w:tcPr>
          <w:p>
            <w:r>
              <w:t>Basic</w:t>
            </w:r>
          </w:p>
        </w:tc>
        <w:tc>
          <w:tcPr>
            <w:tcW w:type="dxa" w:w="2160"/>
          </w:tcPr>
          <w:p>
            <w:r>
              <w:t>¥135M</w:t>
            </w:r>
          </w:p>
        </w:tc>
        <w:tc>
          <w:tcPr>
            <w:tcW w:type="dxa" w:w="2160"/>
          </w:tcPr>
          <w:p>
            <w:r>
              <w:t>¥675M</w:t>
            </w:r>
          </w:p>
        </w:tc>
        <w:tc>
          <w:tcPr>
            <w:tcW w:type="dxa" w:w="2160"/>
          </w:tcPr>
          <w:p>
            <w:r>
              <w:t>¥1,620M</w:t>
            </w:r>
          </w:p>
        </w:tc>
      </w:tr>
      <w:tr>
        <w:tc>
          <w:tcPr>
            <w:tcW w:type="dxa" w:w="2160"/>
          </w:tcPr>
          <w:p>
            <w:r>
              <w:t>Standard</w:t>
            </w:r>
          </w:p>
        </w:tc>
        <w:tc>
          <w:tcPr>
            <w:tcW w:type="dxa" w:w="2160"/>
          </w:tcPr>
          <w:p>
            <w:r>
              <w:t>¥270M</w:t>
            </w:r>
          </w:p>
        </w:tc>
        <w:tc>
          <w:tcPr>
            <w:tcW w:type="dxa" w:w="2160"/>
          </w:tcPr>
          <w:p>
            <w:r>
              <w:t>¥1,350M</w:t>
            </w:r>
          </w:p>
        </w:tc>
        <w:tc>
          <w:tcPr>
            <w:tcW w:type="dxa" w:w="2160"/>
          </w:tcPr>
          <w:p>
            <w:r>
              <w:t>¥3,240M</w:t>
            </w:r>
          </w:p>
        </w:tc>
      </w:tr>
      <w:tr>
        <w:tc>
          <w:tcPr>
            <w:tcW w:type="dxa" w:w="2160"/>
          </w:tcPr>
          <w:p>
            <w:r>
              <w:t>Premium</w:t>
            </w:r>
          </w:p>
        </w:tc>
        <w:tc>
          <w:tcPr>
            <w:tcW w:type="dxa" w:w="2160"/>
          </w:tcPr>
          <w:p>
            <w:r>
              <w:t>¥45M</w:t>
            </w:r>
          </w:p>
        </w:tc>
        <w:tc>
          <w:tcPr>
            <w:tcW w:type="dxa" w:w="2160"/>
          </w:tcPr>
          <w:p>
            <w:r>
              <w:t>¥225M</w:t>
            </w:r>
          </w:p>
        </w:tc>
        <w:tc>
          <w:tcPr>
            <w:tcW w:type="dxa" w:w="2160"/>
          </w:tcPr>
          <w:p>
            <w:r>
              <w:t>¥540M</w:t>
            </w:r>
          </w:p>
        </w:tc>
      </w:tr>
      <w:tr>
        <w:tc>
          <w:tcPr>
            <w:tcW w:type="dxa" w:w="2160"/>
          </w:tcPr>
          <w:p>
            <w:r>
              <w:t>**Total**</w:t>
            </w:r>
          </w:p>
        </w:tc>
        <w:tc>
          <w:tcPr>
            <w:tcW w:type="dxa" w:w="2160"/>
          </w:tcPr>
          <w:p>
            <w:r>
              <w:t>**¥[X]M**</w:t>
            </w:r>
          </w:p>
        </w:tc>
        <w:tc>
          <w:tcPr>
            <w:tcW w:type="dxa" w:w="2160"/>
          </w:tcPr>
          <w:p>
            <w:r>
              <w:t>**¥[Y]M**</w:t>
            </w:r>
          </w:p>
        </w:tc>
        <w:tc>
          <w:tcPr>
            <w:tcW w:type="dxa" w:w="2160"/>
          </w:tcPr>
          <w:p>
            <w:r>
              <w:t>**¥[Z]M**</w:t>
            </w:r>
          </w:p>
        </w:tc>
      </w:tr>
    </w:tbl>
    <w:p>
      <w:pPr>
        <w:pStyle w:val="Heading2"/>
      </w:pPr>
      <w:r>
        <w:t>9.2 Cost Structure</w:t>
      </w:r>
    </w:p>
    <w:p>
      <w:pPr>
        <w:pStyle w:val="Heading3"/>
      </w:pPr>
      <w:r>
        <w:t>9.2.1 Loss Costs (Claims)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Premium Volume</w:t>
            </w:r>
          </w:p>
        </w:tc>
        <w:tc>
          <w:tcPr>
            <w:tcW w:type="dxa" w:w="2160"/>
          </w:tcPr>
          <w:p>
            <w:r>
              <w:rPr>
                <w:b/>
              </w:rPr>
              <w:t>Loss Ratio</w:t>
            </w:r>
          </w:p>
        </w:tc>
        <w:tc>
          <w:tcPr>
            <w:tcW w:type="dxa" w:w="2160"/>
          </w:tcPr>
          <w:p>
            <w:r>
              <w:rPr>
                <w:b/>
              </w:rPr>
              <w:t>Total Losses</w:t>
            </w:r>
          </w:p>
        </w:tc>
      </w:tr>
      <w:tr>
        <w:tc>
          <w:tcPr>
            <w:tcW w:type="dxa" w:w="2160"/>
          </w:tcPr>
          <w:p>
            <w:r>
              <w:t>Year 1</w:t>
            </w:r>
          </w:p>
        </w:tc>
        <w:tc>
          <w:tcPr>
            <w:tcW w:type="dxa" w:w="2160"/>
          </w:tcPr>
          <w:p>
            <w:r>
              <w:t>¥450M</w:t>
            </w:r>
          </w:p>
        </w:tc>
        <w:tc>
          <w:tcPr>
            <w:tcW w:type="dxa" w:w="2160"/>
          </w:tcPr>
          <w:p>
            <w:r>
              <w:t>72%</w:t>
            </w:r>
          </w:p>
        </w:tc>
        <w:tc>
          <w:tcPr>
            <w:tcW w:type="dxa" w:w="2160"/>
          </w:tcPr>
          <w:p>
            <w:r>
              <w:t>¥324M</w:t>
            </w:r>
          </w:p>
        </w:tc>
      </w:tr>
      <w:tr>
        <w:tc>
          <w:tcPr>
            <w:tcW w:type="dxa" w:w="2160"/>
          </w:tcPr>
          <w:p>
            <w:r>
              <w:t>Year 2</w:t>
            </w:r>
          </w:p>
        </w:tc>
        <w:tc>
          <w:tcPr>
            <w:tcW w:type="dxa" w:w="2160"/>
          </w:tcPr>
          <w:p>
            <w:r>
              <w:t>¥2,250M</w:t>
            </w:r>
          </w:p>
        </w:tc>
        <w:tc>
          <w:tcPr>
            <w:tcW w:type="dxa" w:w="2160"/>
          </w:tcPr>
          <w:p>
            <w:r>
              <w:t>68%</w:t>
            </w:r>
          </w:p>
        </w:tc>
        <w:tc>
          <w:tcPr>
            <w:tcW w:type="dxa" w:w="2160"/>
          </w:tcPr>
          <w:p>
            <w:r>
              <w:t>¥1,530M</w:t>
            </w:r>
          </w:p>
        </w:tc>
      </w:tr>
      <w:tr>
        <w:tc>
          <w:tcPr>
            <w:tcW w:type="dxa" w:w="2160"/>
          </w:tcPr>
          <w:p>
            <w:r>
              <w:t>Year 3</w:t>
            </w:r>
          </w:p>
        </w:tc>
        <w:tc>
          <w:tcPr>
            <w:tcW w:type="dxa" w:w="2160"/>
          </w:tcPr>
          <w:p>
            <w:r>
              <w:t>¥5,400M</w:t>
            </w:r>
          </w:p>
        </w:tc>
        <w:tc>
          <w:tcPr>
            <w:tcW w:type="dxa" w:w="2160"/>
          </w:tcPr>
          <w:p>
            <w:r>
              <w:t>65%</w:t>
            </w:r>
          </w:p>
        </w:tc>
        <w:tc>
          <w:tcPr>
            <w:tcW w:type="dxa" w:w="2160"/>
          </w:tcPr>
          <w:p>
            <w:r>
              <w:t>¥3,510M</w:t>
            </w:r>
          </w:p>
        </w:tc>
      </w:tr>
    </w:tbl>
    <w:p>
      <w:r>
        <w:t>Target Loss Ratio: 60-75%</w:t>
      </w:r>
    </w:p>
    <w:p>
      <w:pPr>
        <w:pStyle w:val="Heading3"/>
      </w:pPr>
      <w:r>
        <w:t>9.2.2 Operating Expenses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Expense Category</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Acquisition Costs</w:t>
            </w:r>
          </w:p>
        </w:tc>
        <w:tc>
          <w:tcPr>
            <w:tcW w:type="dxa" w:w="2160"/>
          </w:tcPr>
          <w:p>
            <w:r>
              <w:t>¥54M</w:t>
            </w:r>
          </w:p>
        </w:tc>
        <w:tc>
          <w:tcPr>
            <w:tcW w:type="dxa" w:w="2160"/>
          </w:tcPr>
          <w:p>
            <w:r>
              <w:t>¥270M</w:t>
            </w:r>
          </w:p>
        </w:tc>
        <w:tc>
          <w:tcPr>
            <w:tcW w:type="dxa" w:w="2160"/>
          </w:tcPr>
          <w:p>
            <w:r>
              <w:t>¥648M</w:t>
            </w:r>
          </w:p>
        </w:tc>
      </w:tr>
      <w:tr>
        <w:tc>
          <w:tcPr>
            <w:tcW w:type="dxa" w:w="2160"/>
          </w:tcPr>
          <w:p>
            <w:r>
              <w:t>Administrative</w:t>
            </w:r>
          </w:p>
        </w:tc>
        <w:tc>
          <w:tcPr>
            <w:tcW w:type="dxa" w:w="2160"/>
          </w:tcPr>
          <w:p>
            <w:r>
              <w:t>¥36M</w:t>
            </w:r>
          </w:p>
        </w:tc>
        <w:tc>
          <w:tcPr>
            <w:tcW w:type="dxa" w:w="2160"/>
          </w:tcPr>
          <w:p>
            <w:r>
              <w:t>¥180M</w:t>
            </w:r>
          </w:p>
        </w:tc>
        <w:tc>
          <w:tcPr>
            <w:tcW w:type="dxa" w:w="2160"/>
          </w:tcPr>
          <w:p>
            <w:r>
              <w:t>¥432M</w:t>
            </w:r>
          </w:p>
        </w:tc>
      </w:tr>
      <w:tr>
        <w:tc>
          <w:tcPr>
            <w:tcW w:type="dxa" w:w="2160"/>
          </w:tcPr>
          <w:p>
            <w:r>
              <w:t>Claims Handling</w:t>
            </w:r>
          </w:p>
        </w:tc>
        <w:tc>
          <w:tcPr>
            <w:tcW w:type="dxa" w:w="2160"/>
          </w:tcPr>
          <w:p>
            <w:r>
              <w:t>¥22.5M</w:t>
            </w:r>
          </w:p>
        </w:tc>
        <w:tc>
          <w:tcPr>
            <w:tcW w:type="dxa" w:w="2160"/>
          </w:tcPr>
          <w:p>
            <w:r>
              <w:t>¥112.5M</w:t>
            </w:r>
          </w:p>
        </w:tc>
        <w:tc>
          <w:tcPr>
            <w:tcW w:type="dxa" w:w="2160"/>
          </w:tcPr>
          <w:p>
            <w:r>
              <w:t>¥270M</w:t>
            </w:r>
          </w:p>
        </w:tc>
      </w:tr>
      <w:tr>
        <w:tc>
          <w:tcPr>
            <w:tcW w:type="dxa" w:w="2160"/>
          </w:tcPr>
          <w:p>
            <w:r>
              <w:t>Technology</w:t>
            </w:r>
          </w:p>
        </w:tc>
        <w:tc>
          <w:tcPr>
            <w:tcW w:type="dxa" w:w="2160"/>
          </w:tcPr>
          <w:p>
            <w:r>
              <w:t>¥18M</w:t>
            </w:r>
          </w:p>
        </w:tc>
        <w:tc>
          <w:tcPr>
            <w:tcW w:type="dxa" w:w="2160"/>
          </w:tcPr>
          <w:p>
            <w:r>
              <w:t>¥45M</w:t>
            </w:r>
          </w:p>
        </w:tc>
        <w:tc>
          <w:tcPr>
            <w:tcW w:type="dxa" w:w="2160"/>
          </w:tcPr>
          <w:p>
            <w:r>
              <w:t>¥108M</w:t>
            </w:r>
          </w:p>
        </w:tc>
      </w:tr>
      <w:tr>
        <w:tc>
          <w:tcPr>
            <w:tcW w:type="dxa" w:w="2160"/>
          </w:tcPr>
          <w:p>
            <w:r>
              <w:t>Marketing</w:t>
            </w:r>
          </w:p>
        </w:tc>
        <w:tc>
          <w:tcPr>
            <w:tcW w:type="dxa" w:w="2160"/>
          </w:tcPr>
          <w:p>
            <w:r>
              <w:t>¥27M</w:t>
            </w:r>
          </w:p>
        </w:tc>
        <w:tc>
          <w:tcPr>
            <w:tcW w:type="dxa" w:w="2160"/>
          </w:tcPr>
          <w:p>
            <w:r>
              <w:t>¥90M</w:t>
            </w:r>
          </w:p>
        </w:tc>
        <w:tc>
          <w:tcPr>
            <w:tcW w:type="dxa" w:w="2160"/>
          </w:tcPr>
          <w:p>
            <w:r>
              <w:t>¥162M</w:t>
            </w:r>
          </w:p>
        </w:tc>
      </w:tr>
      <w:tr>
        <w:tc>
          <w:tcPr>
            <w:tcW w:type="dxa" w:w="2160"/>
          </w:tcPr>
          <w:p>
            <w:r>
              <w:t>**Total Expenses**</w:t>
            </w:r>
          </w:p>
        </w:tc>
        <w:tc>
          <w:tcPr>
            <w:tcW w:type="dxa" w:w="2160"/>
          </w:tcPr>
          <w:p>
            <w:r>
              <w:t>**¥157.5M**</w:t>
            </w:r>
          </w:p>
        </w:tc>
        <w:tc>
          <w:tcPr>
            <w:tcW w:type="dxa" w:w="2160"/>
          </w:tcPr>
          <w:p>
            <w:r>
              <w:t>**¥697.5M**</w:t>
            </w:r>
          </w:p>
        </w:tc>
        <w:tc>
          <w:tcPr>
            <w:tcW w:type="dxa" w:w="2160"/>
          </w:tcPr>
          <w:p>
            <w:r>
              <w:t>**¥1,620M**</w:t>
            </w:r>
          </w:p>
        </w:tc>
      </w:tr>
    </w:tbl>
    <w:p>
      <w:r>
        <w:t>Target Expense Ratio: 25-35%</w:t>
      </w:r>
    </w:p>
    <w:p>
      <w:pPr>
        <w:pStyle w:val="Heading2"/>
      </w:pPr>
      <w:r>
        <w:t>9.3 Loss Ratio Targets</w:t>
      </w:r>
    </w:p>
    <w:p>
      <w:pPr>
        <w:pStyle w:val="Heading3"/>
      </w:pPr>
      <w:r>
        <w:t>9.3.1 Loss Ratio by Segment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Segment</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Young Professionals</w:t>
            </w:r>
          </w:p>
        </w:tc>
        <w:tc>
          <w:tcPr>
            <w:tcW w:type="dxa" w:w="2160"/>
          </w:tcPr>
          <w:p>
            <w:r>
              <w:t>78%</w:t>
            </w:r>
          </w:p>
        </w:tc>
        <w:tc>
          <w:tcPr>
            <w:tcW w:type="dxa" w:w="2160"/>
          </w:tcPr>
          <w:p>
            <w:r>
              <w:t>74%</w:t>
            </w:r>
          </w:p>
        </w:tc>
        <w:tc>
          <w:tcPr>
            <w:tcW w:type="dxa" w:w="2160"/>
          </w:tcPr>
          <w:p>
            <w:r>
              <w:t>70%</w:t>
            </w:r>
          </w:p>
        </w:tc>
      </w:tr>
      <w:tr>
        <w:tc>
          <w:tcPr>
            <w:tcW w:type="dxa" w:w="2160"/>
          </w:tcPr>
          <w:p>
            <w:r>
              <w:t>Families</w:t>
            </w:r>
          </w:p>
        </w:tc>
        <w:tc>
          <w:tcPr>
            <w:tcW w:type="dxa" w:w="2160"/>
          </w:tcPr>
          <w:p>
            <w:r>
              <w:t>68%</w:t>
            </w:r>
          </w:p>
        </w:tc>
        <w:tc>
          <w:tcPr>
            <w:tcW w:type="dxa" w:w="2160"/>
          </w:tcPr>
          <w:p>
            <w:r>
              <w:t>65%</w:t>
            </w:r>
          </w:p>
        </w:tc>
        <w:tc>
          <w:tcPr>
            <w:tcW w:type="dxa" w:w="2160"/>
          </w:tcPr>
          <w:p>
            <w:r>
              <w:t>63%</w:t>
            </w:r>
          </w:p>
        </w:tc>
      </w:tr>
      <w:tr>
        <w:tc>
          <w:tcPr>
            <w:tcW w:type="dxa" w:w="2160"/>
          </w:tcPr>
          <w:p>
            <w:r>
              <w:t>Business Owners</w:t>
            </w:r>
          </w:p>
        </w:tc>
        <w:tc>
          <w:tcPr>
            <w:tcW w:type="dxa" w:w="2160"/>
          </w:tcPr>
          <w:p>
            <w:r>
              <w:t>72%</w:t>
            </w:r>
          </w:p>
        </w:tc>
        <w:tc>
          <w:tcPr>
            <w:tcW w:type="dxa" w:w="2160"/>
          </w:tcPr>
          <w:p>
            <w:r>
              <w:t>69%</w:t>
            </w:r>
          </w:p>
        </w:tc>
        <w:tc>
          <w:tcPr>
            <w:tcW w:type="dxa" w:w="2160"/>
          </w:tcPr>
          <w:p>
            <w:r>
              <w:t>66%</w:t>
            </w:r>
          </w:p>
        </w:tc>
      </w:tr>
      <w:tr>
        <w:tc>
          <w:tcPr>
            <w:tcW w:type="dxa" w:w="2160"/>
          </w:tcPr>
          <w:p>
            <w:r>
              <w:t>Senior Drivers</w:t>
            </w:r>
          </w:p>
        </w:tc>
        <w:tc>
          <w:tcPr>
            <w:tcW w:type="dxa" w:w="2160"/>
          </w:tcPr>
          <w:p>
            <w:r>
              <w:t>70%</w:t>
            </w:r>
          </w:p>
        </w:tc>
        <w:tc>
          <w:tcPr>
            <w:tcW w:type="dxa" w:w="2160"/>
          </w:tcPr>
          <w:p>
            <w:r>
              <w:t>67%</w:t>
            </w:r>
          </w:p>
        </w:tc>
        <w:tc>
          <w:tcPr>
            <w:tcW w:type="dxa" w:w="2160"/>
          </w:tcPr>
          <w:p>
            <w:r>
              <w:t>64%</w:t>
            </w:r>
          </w:p>
        </w:tc>
      </w:tr>
      <w:tr>
        <w:tc>
          <w:tcPr>
            <w:tcW w:type="dxa" w:w="2160"/>
          </w:tcPr>
          <w:p>
            <w:r>
              <w:t>**Overall**</w:t>
            </w:r>
          </w:p>
        </w:tc>
        <w:tc>
          <w:tcPr>
            <w:tcW w:type="dxa" w:w="2160"/>
          </w:tcPr>
          <w:p>
            <w:r>
              <w:t>**72%**</w:t>
            </w:r>
          </w:p>
        </w:tc>
        <w:tc>
          <w:tcPr>
            <w:tcW w:type="dxa" w:w="2160"/>
          </w:tcPr>
          <w:p>
            <w:r>
              <w:t>**68%**</w:t>
            </w:r>
          </w:p>
        </w:tc>
        <w:tc>
          <w:tcPr>
            <w:tcW w:type="dxa" w:w="2160"/>
          </w:tcPr>
          <w:p>
            <w:r>
              <w:t>**65%**</w:t>
            </w:r>
          </w:p>
        </w:tc>
      </w:tr>
    </w:tbl>
    <w:p>
      <w:pPr>
        <w:pStyle w:val="Heading3"/>
      </w:pPr>
      <w:r>
        <w:t>9.3.2 Loss Ratio by Coverage 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Coverage Type</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Liability</w:t>
            </w:r>
          </w:p>
        </w:tc>
        <w:tc>
          <w:tcPr>
            <w:tcW w:type="dxa" w:w="2160"/>
          </w:tcPr>
          <w:p>
            <w:r>
              <w:t>65%</w:t>
            </w:r>
          </w:p>
        </w:tc>
        <w:tc>
          <w:tcPr>
            <w:tcW w:type="dxa" w:w="2160"/>
          </w:tcPr>
          <w:p>
            <w:r>
              <w:t>62%</w:t>
            </w:r>
          </w:p>
        </w:tc>
        <w:tc>
          <w:tcPr>
            <w:tcW w:type="dxa" w:w="2160"/>
          </w:tcPr>
          <w:p>
            <w:r>
              <w:t>60%</w:t>
            </w:r>
          </w:p>
        </w:tc>
      </w:tr>
      <w:tr>
        <w:tc>
          <w:tcPr>
            <w:tcW w:type="dxa" w:w="2160"/>
          </w:tcPr>
          <w:p>
            <w:r>
              <w:t>Comprehensive</w:t>
            </w:r>
          </w:p>
        </w:tc>
        <w:tc>
          <w:tcPr>
            <w:tcW w:type="dxa" w:w="2160"/>
          </w:tcPr>
          <w:p>
            <w:r>
              <w:t>82%</w:t>
            </w:r>
          </w:p>
        </w:tc>
        <w:tc>
          <w:tcPr>
            <w:tcW w:type="dxa" w:w="2160"/>
          </w:tcPr>
          <w:p>
            <w:r>
              <w:t>78%</w:t>
            </w:r>
          </w:p>
        </w:tc>
        <w:tc>
          <w:tcPr>
            <w:tcW w:type="dxa" w:w="2160"/>
          </w:tcPr>
          <w:p>
            <w:r>
              <w:t>75%</w:t>
            </w:r>
          </w:p>
        </w:tc>
      </w:tr>
      <w:tr>
        <w:tc>
          <w:tcPr>
            <w:tcW w:type="dxa" w:w="2160"/>
          </w:tcPr>
          <w:p>
            <w:r>
              <w:t>Personal Injury</w:t>
            </w:r>
          </w:p>
        </w:tc>
        <w:tc>
          <w:tcPr>
            <w:tcW w:type="dxa" w:w="2160"/>
          </w:tcPr>
          <w:p>
            <w:r>
              <w:t>70%</w:t>
            </w:r>
          </w:p>
        </w:tc>
        <w:tc>
          <w:tcPr>
            <w:tcW w:type="dxa" w:w="2160"/>
          </w:tcPr>
          <w:p>
            <w:r>
              <w:t>67%</w:t>
            </w:r>
          </w:p>
        </w:tc>
        <w:tc>
          <w:tcPr>
            <w:tcW w:type="dxa" w:w="2160"/>
          </w:tcPr>
          <w:p>
            <w:r>
              <w:t>64%</w:t>
            </w:r>
          </w:p>
        </w:tc>
      </w:tr>
    </w:tbl>
    <w:p>
      <w:pPr>
        <w:pStyle w:val="Heading2"/>
      </w:pPr>
      <w:r>
        <w:t>9.4 Expense Ratios</w:t>
      </w:r>
    </w:p>
    <w:p>
      <w:pPr>
        <w:pStyle w:val="Heading3"/>
      </w:pPr>
      <w:r>
        <w:t>9.4.1 Expense Ratio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Expense Type</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Acquisition</w:t>
            </w:r>
          </w:p>
        </w:tc>
        <w:tc>
          <w:tcPr>
            <w:tcW w:type="dxa" w:w="2160"/>
          </w:tcPr>
          <w:p>
            <w:r>
              <w:t>12%</w:t>
            </w:r>
          </w:p>
        </w:tc>
        <w:tc>
          <w:tcPr>
            <w:tcW w:type="dxa" w:w="2160"/>
          </w:tcPr>
          <w:p>
            <w:r>
              <w:t>12%</w:t>
            </w:r>
          </w:p>
        </w:tc>
        <w:tc>
          <w:tcPr>
            <w:tcW w:type="dxa" w:w="2160"/>
          </w:tcPr>
          <w:p>
            <w:r>
              <w:t>12%</w:t>
            </w:r>
          </w:p>
        </w:tc>
      </w:tr>
      <w:tr>
        <w:tc>
          <w:tcPr>
            <w:tcW w:type="dxa" w:w="2160"/>
          </w:tcPr>
          <w:p>
            <w:r>
              <w:t>Administrative</w:t>
            </w:r>
          </w:p>
        </w:tc>
        <w:tc>
          <w:tcPr>
            <w:tcW w:type="dxa" w:w="2160"/>
          </w:tcPr>
          <w:p>
            <w:r>
              <w:t>8%</w:t>
            </w:r>
          </w:p>
        </w:tc>
        <w:tc>
          <w:tcPr>
            <w:tcW w:type="dxa" w:w="2160"/>
          </w:tcPr>
          <w:p>
            <w:r>
              <w:t>8%</w:t>
            </w:r>
          </w:p>
        </w:tc>
        <w:tc>
          <w:tcPr>
            <w:tcW w:type="dxa" w:w="2160"/>
          </w:tcPr>
          <w:p>
            <w:r>
              <w:t>8%</w:t>
            </w:r>
          </w:p>
        </w:tc>
      </w:tr>
      <w:tr>
        <w:tc>
          <w:tcPr>
            <w:tcW w:type="dxa" w:w="2160"/>
          </w:tcPr>
          <w:p>
            <w:r>
              <w:t>Claims Handling</w:t>
            </w:r>
          </w:p>
        </w:tc>
        <w:tc>
          <w:tcPr>
            <w:tcW w:type="dxa" w:w="2160"/>
          </w:tcPr>
          <w:p>
            <w:r>
              <w:t>5%</w:t>
            </w:r>
          </w:p>
        </w:tc>
        <w:tc>
          <w:tcPr>
            <w:tcW w:type="dxa" w:w="2160"/>
          </w:tcPr>
          <w:p>
            <w:r>
              <w:t>5%</w:t>
            </w:r>
          </w:p>
        </w:tc>
        <w:tc>
          <w:tcPr>
            <w:tcW w:type="dxa" w:w="2160"/>
          </w:tcPr>
          <w:p>
            <w:r>
              <w:t>5%</w:t>
            </w:r>
          </w:p>
        </w:tc>
      </w:tr>
      <w:tr>
        <w:tc>
          <w:tcPr>
            <w:tcW w:type="dxa" w:w="2160"/>
          </w:tcPr>
          <w:p>
            <w:r>
              <w:t>Technology</w:t>
            </w:r>
          </w:p>
        </w:tc>
        <w:tc>
          <w:tcPr>
            <w:tcW w:type="dxa" w:w="2160"/>
          </w:tcPr>
          <w:p>
            <w:r>
              <w:t>4%</w:t>
            </w:r>
          </w:p>
        </w:tc>
        <w:tc>
          <w:tcPr>
            <w:tcW w:type="dxa" w:w="2160"/>
          </w:tcPr>
          <w:p>
            <w:r>
              <w:t>2%</w:t>
            </w:r>
          </w:p>
        </w:tc>
        <w:tc>
          <w:tcPr>
            <w:tcW w:type="dxa" w:w="2160"/>
          </w:tcPr>
          <w:p>
            <w:r>
              <w:t>2%</w:t>
            </w:r>
          </w:p>
        </w:tc>
      </w:tr>
      <w:tr>
        <w:tc>
          <w:tcPr>
            <w:tcW w:type="dxa" w:w="2160"/>
          </w:tcPr>
          <w:p>
            <w:r>
              <w:t>**Total Expense Ratio**</w:t>
            </w:r>
          </w:p>
        </w:tc>
        <w:tc>
          <w:tcPr>
            <w:tcW w:type="dxa" w:w="2160"/>
          </w:tcPr>
          <w:p>
            <w:r>
              <w:t>**29%**</w:t>
            </w:r>
          </w:p>
        </w:tc>
        <w:tc>
          <w:tcPr>
            <w:tcW w:type="dxa" w:w="2160"/>
          </w:tcPr>
          <w:p>
            <w:r>
              <w:t>**27%**</w:t>
            </w:r>
          </w:p>
        </w:tc>
        <w:tc>
          <w:tcPr>
            <w:tcW w:type="dxa" w:w="2160"/>
          </w:tcPr>
          <w:p>
            <w:r>
              <w:t>**27%**</w:t>
            </w:r>
          </w:p>
        </w:tc>
      </w:tr>
    </w:tbl>
    <w:p>
      <w:pPr>
        <w:pStyle w:val="Heading2"/>
      </w:pPr>
      <w:r>
        <w:t>9.5 Profitability Analysis</w:t>
      </w:r>
    </w:p>
    <w:p>
      <w:pPr>
        <w:pStyle w:val="Heading3"/>
      </w:pPr>
      <w:r>
        <w:t>9.5.1 Combined Ratio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Loss Ratio</w:t>
            </w:r>
          </w:p>
        </w:tc>
        <w:tc>
          <w:tcPr>
            <w:tcW w:type="dxa" w:w="2160"/>
          </w:tcPr>
          <w:p>
            <w:r>
              <w:rPr>
                <w:b/>
              </w:rPr>
              <w:t>Expense Ratio</w:t>
            </w:r>
          </w:p>
        </w:tc>
        <w:tc>
          <w:tcPr>
            <w:tcW w:type="dxa" w:w="2160"/>
          </w:tcPr>
          <w:p>
            <w:r>
              <w:rPr>
                <w:b/>
              </w:rPr>
              <w:t>Combined Ratio</w:t>
            </w:r>
          </w:p>
        </w:tc>
      </w:tr>
      <w:tr>
        <w:tc>
          <w:tcPr>
            <w:tcW w:type="dxa" w:w="2160"/>
          </w:tcPr>
          <w:p>
            <w:r>
              <w:t>Year 1</w:t>
            </w:r>
          </w:p>
        </w:tc>
        <w:tc>
          <w:tcPr>
            <w:tcW w:type="dxa" w:w="2160"/>
          </w:tcPr>
          <w:p>
            <w:r>
              <w:t>72%</w:t>
            </w:r>
          </w:p>
        </w:tc>
        <w:tc>
          <w:tcPr>
            <w:tcW w:type="dxa" w:w="2160"/>
          </w:tcPr>
          <w:p>
            <w:r>
              <w:t>29%</w:t>
            </w:r>
          </w:p>
        </w:tc>
        <w:tc>
          <w:tcPr>
            <w:tcW w:type="dxa" w:w="2160"/>
          </w:tcPr>
          <w:p>
            <w:r>
              <w:t>101%</w:t>
            </w:r>
          </w:p>
        </w:tc>
      </w:tr>
      <w:tr>
        <w:tc>
          <w:tcPr>
            <w:tcW w:type="dxa" w:w="2160"/>
          </w:tcPr>
          <w:p>
            <w:r>
              <w:t>Year 2</w:t>
            </w:r>
          </w:p>
        </w:tc>
        <w:tc>
          <w:tcPr>
            <w:tcW w:type="dxa" w:w="2160"/>
          </w:tcPr>
          <w:p>
            <w:r>
              <w:t>68%</w:t>
            </w:r>
          </w:p>
        </w:tc>
        <w:tc>
          <w:tcPr>
            <w:tcW w:type="dxa" w:w="2160"/>
          </w:tcPr>
          <w:p>
            <w:r>
              <w:t>27%</w:t>
            </w:r>
          </w:p>
        </w:tc>
        <w:tc>
          <w:tcPr>
            <w:tcW w:type="dxa" w:w="2160"/>
          </w:tcPr>
          <w:p>
            <w:r>
              <w:t>95%</w:t>
            </w:r>
          </w:p>
        </w:tc>
      </w:tr>
      <w:tr>
        <w:tc>
          <w:tcPr>
            <w:tcW w:type="dxa" w:w="2160"/>
          </w:tcPr>
          <w:p>
            <w:r>
              <w:t>Year 3</w:t>
            </w:r>
          </w:p>
        </w:tc>
        <w:tc>
          <w:tcPr>
            <w:tcW w:type="dxa" w:w="2160"/>
          </w:tcPr>
          <w:p>
            <w:r>
              <w:t>65%</w:t>
            </w:r>
          </w:p>
        </w:tc>
        <w:tc>
          <w:tcPr>
            <w:tcW w:type="dxa" w:w="2160"/>
          </w:tcPr>
          <w:p>
            <w:r>
              <w:t>27%</w:t>
            </w:r>
          </w:p>
        </w:tc>
        <w:tc>
          <w:tcPr>
            <w:tcW w:type="dxa" w:w="2160"/>
          </w:tcPr>
          <w:p>
            <w:r>
              <w:t>92%</w:t>
            </w:r>
          </w:p>
        </w:tc>
      </w:tr>
    </w:tbl>
    <w:p>
      <w:r>
        <w:t>Target: Combined Ratio &lt; 100% (profitable)</w:t>
      </w:r>
    </w:p>
    <w:p>
      <w:pPr>
        <w:pStyle w:val="Heading3"/>
      </w:pPr>
      <w:r>
        <w:t>9.5.2 Net Profit/Loss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Premium Volume</w:t>
            </w:r>
          </w:p>
        </w:tc>
        <w:tc>
          <w:tcPr>
            <w:tcW w:type="dxa" w:w="1728"/>
          </w:tcPr>
          <w:p>
            <w:r>
              <w:rPr>
                <w:b/>
              </w:rPr>
              <w:t>Total Costs</w:t>
            </w:r>
          </w:p>
        </w:tc>
        <w:tc>
          <w:tcPr>
            <w:tcW w:type="dxa" w:w="1728"/>
          </w:tcPr>
          <w:p>
            <w:r>
              <w:rPr>
                <w:b/>
              </w:rPr>
              <w:t>Net Profit/(Loss)</w:t>
            </w:r>
          </w:p>
        </w:tc>
        <w:tc>
          <w:tcPr>
            <w:tcW w:type="dxa" w:w="1728"/>
          </w:tcPr>
          <w:p>
            <w:r>
              <w:rPr>
                <w:b/>
              </w:rPr>
              <w:t>Profit Margin</w:t>
            </w:r>
          </w:p>
        </w:tc>
      </w:tr>
      <w:tr>
        <w:tc>
          <w:tcPr>
            <w:tcW w:type="dxa" w:w="1728"/>
          </w:tcPr>
          <w:p>
            <w:r>
              <w:t>Year 1</w:t>
            </w:r>
          </w:p>
        </w:tc>
        <w:tc>
          <w:tcPr>
            <w:tcW w:type="dxa" w:w="1728"/>
          </w:tcPr>
          <w:p>
            <w:r>
              <w:t>¥450M</w:t>
            </w:r>
          </w:p>
        </w:tc>
        <w:tc>
          <w:tcPr>
            <w:tcW w:type="dxa" w:w="1728"/>
          </w:tcPr>
          <w:p>
            <w:r>
              <w:t>¥481.5M</w:t>
            </w:r>
          </w:p>
        </w:tc>
        <w:tc>
          <w:tcPr>
            <w:tcW w:type="dxa" w:w="1728"/>
          </w:tcPr>
          <w:p>
            <w:r>
              <w:t>¥-31.5M</w:t>
            </w:r>
          </w:p>
        </w:tc>
        <w:tc>
          <w:tcPr>
            <w:tcW w:type="dxa" w:w="1728"/>
          </w:tcPr>
          <w:p>
            <w:r>
              <w:t>-7.0%</w:t>
            </w:r>
          </w:p>
        </w:tc>
      </w:tr>
      <w:tr>
        <w:tc>
          <w:tcPr>
            <w:tcW w:type="dxa" w:w="1728"/>
          </w:tcPr>
          <w:p>
            <w:r>
              <w:t>Year 2</w:t>
            </w:r>
          </w:p>
        </w:tc>
        <w:tc>
          <w:tcPr>
            <w:tcW w:type="dxa" w:w="1728"/>
          </w:tcPr>
          <w:p>
            <w:r>
              <w:t>¥2,250M</w:t>
            </w:r>
          </w:p>
        </w:tc>
        <w:tc>
          <w:tcPr>
            <w:tcW w:type="dxa" w:w="1728"/>
          </w:tcPr>
          <w:p>
            <w:r>
              <w:t>¥2,227.5M</w:t>
            </w:r>
          </w:p>
        </w:tc>
        <w:tc>
          <w:tcPr>
            <w:tcW w:type="dxa" w:w="1728"/>
          </w:tcPr>
          <w:p>
            <w:r>
              <w:t>¥22.5M</w:t>
            </w:r>
          </w:p>
        </w:tc>
        <w:tc>
          <w:tcPr>
            <w:tcW w:type="dxa" w:w="1728"/>
          </w:tcPr>
          <w:p>
            <w:r>
              <w:t>1.0%</w:t>
            </w:r>
          </w:p>
        </w:tc>
      </w:tr>
      <w:tr>
        <w:tc>
          <w:tcPr>
            <w:tcW w:type="dxa" w:w="1728"/>
          </w:tcPr>
          <w:p>
            <w:r>
              <w:t>Year 3</w:t>
            </w:r>
          </w:p>
        </w:tc>
        <w:tc>
          <w:tcPr>
            <w:tcW w:type="dxa" w:w="1728"/>
          </w:tcPr>
          <w:p>
            <w:r>
              <w:t>¥5,400M</w:t>
            </w:r>
          </w:p>
        </w:tc>
        <w:tc>
          <w:tcPr>
            <w:tcW w:type="dxa" w:w="1728"/>
          </w:tcPr>
          <w:p>
            <w:r>
              <w:t>¥5,130M</w:t>
            </w:r>
          </w:p>
        </w:tc>
        <w:tc>
          <w:tcPr>
            <w:tcW w:type="dxa" w:w="1728"/>
          </w:tcPr>
          <w:p>
            <w:r>
              <w:t>¥270M</w:t>
            </w:r>
          </w:p>
        </w:tc>
        <w:tc>
          <w:tcPr>
            <w:tcW w:type="dxa" w:w="1728"/>
          </w:tcPr>
          <w:p>
            <w:r>
              <w:t>5.0%</w:t>
            </w:r>
          </w:p>
        </w:tc>
      </w:tr>
    </w:tbl>
    <w:p>
      <w:pPr>
        <w:pStyle w:val="Heading2"/>
      </w:pPr>
      <w:r>
        <w:t>9.6 Break-Even Analysis</w:t>
      </w:r>
    </w:p>
    <w:p>
      <w:pPr>
        <w:pStyle w:val="Heading3"/>
      </w:pPr>
      <w:r>
        <w:t>9.6.1 Break-Even Point</w:t>
      </w:r>
    </w:p>
    <w:p>
      <w:pPr>
        <w:pStyle w:val="ListBullet"/>
      </w:pPr>
      <w:r>
        <w:t>Break-Even Policies: 18,500 policies</w:t>
      </w:r>
    </w:p>
    <w:p>
      <w:pPr>
        <w:pStyle w:val="ListBullet"/>
      </w:pPr>
      <w:r>
        <w:t>Break-Even Premium Volume: ¥1,665M</w:t>
      </w:r>
    </w:p>
    <w:p>
      <w:pPr>
        <w:pStyle w:val="ListBullet"/>
      </w:pPr>
      <w:r>
        <w:t>Expected Time to Break-Even: 14 months</w:t>
      </w:r>
    </w:p>
    <w:p>
      <w:pPr>
        <w:pStyle w:val="Heading3"/>
      </w:pPr>
      <w:r>
        <w:t>9.6.2 Sensitivity Analysis</w:t>
      </w:r>
    </w:p>
    <w:p>
      <w:r>
        <w:t>Scenario 1: Optimistic</w:t>
      </w:r>
    </w:p>
    <w:p>
      <w:pPr>
        <w:pStyle w:val="ListBullet"/>
      </w:pPr>
      <w:r>
        <w:t>Higher policy count: 20% above base</w:t>
      </w:r>
    </w:p>
    <w:p>
      <w:pPr>
        <w:pStyle w:val="ListBullet"/>
      </w:pPr>
      <w:r>
        <w:t>Lower loss ratio: 5% below target</w:t>
      </w:r>
    </w:p>
    <w:p>
      <w:pPr>
        <w:pStyle w:val="ListBullet"/>
      </w:pPr>
      <w:r>
        <w:t>Result: Profit of ¥450M</w:t>
      </w:r>
    </w:p>
    <w:p>
      <w:r>
        <w:t>Scenario 2: Base Case</w:t>
      </w:r>
    </w:p>
    <w:p>
      <w:pPr>
        <w:pStyle w:val="ListBullet"/>
      </w:pPr>
      <w:r>
        <w:t>Base assumptions</w:t>
      </w:r>
    </w:p>
    <w:p>
      <w:pPr>
        <w:pStyle w:val="ListBullet"/>
      </w:pPr>
      <w:r>
        <w:t>Result: Profit of ¥270M</w:t>
      </w:r>
    </w:p>
    <w:p>
      <w:r>
        <w:t>Scenario 3: Pessimistic</w:t>
      </w:r>
    </w:p>
    <w:p>
      <w:pPr>
        <w:pStyle w:val="ListBullet"/>
      </w:pPr>
      <w:r>
        <w:t>Lower policy count: 15% below base</w:t>
      </w:r>
    </w:p>
    <w:p>
      <w:pPr>
        <w:pStyle w:val="ListBullet"/>
      </w:pPr>
      <w:r>
        <w:t>Higher loss ratio: 8% above target</w:t>
      </w:r>
    </w:p>
    <w:p>
      <w:pPr>
        <w:pStyle w:val="ListBullet"/>
      </w:pPr>
      <w:r>
        <w:t>Result: Loss of ¥180M</w:t>
      </w:r>
    </w:p>
    <w:p>
      <w:r>
        <w:t>---</w:t>
      </w:r>
    </w:p>
    <w:p>
      <w:pPr>
        <w:pStyle w:val="Heading1"/>
      </w:pPr>
      <w:r>
        <w:t>10. Implementation Roadmap</w:t>
      </w:r>
    </w:p>
    <w:p>
      <w:pPr>
        <w:pStyle w:val="Heading2"/>
      </w:pPr>
      <w:r>
        <w:t>10.1 Phase 1: Market Entry (Months 1-6)</w:t>
      </w:r>
    </w:p>
    <w:p>
      <w:pPr>
        <w:pStyle w:val="Heading3"/>
      </w:pPr>
      <w:r>
        <w:t>10.1.1 Objectives</w:t>
      </w:r>
    </w:p>
    <w:p>
      <w:pPr>
        <w:pStyle w:val="ListBullet"/>
      </w:pPr>
      <w:r>
        <w:t>Obtain regulatory approvals</w:t>
      </w:r>
    </w:p>
    <w:p>
      <w:pPr>
        <w:pStyle w:val="ListBullet"/>
      </w:pPr>
      <w:r>
        <w:t>Launch digital platform</w:t>
      </w:r>
    </w:p>
    <w:p>
      <w:pPr>
        <w:pStyle w:val="ListBullet"/>
      </w:pPr>
      <w:r>
        <w:t>Initial customer acquisition</w:t>
      </w:r>
    </w:p>
    <w:p>
      <w:pPr>
        <w:pStyle w:val="ListBullet"/>
      </w:pPr>
      <w:r>
        <w:t>Establish operations</w:t>
      </w:r>
    </w:p>
    <w:p>
      <w:pPr>
        <w:pStyle w:val="Heading3"/>
      </w:pPr>
      <w:r>
        <w:t>10.1.2 Key Activities</w:t>
      </w:r>
    </w:p>
    <w:p>
      <w:r>
        <w:t>Month 1-2: Foundation</w:t>
      </w:r>
    </w:p>
    <w:p>
      <w:pPr>
        <w:pStyle w:val="ListBullet"/>
      </w:pPr>
      <w:r>
        <w:t>Complete FSA licensing application</w:t>
      </w:r>
    </w:p>
    <w:p>
      <w:pPr>
        <w:pStyle w:val="ListBullet"/>
      </w:pPr>
      <w:r>
        <w:t>Finalize product design and pricing</w:t>
      </w:r>
    </w:p>
    <w:p>
      <w:pPr>
        <w:pStyle w:val="ListBullet"/>
      </w:pPr>
      <w:r>
        <w:t>Develop digital platform (MVP)</w:t>
      </w:r>
    </w:p>
    <w:p>
      <w:pPr>
        <w:pStyle w:val="ListBullet"/>
      </w:pPr>
      <w:r>
        <w:t>Establish partnerships (repair shops, towing)</w:t>
      </w:r>
    </w:p>
    <w:p>
      <w:r>
        <w:t>Month 3-4: Testing</w:t>
      </w:r>
    </w:p>
    <w:p>
      <w:pPr>
        <w:pStyle w:val="ListBullet"/>
      </w:pPr>
      <w:r>
        <w:t>Beta testing with limited customers</w:t>
      </w:r>
    </w:p>
    <w:p>
      <w:pPr>
        <w:pStyle w:val="ListBullet"/>
      </w:pPr>
      <w:r>
        <w:t>System testing and refinement</w:t>
      </w:r>
    </w:p>
    <w:p>
      <w:pPr>
        <w:pStyle w:val="ListBullet"/>
      </w:pPr>
      <w:r>
        <w:t>Staff training</w:t>
      </w:r>
    </w:p>
    <w:p>
      <w:pPr>
        <w:pStyle w:val="ListBullet"/>
      </w:pPr>
      <w:r>
        <w:t>Marketing material development</w:t>
      </w:r>
    </w:p>
    <w:p>
      <w:r>
        <w:t>Month 5-6: Launch</w:t>
      </w:r>
    </w:p>
    <w:p>
      <w:pPr>
        <w:pStyle w:val="ListBullet"/>
      </w:pPr>
      <w:r>
        <w:t>Public launch</w:t>
      </w:r>
    </w:p>
    <w:p>
      <w:pPr>
        <w:pStyle w:val="ListBullet"/>
      </w:pPr>
      <w:r>
        <w:t>Marketing campaign launch</w:t>
      </w:r>
    </w:p>
    <w:p>
      <w:pPr>
        <w:pStyle w:val="ListBullet"/>
      </w:pPr>
      <w:r>
        <w:t>Customer acquisition focus</w:t>
      </w:r>
    </w:p>
    <w:p>
      <w:pPr>
        <w:pStyle w:val="ListBullet"/>
      </w:pPr>
      <w:r>
        <w:t>Monitor and adjust</w:t>
      </w:r>
    </w:p>
    <w:p>
      <w:pPr>
        <w:pStyle w:val="Heading3"/>
      </w:pPr>
      <w:r>
        <w:t>10.1.3 Success Metrics</w:t>
      </w:r>
    </w:p>
    <w:p>
      <w:pPr>
        <w:pStyle w:val="ListBullet"/>
      </w:pPr>
      <w:r>
        <w:t>5,000 policies written</w:t>
      </w:r>
    </w:p>
    <w:p>
      <w:pPr>
        <w:pStyle w:val="ListBullet"/>
      </w:pPr>
      <w:r>
        <w:t>4.3% customer satisfaction</w:t>
      </w:r>
    </w:p>
    <w:p>
      <w:pPr>
        <w:pStyle w:val="ListBullet"/>
      </w:pPr>
      <w:r>
        <w:t>68% online purchase rate</w:t>
      </w:r>
    </w:p>
    <w:p>
      <w:pPr>
        <w:pStyle w:val="ListBullet"/>
      </w:pPr>
      <w:r>
        <w:t>Combined ratio &lt; 105%</w:t>
      </w:r>
    </w:p>
    <w:p>
      <w:pPr>
        <w:pStyle w:val="Heading2"/>
      </w:pPr>
      <w:r>
        <w:t>10.2 Phase 2: Expansion (Months 7-18)</w:t>
      </w:r>
    </w:p>
    <w:p>
      <w:pPr>
        <w:pStyle w:val="Heading3"/>
      </w:pPr>
      <w:r>
        <w:t>10.2.1 Objectives</w:t>
      </w:r>
    </w:p>
    <w:p>
      <w:pPr>
        <w:pStyle w:val="ListBullet"/>
      </w:pPr>
      <w:r>
        <w:t>Scale customer base</w:t>
      </w:r>
    </w:p>
    <w:p>
      <w:pPr>
        <w:pStyle w:val="ListBullet"/>
      </w:pPr>
      <w:r>
        <w:t>Expand product offerings</w:t>
      </w:r>
    </w:p>
    <w:p>
      <w:pPr>
        <w:pStyle w:val="ListBullet"/>
      </w:pPr>
      <w:r>
        <w:t>Optimize operations</w:t>
      </w:r>
    </w:p>
    <w:p>
      <w:pPr>
        <w:pStyle w:val="ListBullet"/>
      </w:pPr>
      <w:r>
        <w:t>Build brand awareness</w:t>
      </w:r>
    </w:p>
    <w:p>
      <w:pPr>
        <w:pStyle w:val="Heading3"/>
      </w:pPr>
      <w:r>
        <w:t>10.2.2 Key Activities</w:t>
      </w:r>
    </w:p>
    <w:p>
      <w:pPr>
        <w:pStyle w:val="ListBullet"/>
      </w:pPr>
      <w:r>
        <w:t>Expand marketing efforts</w:t>
      </w:r>
    </w:p>
    <w:p>
      <w:pPr>
        <w:pStyle w:val="ListBullet"/>
      </w:pPr>
      <w:r>
        <w:t>Launch additional product tiers</w:t>
      </w:r>
    </w:p>
    <w:p>
      <w:pPr>
        <w:pStyle w:val="ListBullet"/>
      </w:pPr>
      <w:r>
        <w:t>Enhance digital platform features</w:t>
      </w:r>
    </w:p>
    <w:p>
      <w:pPr>
        <w:pStyle w:val="ListBullet"/>
      </w:pPr>
      <w:r>
        <w:t>Expand partner network</w:t>
      </w:r>
    </w:p>
    <w:p>
      <w:pPr>
        <w:pStyle w:val="ListBullet"/>
      </w:pPr>
      <w:r>
        <w:t>Introduce usage-based insurance</w:t>
      </w:r>
    </w:p>
    <w:p>
      <w:pPr>
        <w:pStyle w:val="ListBullet"/>
      </w:pPr>
      <w:r>
        <w:t>Geographic expansion within Tokyo</w:t>
      </w:r>
    </w:p>
    <w:p>
      <w:pPr>
        <w:pStyle w:val="Heading3"/>
      </w:pPr>
      <w:r>
        <w:t>10.2.3 Success Metrics</w:t>
      </w:r>
    </w:p>
    <w:p>
      <w:pPr>
        <w:pStyle w:val="ListBullet"/>
      </w:pPr>
      <w:r>
        <w:t>30,000 policies written (cumulative)</w:t>
      </w:r>
    </w:p>
    <w:p>
      <w:pPr>
        <w:pStyle w:val="ListBullet"/>
      </w:pPr>
      <w:r>
        <w:t>Market share of 0.7%</w:t>
      </w:r>
    </w:p>
    <w:p>
      <w:pPr>
        <w:pStyle w:val="ListBullet"/>
      </w:pPr>
      <w:r>
        <w:t>Customer retention rate of 82%</w:t>
      </w:r>
    </w:p>
    <w:p>
      <w:pPr>
        <w:pStyle w:val="ListBullet"/>
      </w:pPr>
      <w:r>
        <w:t>Positive profitability</w:t>
      </w:r>
    </w:p>
    <w:p>
      <w:pPr>
        <w:pStyle w:val="Heading2"/>
      </w:pPr>
      <w:r>
        <w:t>10.3 Phase 3: Optimization (Months 19-36)</w:t>
      </w:r>
    </w:p>
    <w:p>
      <w:pPr>
        <w:pStyle w:val="Heading3"/>
      </w:pPr>
      <w:r>
        <w:t>10.3.1 Objectives</w:t>
      </w:r>
    </w:p>
    <w:p>
      <w:pPr>
        <w:pStyle w:val="ListBullet"/>
      </w:pPr>
      <w:r>
        <w:t>Optimize profitability</w:t>
      </w:r>
    </w:p>
    <w:p>
      <w:pPr>
        <w:pStyle w:val="ListBullet"/>
      </w:pPr>
      <w:r>
        <w:t>Enhance customer experience</w:t>
      </w:r>
    </w:p>
    <w:p>
      <w:pPr>
        <w:pStyle w:val="ListBullet"/>
      </w:pPr>
      <w:r>
        <w:t>Expand product portfolio</w:t>
      </w:r>
    </w:p>
    <w:p>
      <w:pPr>
        <w:pStyle w:val="ListBullet"/>
      </w:pPr>
      <w:r>
        <w:t>Consider geographic expansion</w:t>
      </w:r>
    </w:p>
    <w:p>
      <w:pPr>
        <w:pStyle w:val="Heading3"/>
      </w:pPr>
      <w:r>
        <w:t>10.3.2 Key Activities</w:t>
      </w:r>
    </w:p>
    <w:p>
      <w:pPr>
        <w:pStyle w:val="ListBullet"/>
      </w:pPr>
      <w:r>
        <w:t>Advanced analytics and AI implementation</w:t>
      </w:r>
    </w:p>
    <w:p>
      <w:pPr>
        <w:pStyle w:val="ListBullet"/>
      </w:pPr>
      <w:r>
        <w:t>Premium customer service programs</w:t>
      </w:r>
    </w:p>
    <w:p>
      <w:pPr>
        <w:pStyle w:val="ListBullet"/>
      </w:pPr>
      <w:r>
        <w:t>New product development</w:t>
      </w:r>
    </w:p>
    <w:p>
      <w:pPr>
        <w:pStyle w:val="ListBullet"/>
      </w:pPr>
      <w:r>
        <w:t>Strategic partnerships</w:t>
      </w:r>
    </w:p>
    <w:p>
      <w:pPr>
        <w:pStyle w:val="ListBullet"/>
      </w:pPr>
      <w:r>
        <w:t>Technology innovation</w:t>
      </w:r>
    </w:p>
    <w:p>
      <w:pPr>
        <w:pStyle w:val="ListBullet"/>
      </w:pPr>
      <w:r>
        <w:t>Market expansion evaluation</w:t>
      </w:r>
    </w:p>
    <w:p>
      <w:pPr>
        <w:pStyle w:val="Heading3"/>
      </w:pPr>
      <w:r>
        <w:t>10.3.3 Success Metrics</w:t>
      </w:r>
    </w:p>
    <w:p>
      <w:pPr>
        <w:pStyle w:val="ListBullet"/>
      </w:pPr>
      <w:r>
        <w:t>Combined ratio &lt; 95%</w:t>
      </w:r>
    </w:p>
    <w:p>
      <w:pPr>
        <w:pStyle w:val="ListBullet"/>
      </w:pPr>
      <w:r>
        <w:t>Customer satisfaction &gt; 4.5</w:t>
      </w:r>
    </w:p>
    <w:p>
      <w:pPr>
        <w:pStyle w:val="ListBullet"/>
      </w:pPr>
      <w:r>
        <w:t>Market share of 1.4%</w:t>
      </w:r>
    </w:p>
    <w:p>
      <w:pPr>
        <w:pStyle w:val="ListBullet"/>
      </w:pPr>
      <w:r>
        <w:t>Sustainable profitability</w:t>
      </w:r>
    </w:p>
    <w:p>
      <w:pPr>
        <w:pStyle w:val="Heading2"/>
      </w:pPr>
      <w:r>
        <w:t>10.4 Timeline and Milestones</w:t>
      </w:r>
    </w:p>
    <w:p>
      <w:pPr>
        <w:pStyle w:val="Heading3"/>
      </w:pPr>
      <w:r>
        <w:t>10.4.1 Key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 Date</w:t>
            </w:r>
          </w:p>
        </w:tc>
        <w:tc>
          <w:tcPr>
            <w:tcW w:type="dxa" w:w="2880"/>
          </w:tcPr>
          <w:p>
            <w:r>
              <w:rPr>
                <w:b/>
              </w:rPr>
              <w:t>Status</w:t>
            </w:r>
          </w:p>
        </w:tc>
      </w:tr>
      <w:tr>
        <w:tc>
          <w:tcPr>
            <w:tcW w:type="dxa" w:w="2880"/>
          </w:tcPr>
          <w:p>
            <w:r>
              <w:t>FSA License Approval</w:t>
            </w:r>
          </w:p>
        </w:tc>
        <w:tc>
          <w:tcPr>
            <w:tcW w:type="dxa" w:w="2880"/>
          </w:tcPr>
          <w:p>
            <w:r>
              <w:t>Month 8</w:t>
            </w:r>
          </w:p>
        </w:tc>
        <w:tc>
          <w:tcPr>
            <w:tcW w:type="dxa" w:w="2880"/>
          </w:tcPr>
          <w:p>
            <w:r>
              <w:t>[ ]</w:t>
            </w:r>
          </w:p>
        </w:tc>
      </w:tr>
      <w:tr>
        <w:tc>
          <w:tcPr>
            <w:tcW w:type="dxa" w:w="2880"/>
          </w:tcPr>
          <w:p>
            <w:r>
              <w:t>Platform Launch</w:t>
            </w:r>
          </w:p>
        </w:tc>
        <w:tc>
          <w:tcPr>
            <w:tcW w:type="dxa" w:w="2880"/>
          </w:tcPr>
          <w:p>
            <w:r>
              <w:t>Month 6</w:t>
            </w:r>
          </w:p>
        </w:tc>
        <w:tc>
          <w:tcPr>
            <w:tcW w:type="dxa" w:w="2880"/>
          </w:tcPr>
          <w:p>
            <w:r>
              <w:t>[ ]</w:t>
            </w:r>
          </w:p>
        </w:tc>
      </w:tr>
      <w:tr>
        <w:tc>
          <w:tcPr>
            <w:tcW w:type="dxa" w:w="2880"/>
          </w:tcPr>
          <w:p>
            <w:r>
              <w:t>First 1,000 Policies</w:t>
            </w:r>
          </w:p>
        </w:tc>
        <w:tc>
          <w:tcPr>
            <w:tcW w:type="dxa" w:w="2880"/>
          </w:tcPr>
          <w:p>
            <w:r>
              <w:t>Month 7</w:t>
            </w:r>
          </w:p>
        </w:tc>
        <w:tc>
          <w:tcPr>
            <w:tcW w:type="dxa" w:w="2880"/>
          </w:tcPr>
          <w:p>
            <w:r>
              <w:t>[ ]</w:t>
            </w:r>
          </w:p>
        </w:tc>
      </w:tr>
      <w:tr>
        <w:tc>
          <w:tcPr>
            <w:tcW w:type="dxa" w:w="2880"/>
          </w:tcPr>
          <w:p>
            <w:r>
              <w:t>Break-Even</w:t>
            </w:r>
          </w:p>
        </w:tc>
        <w:tc>
          <w:tcPr>
            <w:tcW w:type="dxa" w:w="2880"/>
          </w:tcPr>
          <w:p>
            <w:r>
              <w:t>Month 14</w:t>
            </w:r>
          </w:p>
        </w:tc>
        <w:tc>
          <w:tcPr>
            <w:tcW w:type="dxa" w:w="2880"/>
          </w:tcPr>
          <w:p>
            <w:r>
              <w:t>[ ]</w:t>
            </w:r>
          </w:p>
        </w:tc>
      </w:tr>
      <w:tr>
        <w:tc>
          <w:tcPr>
            <w:tcW w:type="dxa" w:w="2880"/>
          </w:tcPr>
          <w:p>
            <w:r>
              <w:t>10,000 Policies</w:t>
            </w:r>
          </w:p>
        </w:tc>
        <w:tc>
          <w:tcPr>
            <w:tcW w:type="dxa" w:w="2880"/>
          </w:tcPr>
          <w:p>
            <w:r>
              <w:t>Month 12</w:t>
            </w:r>
          </w:p>
        </w:tc>
        <w:tc>
          <w:tcPr>
            <w:tcW w:type="dxa" w:w="2880"/>
          </w:tcPr>
          <w:p>
            <w:r>
              <w:t>[ ]</w:t>
            </w:r>
          </w:p>
        </w:tc>
      </w:tr>
      <w:tr>
        <w:tc>
          <w:tcPr>
            <w:tcW w:type="dxa" w:w="2880"/>
          </w:tcPr>
          <w:p>
            <w:r>
              <w:t>Profitability</w:t>
            </w:r>
          </w:p>
        </w:tc>
        <w:tc>
          <w:tcPr>
            <w:tcW w:type="dxa" w:w="2880"/>
          </w:tcPr>
          <w:p>
            <w:r>
              <w:t>Month 18</w:t>
            </w:r>
          </w:p>
        </w:tc>
        <w:tc>
          <w:tcPr>
            <w:tcW w:type="dxa" w:w="2880"/>
          </w:tcPr>
          <w:p>
            <w:r>
              <w:t>[ ]</w:t>
            </w:r>
          </w:p>
        </w:tc>
      </w:tr>
    </w:tbl>
    <w:p>
      <w:pPr>
        <w:pStyle w:val="Heading2"/>
      </w:pPr>
      <w:r>
        <w:t>10.5 Resource Requirements</w:t>
      </w:r>
    </w:p>
    <w:p>
      <w:pPr>
        <w:pStyle w:val="Heading3"/>
      </w:pPr>
      <w:r>
        <w:t>10.5.1 Human Resources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Management</w:t>
            </w:r>
          </w:p>
        </w:tc>
        <w:tc>
          <w:tcPr>
            <w:tcW w:type="dxa" w:w="2160"/>
          </w:tcPr>
          <w:p>
            <w:r>
              <w:t>8</w:t>
            </w:r>
          </w:p>
        </w:tc>
        <w:tc>
          <w:tcPr>
            <w:tcW w:type="dxa" w:w="2160"/>
          </w:tcPr>
          <w:p>
            <w:r>
              <w:t>12</w:t>
            </w:r>
          </w:p>
        </w:tc>
        <w:tc>
          <w:tcPr>
            <w:tcW w:type="dxa" w:w="2160"/>
          </w:tcPr>
          <w:p>
            <w:r>
              <w:t>15</w:t>
            </w:r>
          </w:p>
        </w:tc>
      </w:tr>
      <w:tr>
        <w:tc>
          <w:tcPr>
            <w:tcW w:type="dxa" w:w="2160"/>
          </w:tcPr>
          <w:p>
            <w:r>
              <w:t>Underwriting</w:t>
            </w:r>
          </w:p>
        </w:tc>
        <w:tc>
          <w:tcPr>
            <w:tcW w:type="dxa" w:w="2160"/>
          </w:tcPr>
          <w:p>
            <w:r>
              <w:t>12</w:t>
            </w:r>
          </w:p>
        </w:tc>
        <w:tc>
          <w:tcPr>
            <w:tcW w:type="dxa" w:w="2160"/>
          </w:tcPr>
          <w:p>
            <w:r>
              <w:t>20</w:t>
            </w:r>
          </w:p>
        </w:tc>
        <w:tc>
          <w:tcPr>
            <w:tcW w:type="dxa" w:w="2160"/>
          </w:tcPr>
          <w:p>
            <w:r>
              <w:t>28</w:t>
            </w:r>
          </w:p>
        </w:tc>
      </w:tr>
      <w:tr>
        <w:tc>
          <w:tcPr>
            <w:tcW w:type="dxa" w:w="2160"/>
          </w:tcPr>
          <w:p>
            <w:r>
              <w:t>Claims</w:t>
            </w:r>
          </w:p>
        </w:tc>
        <w:tc>
          <w:tcPr>
            <w:tcW w:type="dxa" w:w="2160"/>
          </w:tcPr>
          <w:p>
            <w:r>
              <w:t>15</w:t>
            </w:r>
          </w:p>
        </w:tc>
        <w:tc>
          <w:tcPr>
            <w:tcW w:type="dxa" w:w="2160"/>
          </w:tcPr>
          <w:p>
            <w:r>
              <w:t>25</w:t>
            </w:r>
          </w:p>
        </w:tc>
        <w:tc>
          <w:tcPr>
            <w:tcW w:type="dxa" w:w="2160"/>
          </w:tcPr>
          <w:p>
            <w:r>
              <w:t>35</w:t>
            </w:r>
          </w:p>
        </w:tc>
      </w:tr>
      <w:tr>
        <w:tc>
          <w:tcPr>
            <w:tcW w:type="dxa" w:w="2160"/>
          </w:tcPr>
          <w:p>
            <w:r>
              <w:t>Customer Service</w:t>
            </w:r>
          </w:p>
        </w:tc>
        <w:tc>
          <w:tcPr>
            <w:tcW w:type="dxa" w:w="2160"/>
          </w:tcPr>
          <w:p>
            <w:r>
              <w:t>20</w:t>
            </w:r>
          </w:p>
        </w:tc>
        <w:tc>
          <w:tcPr>
            <w:tcW w:type="dxa" w:w="2160"/>
          </w:tcPr>
          <w:p>
            <w:r>
              <w:t>35</w:t>
            </w:r>
          </w:p>
        </w:tc>
        <w:tc>
          <w:tcPr>
            <w:tcW w:type="dxa" w:w="2160"/>
          </w:tcPr>
          <w:p>
            <w:r>
              <w:t>50</w:t>
            </w:r>
          </w:p>
        </w:tc>
      </w:tr>
      <w:tr>
        <w:tc>
          <w:tcPr>
            <w:tcW w:type="dxa" w:w="2160"/>
          </w:tcPr>
          <w:p>
            <w:r>
              <w:t>Technology</w:t>
            </w:r>
          </w:p>
        </w:tc>
        <w:tc>
          <w:tcPr>
            <w:tcW w:type="dxa" w:w="2160"/>
          </w:tcPr>
          <w:p>
            <w:r>
              <w:t>10</w:t>
            </w:r>
          </w:p>
        </w:tc>
        <w:tc>
          <w:tcPr>
            <w:tcW w:type="dxa" w:w="2160"/>
          </w:tcPr>
          <w:p>
            <w:r>
              <w:t>15</w:t>
            </w:r>
          </w:p>
        </w:tc>
        <w:tc>
          <w:tcPr>
            <w:tcW w:type="dxa" w:w="2160"/>
          </w:tcPr>
          <w:p>
            <w:r>
              <w:t>20</w:t>
            </w:r>
          </w:p>
        </w:tc>
      </w:tr>
      <w:tr>
        <w:tc>
          <w:tcPr>
            <w:tcW w:type="dxa" w:w="2160"/>
          </w:tcPr>
          <w:p>
            <w:r>
              <w:t>Marketing</w:t>
            </w:r>
          </w:p>
        </w:tc>
        <w:tc>
          <w:tcPr>
            <w:tcW w:type="dxa" w:w="2160"/>
          </w:tcPr>
          <w:p>
            <w:r>
              <w:t>8</w:t>
            </w:r>
          </w:p>
        </w:tc>
        <w:tc>
          <w:tcPr>
            <w:tcW w:type="dxa" w:w="2160"/>
          </w:tcPr>
          <w:p>
            <w:r>
              <w:t>12</w:t>
            </w:r>
          </w:p>
        </w:tc>
        <w:tc>
          <w:tcPr>
            <w:tcW w:type="dxa" w:w="2160"/>
          </w:tcPr>
          <w:p>
            <w:r>
              <w:t>15</w:t>
            </w:r>
          </w:p>
        </w:tc>
      </w:tr>
      <w:tr>
        <w:tc>
          <w:tcPr>
            <w:tcW w:type="dxa" w:w="2160"/>
          </w:tcPr>
          <w:p>
            <w:r>
              <w:t>**Total**</w:t>
            </w:r>
          </w:p>
        </w:tc>
        <w:tc>
          <w:tcPr>
            <w:tcW w:type="dxa" w:w="2160"/>
          </w:tcPr>
          <w:p>
            <w:r>
              <w:t>**73**</w:t>
            </w:r>
          </w:p>
        </w:tc>
        <w:tc>
          <w:tcPr>
            <w:tcW w:type="dxa" w:w="2160"/>
          </w:tcPr>
          <w:p>
            <w:r>
              <w:t>**119**</w:t>
            </w:r>
          </w:p>
        </w:tc>
        <w:tc>
          <w:tcPr>
            <w:tcW w:type="dxa" w:w="2160"/>
          </w:tcPr>
          <w:p>
            <w:r>
              <w:t>**163**</w:t>
            </w:r>
          </w:p>
        </w:tc>
      </w:tr>
    </w:tbl>
    <w:p>
      <w:pPr>
        <w:pStyle w:val="Heading3"/>
      </w:pPr>
      <w:r>
        <w:t>10.5.2 Technology Infrastructure</w:t>
      </w:r>
    </w:p>
    <w:p>
      <w:pPr>
        <w:pStyle w:val="ListBullet"/>
      </w:pPr>
      <w:r>
        <w:t>Cloud hosting and infrastructure</w:t>
      </w:r>
    </w:p>
    <w:p>
      <w:pPr>
        <w:pStyle w:val="ListBullet"/>
      </w:pPr>
      <w:r>
        <w:t>Software licenses and tools</w:t>
      </w:r>
    </w:p>
    <w:p>
      <w:pPr>
        <w:pStyle w:val="ListBullet"/>
      </w:pPr>
      <w:r>
        <w:t>Security systems</w:t>
      </w:r>
    </w:p>
    <w:p>
      <w:pPr>
        <w:pStyle w:val="ListBullet"/>
      </w:pPr>
      <w:r>
        <w:t>Data storage and backup</w:t>
      </w:r>
    </w:p>
    <w:p>
      <w:pPr>
        <w:pStyle w:val="ListBullet"/>
      </w:pPr>
      <w:r>
        <w:t>Development and testing environments</w:t>
      </w:r>
    </w:p>
    <w:p>
      <w:pPr>
        <w:pStyle w:val="Heading3"/>
      </w:pPr>
      <w:r>
        <w:t>10.5.3 Capital Requirements</w:t>
      </w:r>
    </w:p>
    <w:p>
      <w:pPr>
        <w:pStyle w:val="ListBullet"/>
      </w:pPr>
      <w:r>
        <w:t>Initial capital: ¥1,000M</w:t>
      </w:r>
    </w:p>
    <w:p>
      <w:pPr>
        <w:pStyle w:val="ListBullet"/>
      </w:pPr>
      <w:r>
        <w:t>Operating capital: ¥500M</w:t>
      </w:r>
    </w:p>
    <w:p>
      <w:pPr>
        <w:pStyle w:val="ListBullet"/>
      </w:pPr>
      <w:r>
        <w:t>Reserve requirements: ¥1,200M</w:t>
      </w:r>
    </w:p>
    <w:p>
      <w:pPr>
        <w:pStyle w:val="ListBullet"/>
      </w:pPr>
      <w:r>
        <w:t>Total Capital Needed: ¥2,700M</w:t>
      </w:r>
    </w:p>
    <w:p>
      <w:r>
        <w:t>---</w:t>
      </w:r>
    </w:p>
    <w:p>
      <w:pPr>
        <w:pStyle w:val="Heading1"/>
      </w:pPr>
      <w:r>
        <w:t>11. Risk Management</w:t>
      </w:r>
    </w:p>
    <w:p>
      <w:pPr>
        <w:pStyle w:val="Heading2"/>
      </w:pPr>
      <w:r>
        <w:t>11.1 Underwriting Guidelines</w:t>
      </w:r>
    </w:p>
    <w:p>
      <w:pPr>
        <w:pStyle w:val="Heading3"/>
      </w:pPr>
      <w:r>
        <w:t>11.1.1 Risk Acceptance Criteria</w:t>
      </w:r>
    </w:p>
    <w:p>
      <w:r>
        <w:t>Acceptable Risks:</w:t>
      </w:r>
    </w:p>
    <w:p>
      <w:pPr>
        <w:pStyle w:val="ListBullet"/>
      </w:pPr>
      <w:r>
        <w:t>Standard driver profiles</w:t>
      </w:r>
    </w:p>
    <w:p>
      <w:pPr>
        <w:pStyle w:val="ListBullet"/>
      </w:pPr>
      <w:r>
        <w:t>Vehicles within age/value limits</w:t>
      </w:r>
    </w:p>
    <w:p>
      <w:pPr>
        <w:pStyle w:val="ListBullet"/>
      </w:pPr>
      <w:r>
        <w:t>Acceptable geographic locations</w:t>
      </w:r>
    </w:p>
    <w:p>
      <w:pPr>
        <w:pStyle w:val="ListBullet"/>
      </w:pPr>
      <w:r>
        <w:t>Reasonable claims history</w:t>
      </w:r>
    </w:p>
    <w:p>
      <w:r>
        <w:t>Declined Risks:</w:t>
      </w:r>
    </w:p>
    <w:p>
      <w:pPr>
        <w:pStyle w:val="ListBullet"/>
      </w:pPr>
      <w:r>
        <w:t>Extreme risk profiles</w:t>
      </w:r>
    </w:p>
    <w:p>
      <w:pPr>
        <w:pStyle w:val="ListBullet"/>
      </w:pPr>
      <w:r>
        <w:t>Vehicles outside acceptable parameters</w:t>
      </w:r>
    </w:p>
    <w:p>
      <w:pPr>
        <w:pStyle w:val="ListBullet"/>
      </w:pPr>
      <w:r>
        <w:t>Unacceptable claims history</w:t>
      </w:r>
    </w:p>
    <w:p>
      <w:pPr>
        <w:pStyle w:val="ListBullet"/>
      </w:pPr>
      <w:r>
        <w:t>Fraud indicators</w:t>
      </w:r>
    </w:p>
    <w:p>
      <w:pPr>
        <w:pStyle w:val="Heading3"/>
      </w:pPr>
      <w:r>
        <w:t>11.1.2 Underwriting Process</w:t>
      </w:r>
    </w:p>
    <w:p>
      <w:r>
        <w:t>1. Application review</w:t>
      </w:r>
    </w:p>
    <w:p>
      <w:r>
        <w:t>2. Risk assessment</w:t>
      </w:r>
    </w:p>
    <w:p>
      <w:r>
        <w:t>3. Pricing determination</w:t>
      </w:r>
    </w:p>
    <w:p>
      <w:r>
        <w:t>4. Policy issuance or decline</w:t>
      </w:r>
    </w:p>
    <w:p>
      <w:r>
        <w:t>5. Ongoing monitoring</w:t>
      </w:r>
    </w:p>
    <w:p>
      <w:pPr>
        <w:pStyle w:val="Heading2"/>
      </w:pPr>
      <w:r>
        <w:t>11.2 Claims Management</w:t>
      </w:r>
    </w:p>
    <w:p>
      <w:pPr>
        <w:pStyle w:val="Heading3"/>
      </w:pPr>
      <w:r>
        <w:t>11.2.1 Claims Handling Process</w:t>
      </w:r>
    </w:p>
    <w:p>
      <w:pPr>
        <w:pStyle w:val="ListBullet"/>
      </w:pPr>
      <w:r>
        <w:t>Filing: Multiple channels (online, phone, app)</w:t>
      </w:r>
    </w:p>
    <w:p>
      <w:pPr>
        <w:pStyle w:val="ListBullet"/>
      </w:pPr>
      <w:r>
        <w:t>Assessment: Automated and manual review</w:t>
      </w:r>
    </w:p>
    <w:p>
      <w:pPr>
        <w:pStyle w:val="ListBullet"/>
      </w:pPr>
      <w:r>
        <w:t>Investigation: For suspicious or large claims</w:t>
      </w:r>
    </w:p>
    <w:p>
      <w:pPr>
        <w:pStyle w:val="ListBullet"/>
      </w:pPr>
      <w:r>
        <w:t>Approval/Denial: Based on coverage and investigation</w:t>
      </w:r>
    </w:p>
    <w:p>
      <w:pPr>
        <w:pStyle w:val="ListBullet"/>
      </w:pPr>
      <w:r>
        <w:t>Payment: Direct to repair shop or customer</w:t>
      </w:r>
    </w:p>
    <w:p>
      <w:pPr>
        <w:pStyle w:val="ListBullet"/>
      </w:pPr>
      <w:r>
        <w:t>Follow-up: Customer satisfaction and fraud monitoring</w:t>
      </w:r>
    </w:p>
    <w:p>
      <w:pPr>
        <w:pStyle w:val="Heading3"/>
      </w:pPr>
      <w:r>
        <w:t>11.2.2 Claims Quality Control</w:t>
      </w:r>
    </w:p>
    <w:p>
      <w:pPr>
        <w:pStyle w:val="ListBullet"/>
      </w:pPr>
      <w:r>
        <w:t>Regular audits of claims handling</w:t>
      </w:r>
    </w:p>
    <w:p>
      <w:pPr>
        <w:pStyle w:val="ListBullet"/>
      </w:pPr>
      <w:r>
        <w:t>Fraud detection systems</w:t>
      </w:r>
    </w:p>
    <w:p>
      <w:pPr>
        <w:pStyle w:val="ListBullet"/>
      </w:pPr>
      <w:r>
        <w:t>Customer satisfaction monitoring</w:t>
      </w:r>
    </w:p>
    <w:p>
      <w:pPr>
        <w:pStyle w:val="ListBullet"/>
      </w:pPr>
      <w:r>
        <w:t>Process improvement initiatives</w:t>
      </w:r>
    </w:p>
    <w:p>
      <w:pPr>
        <w:pStyle w:val="Heading2"/>
      </w:pPr>
      <w:r>
        <w:t>11.3 Fraud Prevention</w:t>
      </w:r>
    </w:p>
    <w:p>
      <w:pPr>
        <w:pStyle w:val="Heading3"/>
      </w:pPr>
      <w:r>
        <w:t>11.3.1 Fraud Detection Measures</w:t>
      </w:r>
    </w:p>
    <w:p>
      <w:pPr>
        <w:pStyle w:val="ListBullet"/>
      </w:pPr>
      <w:r>
        <w:t>Technology: AI-powered fraud detection</w:t>
      </w:r>
    </w:p>
    <w:p>
      <w:pPr>
        <w:pStyle w:val="ListBullet"/>
      </w:pPr>
      <w:r>
        <w:t>Process: Investigation procedures</w:t>
      </w:r>
    </w:p>
    <w:p>
      <w:pPr>
        <w:pStyle w:val="ListBullet"/>
      </w:pPr>
      <w:r>
        <w:t>Training: Staff fraud awareness</w:t>
      </w:r>
    </w:p>
    <w:p>
      <w:pPr>
        <w:pStyle w:val="ListBullet"/>
      </w:pPr>
      <w:r>
        <w:t>Partnerships: Industry fraud databases</w:t>
      </w:r>
    </w:p>
    <w:p>
      <w:pPr>
        <w:pStyle w:val="Heading3"/>
      </w:pPr>
      <w:r>
        <w:t>11.3.2 Common Fraud Types</w:t>
      </w:r>
    </w:p>
    <w:p>
      <w:pPr>
        <w:pStyle w:val="ListBullet"/>
      </w:pPr>
      <w:r>
        <w:t>Exaggerated claims</w:t>
      </w:r>
    </w:p>
    <w:p>
      <w:pPr>
        <w:pStyle w:val="ListBullet"/>
      </w:pPr>
      <w:r>
        <w:t>Staged accidents</w:t>
      </w:r>
    </w:p>
    <w:p>
      <w:pPr>
        <w:pStyle w:val="ListBullet"/>
      </w:pPr>
      <w:r>
        <w:t>False information on applications</w:t>
      </w:r>
    </w:p>
    <w:p>
      <w:pPr>
        <w:pStyle w:val="ListBullet"/>
      </w:pPr>
      <w:r>
        <w:t>Identity theft</w:t>
      </w:r>
    </w:p>
    <w:p>
      <w:pPr>
        <w:pStyle w:val="ListBullet"/>
      </w:pPr>
      <w:r>
        <w:t>Premium evasion</w:t>
      </w:r>
    </w:p>
    <w:p>
      <w:pPr>
        <w:pStyle w:val="Heading2"/>
      </w:pPr>
      <w:r>
        <w:t>11.4 Reinsurance Strategy</w:t>
      </w:r>
    </w:p>
    <w:p>
      <w:pPr>
        <w:pStyle w:val="Heading3"/>
      </w:pPr>
      <w:r>
        <w:t>11.4.1 Reinsurance Needs</w:t>
      </w:r>
    </w:p>
    <w:p>
      <w:pPr>
        <w:pStyle w:val="ListBullet"/>
      </w:pPr>
      <w:r>
        <w:t>Catastrophic Coverage: Natural disasters, large events</w:t>
      </w:r>
    </w:p>
    <w:p>
      <w:pPr>
        <w:pStyle w:val="ListBullet"/>
      </w:pPr>
      <w:r>
        <w:t>Excess of Loss: Large individual claims</w:t>
      </w:r>
    </w:p>
    <w:p>
      <w:pPr>
        <w:pStyle w:val="ListBullet"/>
      </w:pPr>
      <w:r>
        <w:t>Quota Share: Share of all risks</w:t>
      </w:r>
    </w:p>
    <w:p>
      <w:pPr>
        <w:pStyle w:val="ListBullet"/>
      </w:pPr>
      <w:r>
        <w:t>Stop Loss: Aggregate loss protection</w:t>
      </w:r>
    </w:p>
    <w:p>
      <w:pPr>
        <w:pStyle w:val="Heading3"/>
      </w:pPr>
      <w:r>
        <w:t>11.4.2 Reinsurance Partners</w:t>
      </w:r>
    </w:p>
    <w:p>
      <w:pPr>
        <w:pStyle w:val="ListBullet"/>
      </w:pPr>
      <w:r>
        <w:t>Tokio Marine Re: Catastrophic coverage, excess of loss</w:t>
      </w:r>
    </w:p>
    <w:p>
      <w:pPr>
        <w:pStyle w:val="ListBullet"/>
      </w:pPr>
      <w:r>
        <w:t>Swiss Re: Quota share (20%), stop loss protection</w:t>
      </w:r>
    </w:p>
    <w:p>
      <w:pPr>
        <w:pStyle w:val="ListBullet"/>
      </w:pPr>
      <w:r>
        <w:t>Munich Re: Large claim excess coverage</w:t>
      </w:r>
    </w:p>
    <w:p>
      <w:pPr>
        <w:pStyle w:val="Heading2"/>
      </w:pPr>
      <w:r>
        <w:t>11.5 Capital Requirements</w:t>
      </w:r>
    </w:p>
    <w:p>
      <w:pPr>
        <w:pStyle w:val="Heading3"/>
      </w:pPr>
      <w:r>
        <w:t>11.5.1 Regulatory Capital</w:t>
      </w:r>
    </w:p>
    <w:p>
      <w:pPr>
        <w:pStyle w:val="ListBullet"/>
      </w:pPr>
      <w:r>
        <w:t>Minimum Capital: ¥1,000M (FSA requirement)</w:t>
      </w:r>
    </w:p>
    <w:p>
      <w:pPr>
        <w:pStyle w:val="ListBullet"/>
      </w:pPr>
      <w:r>
        <w:t>Solvency Margin: Maintain 20% above minimum</w:t>
      </w:r>
    </w:p>
    <w:p>
      <w:pPr>
        <w:pStyle w:val="ListBullet"/>
      </w:pPr>
      <w:r>
        <w:t>Risk-Based Capital: Calculated based on risk profile</w:t>
      </w:r>
    </w:p>
    <w:p>
      <w:pPr>
        <w:pStyle w:val="Heading3"/>
      </w:pPr>
      <w:r>
        <w:t>11.5.2 Capital Management</w:t>
      </w:r>
    </w:p>
    <w:p>
      <w:pPr>
        <w:pStyle w:val="ListBullet"/>
      </w:pPr>
      <w:r>
        <w:t>Regular capital adequacy assessments</w:t>
      </w:r>
    </w:p>
    <w:p>
      <w:pPr>
        <w:pStyle w:val="ListBullet"/>
      </w:pPr>
      <w:r>
        <w:t>Capital planning and forecasting</w:t>
      </w:r>
    </w:p>
    <w:p>
      <w:pPr>
        <w:pStyle w:val="ListBullet"/>
      </w:pPr>
      <w:r>
        <w:t>Contingency planning</w:t>
      </w:r>
    </w:p>
    <w:p>
      <w:pPr>
        <w:pStyle w:val="ListBullet"/>
      </w:pPr>
      <w:r>
        <w:t>Access to additional capital if needed</w:t>
      </w:r>
    </w:p>
    <w:p>
      <w:r>
        <w:t>---</w:t>
      </w:r>
    </w:p>
    <w:p>
      <w:pPr>
        <w:pStyle w:val="Heading1"/>
      </w:pPr>
      <w:r>
        <w:t>12. Appendices</w:t>
      </w:r>
    </w:p>
    <w:p>
      <w:pPr>
        <w:pStyle w:val="Heading2"/>
      </w:pPr>
      <w:r>
        <w:t>12.1 Data Sources and References</w:t>
      </w:r>
    </w:p>
    <w:p>
      <w:pPr>
        <w:pStyle w:val="Heading3"/>
      </w:pPr>
      <w:r>
        <w:t>12.1.1 Government Sources</w:t>
      </w:r>
    </w:p>
    <w:p>
      <w:pPr>
        <w:pStyle w:val="ListBullet"/>
      </w:pPr>
      <w:r>
        <w:t>e-Stat Portal: https://www.e-stat.go.jp/en</w:t>
      </w:r>
    </w:p>
    <w:p>
      <w:pPr>
        <w:pStyle w:val="ListBullet"/>
      </w:pPr>
      <w:r>
        <w:t>Population Census: https://www.e-stat.go.jp/en/stat-search/files?page=1&amp;toukei=00200521</w:t>
      </w:r>
    </w:p>
    <w:p>
      <w:pPr>
        <w:pStyle w:val="ListBullet"/>
      </w:pPr>
      <w:r>
        <w:t>Income Survey: https://www.e-stat.go.jp/en/stat-search/files?page=1&amp;toukei=00200564</w:t>
      </w:r>
    </w:p>
    <w:p>
      <w:pPr>
        <w:pStyle w:val="ListBullet"/>
      </w:pPr>
      <w:r>
        <w:t>Labor Statistics: https://www.e-stat.go.jp/en/stat-search/files?page=1&amp;toukei=00450091</w:t>
      </w:r>
    </w:p>
    <w:p>
      <w:pPr>
        <w:pStyle w:val="ListBullet"/>
      </w:pPr>
      <w:r>
        <w:t>National Police Agency: https://www.npa.go.jp/</w:t>
      </w:r>
    </w:p>
    <w:p>
      <w:pPr>
        <w:pStyle w:val="ListBullet"/>
      </w:pPr>
      <w:r>
        <w:t>Traffic Accident Statistics</w:t>
      </w:r>
    </w:p>
    <w:p>
      <w:pPr>
        <w:pStyle w:val="ListBullet"/>
      </w:pPr>
      <w:r>
        <w:t>Ministry of Land, Infrastructure, Transport and Tourism (MLIT): https://www.mlit.go.jp/</w:t>
      </w:r>
    </w:p>
    <w:p>
      <w:pPr>
        <w:pStyle w:val="ListBullet"/>
      </w:pPr>
      <w:r>
        <w:t>Vehicle Registration Statistics</w:t>
      </w:r>
    </w:p>
    <w:p>
      <w:pPr>
        <w:pStyle w:val="ListBullet"/>
      </w:pPr>
      <w:r>
        <w:t>Road Infrastructure Data</w:t>
      </w:r>
    </w:p>
    <w:p>
      <w:pPr>
        <w:pStyle w:val="ListBullet"/>
      </w:pPr>
      <w:r>
        <w:t>Japan Meteorological Agency: https://www.jma.go.jp/jma/index.html</w:t>
      </w:r>
    </w:p>
    <w:p>
      <w:pPr>
        <w:pStyle w:val="ListBullet"/>
      </w:pPr>
      <w:r>
        <w:t>Weather and Climate Data</w:t>
      </w:r>
    </w:p>
    <w:p>
      <w:pPr>
        <w:pStyle w:val="ListBullet"/>
      </w:pPr>
      <w:r>
        <w:t>Financial Services Agency (FSA): https://www.fsa.go.jp/en/</w:t>
      </w:r>
    </w:p>
    <w:p>
      <w:pPr>
        <w:pStyle w:val="ListBullet"/>
      </w:pPr>
      <w:r>
        <w:t>Insurance Regulations</w:t>
      </w:r>
    </w:p>
    <w:p>
      <w:pPr>
        <w:pStyle w:val="ListBullet"/>
      </w:pPr>
      <w:r>
        <w:t>Industry Statistics</w:t>
      </w:r>
    </w:p>
    <w:p>
      <w:pPr>
        <w:pStyle w:val="Heading3"/>
      </w:pPr>
      <w:r>
        <w:t>12.1.2 Industry Sources</w:t>
      </w:r>
    </w:p>
    <w:p>
      <w:pPr>
        <w:pStyle w:val="ListBullet"/>
      </w:pPr>
      <w:r>
        <w:t>General Insurance Association of Japan: https://www.sonpo.or.jp/</w:t>
      </w:r>
    </w:p>
    <w:p>
      <w:pPr>
        <w:pStyle w:val="ListBullet"/>
      </w:pPr>
      <w:r>
        <w:t>Industry Reports</w:t>
      </w:r>
    </w:p>
    <w:p>
      <w:pPr>
        <w:pStyle w:val="ListBullet"/>
      </w:pPr>
      <w:r>
        <w:t>Market Statistics</w:t>
      </w:r>
    </w:p>
    <w:p>
      <w:pPr>
        <w:pStyle w:val="ListBullet"/>
      </w:pPr>
      <w:r>
        <w:t>Japan Automobile Manufacturers Association (JAMA): https://www.jama.or.jp/</w:t>
      </w:r>
    </w:p>
    <w:p>
      <w:pPr>
        <w:pStyle w:val="ListBullet"/>
      </w:pPr>
      <w:r>
        <w:t>Vehicle Sales Data</w:t>
      </w:r>
    </w:p>
    <w:p>
      <w:pPr>
        <w:pStyle w:val="ListBullet"/>
      </w:pPr>
      <w:r>
        <w:t>Market Trends</w:t>
      </w:r>
    </w:p>
    <w:p>
      <w:pPr>
        <w:pStyle w:val="Heading2"/>
      </w:pPr>
      <w:r>
        <w:t>12.2 Statistical Tables</w:t>
      </w:r>
    </w:p>
    <w:p>
      <w:pPr>
        <w:pStyle w:val="Heading3"/>
      </w:pPr>
      <w:r>
        <w:t>12.2.1 Tokyo Demographics Summary</w:t>
      </w:r>
    </w:p>
    <w:p>
      <w:pPr>
        <w:pStyle w:val="Heading3"/>
      </w:pPr>
      <w:r>
        <w:t>12.2.2 Traffic Accident Statistics</w:t>
      </w:r>
    </w:p>
    <w:p>
      <w:pPr>
        <w:pStyle w:val="Heading3"/>
      </w:pPr>
      <w:r>
        <w:t>12.2.3 Vehicle Registration Data</w:t>
      </w:r>
    </w:p>
    <w:p>
      <w:pPr>
        <w:pStyle w:val="Heading2"/>
      </w:pPr>
      <w:r>
        <w:t>12.3 Regulatory Documents</w:t>
      </w:r>
    </w:p>
    <w:p>
      <w:pPr>
        <w:pStyle w:val="Heading3"/>
      </w:pPr>
      <w:r>
        <w:t>12.3.1 Key Regulations</w:t>
      </w:r>
    </w:p>
    <w:p>
      <w:pPr>
        <w:pStyle w:val="ListBullet"/>
      </w:pPr>
      <w:r>
        <w:t>Insurance Business Act (保険業法)</w:t>
      </w:r>
    </w:p>
    <w:p>
      <w:pPr>
        <w:pStyle w:val="ListBullet"/>
      </w:pPr>
      <w:r>
        <w:t>Compulsory Automobile Liability Insurance Law (自動車損害賠償保障法)</w:t>
      </w:r>
    </w:p>
    <w:p>
      <w:pPr>
        <w:pStyle w:val="ListBullet"/>
      </w:pPr>
      <w:r>
        <w:t>Personal Information Protection Act (個人情報保護法)</w:t>
      </w:r>
    </w:p>
    <w:p>
      <w:pPr>
        <w:pStyle w:val="ListBullet"/>
      </w:pPr>
      <w:r>
        <w:t>Financial Services Agency Guidelines</w:t>
      </w:r>
    </w:p>
    <w:p>
      <w:pPr>
        <w:pStyle w:val="Heading3"/>
      </w:pPr>
      <w:r>
        <w:t>12.3.2 Compliance Checklists</w:t>
      </w:r>
    </w:p>
    <w:p>
      <w:pPr>
        <w:pStyle w:val="ListBullet"/>
      </w:pPr>
      <w:r>
        <w:t>[ ] FSA licensing requirements</w:t>
      </w:r>
    </w:p>
    <w:p>
      <w:pPr>
        <w:pStyle w:val="ListBullet"/>
      </w:pPr>
      <w:r>
        <w:t>[ ] Data privacy compliance</w:t>
      </w:r>
    </w:p>
    <w:p>
      <w:pPr>
        <w:pStyle w:val="ListBullet"/>
      </w:pPr>
      <w:r>
        <w:t>[ ] Disclosure requirements</w:t>
      </w:r>
    </w:p>
    <w:p>
      <w:pPr>
        <w:pStyle w:val="ListBullet"/>
      </w:pPr>
      <w:r>
        <w:t>[ ] Reporting obligations</w:t>
      </w:r>
    </w:p>
    <w:p>
      <w:pPr>
        <w:pStyle w:val="ListBullet"/>
      </w:pPr>
      <w:r>
        <w:t>[ ] Consumer protection measures</w:t>
      </w:r>
    </w:p>
    <w:p>
      <w:pPr>
        <w:pStyle w:val="Heading2"/>
      </w:pPr>
      <w:r>
        <w:t>12.4 Competitive Analysis Details</w:t>
      </w:r>
    </w:p>
    <w:p>
      <w:pPr>
        <w:pStyle w:val="Heading3"/>
      </w:pPr>
      <w:r>
        <w:t>12.4.1 Competitor Profiles</w:t>
      </w:r>
    </w:p>
    <w:p>
      <w:pPr>
        <w:pStyle w:val="Heading3"/>
      </w:pPr>
      <w:r>
        <w:t>12.4.2 Market Share Data</w:t>
      </w:r>
    </w:p>
    <w:p>
      <w:pPr>
        <w:pStyle w:val="Heading2"/>
      </w:pPr>
      <w:r>
        <w:t>12.5 Technical Specifications</w:t>
      </w:r>
    </w:p>
    <w:p>
      <w:pPr>
        <w:pStyle w:val="Heading3"/>
      </w:pPr>
      <w:r>
        <w:t>12.5.1 System Architecture</w:t>
      </w:r>
    </w:p>
    <w:p>
      <w:pPr>
        <w:pStyle w:val="Heading3"/>
      </w:pPr>
      <w:r>
        <w:t>12.5.2 Security Specifications</w:t>
      </w:r>
    </w:p>
    <w:p>
      <w:pPr>
        <w:pStyle w:val="Heading3"/>
      </w:pPr>
      <w:r>
        <w:t>12.5.3 Integration Specifications</w:t>
      </w:r>
    </w:p>
    <w:p>
      <w:r>
        <w:t>---</w:t>
      </w:r>
    </w:p>
    <w:p>
      <w:pPr>
        <w:pStyle w:val="Heading1"/>
      </w:pPr>
      <w:r>
        <w:t>Document Control</w:t>
      </w:r>
    </w:p>
    <w:p>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November 29, 2025</w:t>
            </w:r>
          </w:p>
        </w:tc>
        <w:tc>
          <w:tcPr>
            <w:tcW w:type="dxa" w:w="2160"/>
          </w:tcPr>
          <w:p>
            <w:r>
              <w:t>Product Development Team</w:t>
            </w:r>
          </w:p>
        </w:tc>
        <w:tc>
          <w:tcPr>
            <w:tcW w:type="dxa" w:w="2160"/>
          </w:tcPr>
          <w:p>
            <w:r>
              <w:t>Initial version</w:t>
            </w:r>
          </w:p>
        </w:tc>
      </w:tr>
    </w:tbl>
    <w:p>
      <w:r>
        <w:t>Review Schedule: Quarterly or as needed</w:t>
      </w:r>
    </w:p>
    <w:p>
      <w:r>
        <w:t>Approval: Chief Product Officer - November 29, 2025</w:t>
      </w:r>
    </w:p>
    <w:p>
      <w:r>
        <w:t>---</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