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VEGA CHARGE • WEBSITE STRATEGY &amp; COPY AUDIT</w:t>
      </w:r>
    </w:p>
    <w:p>
      <w:pPr>
        <w:spacing w:before="700"/>
        <w:jc w:val="center"/>
      </w:pPr>
      <w:r>
        <w:rPr>
          <w:b/>
          <w:color w:val="101A2B"/>
          <w:sz w:val="64"/>
        </w:rPr>
        <w:t>Vega Charge</w:t>
      </w:r>
    </w:p>
    <w:p>
      <w:pPr>
        <w:jc w:val="center"/>
      </w:pPr>
      <w:r>
        <w:rPr>
          <w:b/>
          <w:color w:val="1E5EFF"/>
          <w:sz w:val="44"/>
        </w:rPr>
        <w:t>Website Audit, Corrections &amp; Replacement Copy</w:t>
      </w:r>
    </w:p>
    <w:p>
      <w:pPr>
        <w:spacing w:before="240"/>
        <w:jc w:val="center"/>
      </w:pPr>
      <w:r>
        <w:rPr>
          <w:color w:val="4B5563"/>
          <w:sz w:val="24"/>
        </w:rPr>
        <w:t>A page-by-page implementation document for vegacharge.in</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01A2B"/>
          </w:tcPr>
          <w:p>
            <w:r/>
            <w:r>
              <w:rPr>
                <w:rFonts w:ascii="Aptos" w:hAnsi="Aptos"/>
                <w:b/>
                <w:color w:val="FFFFFF"/>
                <w:sz w:val="17"/>
              </w:rPr>
              <w:t>Audit date</w:t>
            </w:r>
          </w:p>
        </w:tc>
        <w:tc>
          <w:tcPr>
            <w:tcW w:type="dxa" w:w="5040"/>
            <w:vAlign w:val="center"/>
          </w:tcPr>
          <w:p>
            <w:r/>
            <w:r>
              <w:rPr>
                <w:rFonts w:ascii="Aptos" w:hAnsi="Aptos"/>
                <w:b w:val="0"/>
                <w:color w:val="101A2B"/>
                <w:sz w:val="17"/>
              </w:rPr>
              <w:t>3 September 2026</w:t>
            </w:r>
          </w:p>
        </w:tc>
      </w:tr>
      <w:tr>
        <w:trPr>
          <w:cantSplit/>
        </w:trPr>
        <w:tc>
          <w:tcPr>
            <w:tcW w:type="dxa" w:w="5040"/>
            <w:vAlign w:val="center"/>
            <w:shd w:fill="101A2B"/>
          </w:tcPr>
          <w:p>
            <w:r/>
            <w:r>
              <w:rPr>
                <w:rFonts w:ascii="Aptos" w:hAnsi="Aptos"/>
                <w:b/>
                <w:color w:val="FFFFFF"/>
                <w:sz w:val="17"/>
              </w:rPr>
              <w:t>Primary objective</w:t>
            </w:r>
          </w:p>
        </w:tc>
        <w:tc>
          <w:tcPr>
            <w:tcW w:type="dxa" w:w="5040"/>
            <w:vAlign w:val="center"/>
          </w:tcPr>
          <w:p>
            <w:r/>
            <w:r>
              <w:rPr>
                <w:rFonts w:ascii="Aptos" w:hAnsi="Aptos"/>
                <w:b w:val="0"/>
                <w:color w:val="101A2B"/>
                <w:sz w:val="17"/>
              </w:rPr>
              <w:t>Position Vega Charge as a credible highway EV infrastructure network</w:t>
            </w:r>
          </w:p>
        </w:tc>
      </w:tr>
      <w:tr>
        <w:trPr>
          <w:cantSplit/>
        </w:trPr>
        <w:tc>
          <w:tcPr>
            <w:tcW w:type="dxa" w:w="5040"/>
            <w:vAlign w:val="center"/>
            <w:shd w:fill="101A2B"/>
          </w:tcPr>
          <w:p>
            <w:r/>
            <w:r>
              <w:rPr>
                <w:rFonts w:ascii="Aptos" w:hAnsi="Aptos"/>
                <w:b/>
                <w:color w:val="FFFFFF"/>
                <w:sz w:val="17"/>
              </w:rPr>
              <w:t>Primary audiences</w:t>
            </w:r>
          </w:p>
        </w:tc>
        <w:tc>
          <w:tcPr>
            <w:tcW w:type="dxa" w:w="5040"/>
            <w:vAlign w:val="center"/>
          </w:tcPr>
          <w:p>
            <w:r/>
            <w:r>
              <w:rPr>
                <w:rFonts w:ascii="Aptos" w:hAnsi="Aptos"/>
                <w:b w:val="0"/>
                <w:color w:val="101A2B"/>
                <w:sz w:val="17"/>
              </w:rPr>
              <w:t>EV drivers • Fleets • Land/site partners • Commercial hosts • Strategic/investment partners</w:t>
            </w:r>
          </w:p>
        </w:tc>
      </w:tr>
      <w:tr>
        <w:trPr>
          <w:cantSplit/>
        </w:trPr>
        <w:tc>
          <w:tcPr>
            <w:tcW w:type="dxa" w:w="5040"/>
            <w:vAlign w:val="center"/>
            <w:shd w:fill="101A2B"/>
          </w:tcPr>
          <w:p>
            <w:r/>
            <w:r>
              <w:rPr>
                <w:rFonts w:ascii="Aptos" w:hAnsi="Aptos"/>
                <w:b/>
                <w:color w:val="FFFFFF"/>
                <w:sz w:val="17"/>
              </w:rPr>
              <w:t>Recommended brand balance</w:t>
            </w:r>
          </w:p>
        </w:tc>
        <w:tc>
          <w:tcPr>
            <w:tcW w:type="dxa" w:w="5040"/>
            <w:vAlign w:val="center"/>
          </w:tcPr>
          <w:p>
            <w:r/>
            <w:r>
              <w:rPr>
                <w:rFonts w:ascii="Aptos" w:hAnsi="Aptos"/>
                <w:b w:val="0"/>
                <w:color w:val="101A2B"/>
                <w:sz w:val="17"/>
              </w:rPr>
              <w:t>70% infrastructure/network company • 30% consumer charging brand</w:t>
            </w:r>
          </w:p>
        </w:tc>
      </w:tr>
    </w:tbl>
    <w:p/>
    <w:p>
      <w:pPr>
        <w:jc w:val="center"/>
      </w:pPr>
      <w:r>
        <w:rPr>
          <w:b/>
          <w:color w:val="1E5EFF"/>
          <w:sz w:val="18"/>
        </w:rPr>
        <w:t>Core positioning</w:t>
      </w:r>
    </w:p>
    <w:p>
      <w:pPr>
        <w:jc w:val="center"/>
      </w:pPr>
      <w:r>
        <w:rPr>
          <w:b/>
          <w:color w:val="101A2B"/>
          <w:sz w:val="30"/>
        </w:rPr>
        <w:t>“Building high-power EV charging infrastructure along India’s highway corridors.”</w:t>
      </w:r>
    </w:p>
    <w:p>
      <w:r>
        <w:br w:type="page"/>
      </w:r>
    </w:p>
    <w:p>
      <w:pPr>
        <w:pStyle w:val="Heading1"/>
      </w:pPr>
      <w:r>
        <w:t>1. Executive Summary</w:t>
      </w:r>
    </w:p>
    <w:p>
      <w:r>
        <w:t>The current website has a strong visual and strategic foundation, but it is trying to communicate a mature nationwide charging network before the operating proof is fully visible. The recommended revision should make Vega Charge feel credible, infrastructure-led, transparent about station status, and easy to engage with for each audience.</w:t>
      </w:r>
    </w:p>
    <w:p>
      <w:pPr>
        <w:pStyle w:val="Heading2"/>
      </w:pPr>
      <w:r>
        <w:t>The five most important changes</w:t>
      </w:r>
    </w:p>
    <w:p>
      <w:pPr>
        <w:pStyle w:val="ListBullet"/>
        <w:spacing w:after="40"/>
      </w:pPr>
      <w:r>
        <w:t>Fix all broken or placeholder metrics immediately. The homepage currently exposes zero-value counters, while other pages contain dashboard-style figures that may be interpreted as live operating data.</w:t>
      </w:r>
    </w:p>
    <w:p>
      <w:pPr>
        <w:pStyle w:val="ListBullet"/>
        <w:spacing w:after="40"/>
      </w:pPr>
      <w:r>
        <w:t>Standardize charger specifications and station status. The site currently uses 120 kW, 180 kW, 180–240 kW and 120–240 kW in different places. Every station must show one verified configuration.</w:t>
      </w:r>
    </w:p>
    <w:p>
      <w:pPr>
        <w:pStyle w:val="ListBullet"/>
        <w:spacing w:after="40"/>
      </w:pPr>
      <w:r>
        <w:t>Remove or qualify absolute/unsubstantiated claims such as “India’s most reliable,” “#1 reason,” “Every EV. Every time.” and “strong, sustainable returns from day one.”</w:t>
      </w:r>
    </w:p>
    <w:p>
      <w:pPr>
        <w:pStyle w:val="ListBullet"/>
        <w:spacing w:after="40"/>
      </w:pPr>
      <w:r>
        <w:t>Make the network map and corridor strategy the centerpiece of the brand. Vega’s advantage is not a single charger; it is corridor planning, sites, power, operations, amenities and network density.</w:t>
      </w:r>
    </w:p>
    <w:p>
      <w:pPr>
        <w:pStyle w:val="ListBullet"/>
        <w:spacing w:after="40"/>
      </w:pPr>
      <w:r>
        <w:t>Create separate conversion journeys for drivers, fleets, landowners/site partners, commercial hosts and strategic/investment enquiries.</w:t>
      </w:r>
    </w:p>
    <w:p>
      <w:pPr>
        <w:pStyle w:val="Heading2"/>
      </w:pPr>
      <w:r>
        <w:t>Recommended homepage story</w:t>
      </w:r>
    </w:p>
    <w:p>
      <w:pPr>
        <w:pStyle w:val="ListNumber"/>
        <w:spacing w:after="40"/>
      </w:pPr>
      <w:r>
        <w:t>Hero: Building India’s Highway EV Charging Network</w:t>
      </w:r>
    </w:p>
    <w:p>
      <w:pPr>
        <w:pStyle w:val="ListNumber"/>
        <w:spacing w:after="40"/>
      </w:pPr>
      <w:r>
        <w:t>Network map: where Vega is live / under construction / coming soon / planned</w:t>
      </w:r>
    </w:p>
    <w:p>
      <w:pPr>
        <w:pStyle w:val="ListNumber"/>
        <w:spacing w:after="40"/>
      </w:pPr>
      <w:r>
        <w:t>The highway charging gap</w:t>
      </w:r>
    </w:p>
    <w:p>
      <w:pPr>
        <w:pStyle w:val="ListNumber"/>
        <w:spacing w:after="40"/>
      </w:pPr>
      <w:r>
        <w:t>Why Vega Charge: infrastructure capabilities</w:t>
      </w:r>
    </w:p>
    <w:p>
      <w:pPr>
        <w:pStyle w:val="ListNumber"/>
        <w:spacing w:after="40"/>
      </w:pPr>
      <w:r>
        <w:t>Station portfolio</w:t>
      </w:r>
    </w:p>
    <w:p>
      <w:pPr>
        <w:pStyle w:val="ListNumber"/>
        <w:spacing w:after="40"/>
      </w:pPr>
      <w:r>
        <w:t>The Vega Hub experience</w:t>
      </w:r>
    </w:p>
    <w:p>
      <w:pPr>
        <w:pStyle w:val="ListNumber"/>
        <w:spacing w:after="40"/>
      </w:pPr>
      <w:r>
        <w:t>Passenger + fleet + commercial vehicle use cases</w:t>
      </w:r>
    </w:p>
    <w:p>
      <w:pPr>
        <w:pStyle w:val="ListNumber"/>
        <w:spacing w:after="40"/>
      </w:pPr>
      <w:r>
        <w:t>Expansion vision</w:t>
      </w:r>
    </w:p>
    <w:p>
      <w:pPr>
        <w:pStyle w:val="ListNumber"/>
        <w:spacing w:after="40"/>
      </w:pPr>
      <w:r>
        <w:t>Site and land partnerships</w:t>
      </w:r>
    </w:p>
    <w:p>
      <w:pPr>
        <w:pStyle w:val="ListNumber"/>
        <w:spacing w:after="40"/>
      </w:pPr>
      <w:r>
        <w:t>Fleet partnerships</w:t>
      </w:r>
    </w:p>
    <w:p>
      <w:pPr>
        <w:pStyle w:val="ListNumber"/>
        <w:spacing w:after="40"/>
      </w:pPr>
      <w:r>
        <w:t>Technology, reliability and safety</w:t>
      </w:r>
    </w:p>
    <w:p>
      <w:pPr>
        <w:pStyle w:val="ListNumber"/>
        <w:spacing w:after="40"/>
      </w:pPr>
      <w:r>
        <w:t>About Vega</w:t>
      </w:r>
    </w:p>
    <w:p>
      <w:pPr>
        <w:pStyle w:val="ListNumber"/>
        <w:spacing w:after="40"/>
      </w:pPr>
      <w:r>
        <w:t>Final CTA + corporate footer</w:t>
      </w:r>
    </w:p>
    <w:p>
      <w:pPr>
        <w:pStyle w:val="Heading2"/>
      </w:pPr>
      <w:r>
        <w:t>P0 / P1 implementation list</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cantSplit/>
        </w:trPr>
        <w:tc>
          <w:tcPr>
            <w:tcW w:type="dxa" w:w="2520"/>
            <w:vAlign w:val="center"/>
            <w:shd w:fill="101A2B"/>
          </w:tcPr>
          <w:p>
            <w:r/>
            <w:r>
              <w:rPr>
                <w:rFonts w:ascii="Aptos" w:hAnsi="Aptos"/>
                <w:b/>
                <w:color w:val="FFFFFF"/>
                <w:sz w:val="16"/>
              </w:rPr>
              <w:t>Priority</w:t>
            </w:r>
          </w:p>
        </w:tc>
        <w:tc>
          <w:tcPr>
            <w:tcW w:type="dxa" w:w="2520"/>
            <w:vAlign w:val="center"/>
            <w:shd w:fill="101A2B"/>
          </w:tcPr>
          <w:p>
            <w:r/>
            <w:r>
              <w:rPr>
                <w:rFonts w:ascii="Aptos" w:hAnsi="Aptos"/>
                <w:b/>
                <w:color w:val="FFFFFF"/>
                <w:sz w:val="16"/>
              </w:rPr>
              <w:t>Change</w:t>
            </w:r>
          </w:p>
        </w:tc>
        <w:tc>
          <w:tcPr>
            <w:tcW w:type="dxa" w:w="2520"/>
            <w:vAlign w:val="center"/>
            <w:shd w:fill="101A2B"/>
          </w:tcPr>
          <w:p>
            <w:r/>
            <w:r>
              <w:rPr>
                <w:rFonts w:ascii="Aptos" w:hAnsi="Aptos"/>
                <w:b/>
                <w:color w:val="FFFFFF"/>
                <w:sz w:val="16"/>
              </w:rPr>
              <w:t>Why it matters</w:t>
            </w:r>
          </w:p>
        </w:tc>
        <w:tc>
          <w:tcPr>
            <w:tcW w:type="dxa" w:w="2520"/>
            <w:vAlign w:val="center"/>
            <w:shd w:fill="101A2B"/>
          </w:tcPr>
          <w:p>
            <w:r/>
            <w:r>
              <w:rPr>
                <w:rFonts w:ascii="Aptos" w:hAnsi="Aptos"/>
                <w:b/>
                <w:color w:val="FFFFFF"/>
                <w:sz w:val="16"/>
              </w:rPr>
              <w:t>Owner</w:t>
            </w:r>
          </w:p>
        </w:tc>
      </w:tr>
      <w:tr>
        <w:trPr>
          <w:trHeight w:hRule="atLeast"/>
          <w:cantSplit/>
        </w:trPr>
        <w:tc>
          <w:tcPr>
            <w:tcW w:type="dxa" w:w="2520"/>
            <w:vAlign w:val="center"/>
          </w:tcPr>
          <w:p>
            <w:r/>
            <w:r>
              <w:rPr>
                <w:rFonts w:ascii="Aptos" w:hAnsi="Aptos"/>
                <w:b/>
                <w:color w:val="B42318"/>
                <w:sz w:val="16"/>
              </w:rPr>
              <w:t>P0</w:t>
            </w:r>
          </w:p>
        </w:tc>
        <w:tc>
          <w:tcPr>
            <w:tcW w:type="dxa" w:w="2520"/>
            <w:vAlign w:val="center"/>
          </w:tcPr>
          <w:p>
            <w:r/>
            <w:r>
              <w:rPr>
                <w:rFonts w:ascii="Aptos" w:hAnsi="Aptos"/>
                <w:b w:val="0"/>
                <w:color w:val="101A2B"/>
                <w:sz w:val="16"/>
              </w:rPr>
              <w:t>Repair homepage zero counters / broken animation</w:t>
            </w:r>
          </w:p>
        </w:tc>
        <w:tc>
          <w:tcPr>
            <w:tcW w:type="dxa" w:w="2520"/>
            <w:vAlign w:val="center"/>
          </w:tcPr>
          <w:p>
            <w:r/>
            <w:r>
              <w:rPr>
                <w:rFonts w:ascii="Aptos" w:hAnsi="Aptos"/>
                <w:b w:val="0"/>
                <w:color w:val="101A2B"/>
                <w:sz w:val="16"/>
              </w:rPr>
              <w:t>Visible credibility defect</w:t>
            </w:r>
          </w:p>
        </w:tc>
        <w:tc>
          <w:tcPr>
            <w:tcW w:type="dxa" w:w="2520"/>
            <w:vAlign w:val="center"/>
          </w:tcPr>
          <w:p>
            <w:r/>
            <w:r>
              <w:rPr>
                <w:rFonts w:ascii="Aptos" w:hAnsi="Aptos"/>
                <w:b w:val="0"/>
                <w:color w:val="101A2B"/>
                <w:sz w:val="16"/>
              </w:rPr>
              <w:t>Web developer</w:t>
            </w:r>
          </w:p>
        </w:tc>
      </w:tr>
      <w:tr>
        <w:trPr>
          <w:trHeight w:hRule="atLeast"/>
          <w:cantSplit/>
        </w:trPr>
        <w:tc>
          <w:tcPr>
            <w:tcW w:type="dxa" w:w="2520"/>
            <w:vAlign w:val="center"/>
          </w:tcPr>
          <w:p>
            <w:r/>
            <w:r>
              <w:rPr>
                <w:rFonts w:ascii="Aptos" w:hAnsi="Aptos"/>
                <w:b/>
                <w:color w:val="B42318"/>
                <w:sz w:val="16"/>
              </w:rPr>
              <w:t>P0</w:t>
            </w:r>
          </w:p>
        </w:tc>
        <w:tc>
          <w:tcPr>
            <w:tcW w:type="dxa" w:w="2520"/>
            <w:vAlign w:val="center"/>
          </w:tcPr>
          <w:p>
            <w:r/>
            <w:r>
              <w:rPr>
                <w:rFonts w:ascii="Aptos" w:hAnsi="Aptos"/>
                <w:b w:val="0"/>
                <w:color w:val="101A2B"/>
                <w:sz w:val="16"/>
              </w:rPr>
              <w:t>Remove fake/demo operational dashboard values unless they are real</w:t>
            </w:r>
          </w:p>
        </w:tc>
        <w:tc>
          <w:tcPr>
            <w:tcW w:type="dxa" w:w="2520"/>
            <w:vAlign w:val="center"/>
          </w:tcPr>
          <w:p>
            <w:r/>
            <w:r>
              <w:rPr>
                <w:rFonts w:ascii="Aptos" w:hAnsi="Aptos"/>
                <w:b w:val="0"/>
                <w:color w:val="101A2B"/>
                <w:sz w:val="16"/>
              </w:rPr>
              <w:t>Avoid misleading visitors</w:t>
            </w:r>
          </w:p>
        </w:tc>
        <w:tc>
          <w:tcPr>
            <w:tcW w:type="dxa" w:w="2520"/>
            <w:vAlign w:val="center"/>
          </w:tcPr>
          <w:p>
            <w:r/>
            <w:r>
              <w:rPr>
                <w:rFonts w:ascii="Aptos" w:hAnsi="Aptos"/>
                <w:b w:val="0"/>
                <w:color w:val="101A2B"/>
                <w:sz w:val="16"/>
              </w:rPr>
              <w:t>Product + web</w:t>
            </w:r>
          </w:p>
        </w:tc>
      </w:tr>
      <w:tr>
        <w:trPr>
          <w:trHeight w:hRule="atLeast"/>
          <w:cantSplit/>
        </w:trPr>
        <w:tc>
          <w:tcPr>
            <w:tcW w:type="dxa" w:w="2520"/>
            <w:vAlign w:val="center"/>
          </w:tcPr>
          <w:p>
            <w:r/>
            <w:r>
              <w:rPr>
                <w:rFonts w:ascii="Aptos" w:hAnsi="Aptos"/>
                <w:b/>
                <w:color w:val="B42318"/>
                <w:sz w:val="16"/>
              </w:rPr>
              <w:t>P0</w:t>
            </w:r>
          </w:p>
        </w:tc>
        <w:tc>
          <w:tcPr>
            <w:tcW w:type="dxa" w:w="2520"/>
            <w:vAlign w:val="center"/>
          </w:tcPr>
          <w:p>
            <w:r/>
            <w:r>
              <w:rPr>
                <w:rFonts w:ascii="Aptos" w:hAnsi="Aptos"/>
                <w:b w:val="0"/>
                <w:color w:val="101A2B"/>
                <w:sz w:val="16"/>
              </w:rPr>
              <w:t>Reconcile charger power/configuration across all pages</w:t>
            </w:r>
          </w:p>
        </w:tc>
        <w:tc>
          <w:tcPr>
            <w:tcW w:type="dxa" w:w="2520"/>
            <w:vAlign w:val="center"/>
          </w:tcPr>
          <w:p>
            <w:r/>
            <w:r>
              <w:rPr>
                <w:rFonts w:ascii="Aptos" w:hAnsi="Aptos"/>
                <w:b w:val="0"/>
                <w:color w:val="101A2B"/>
                <w:sz w:val="16"/>
              </w:rPr>
              <w:t>Technical credibility</w:t>
            </w:r>
          </w:p>
        </w:tc>
        <w:tc>
          <w:tcPr>
            <w:tcW w:type="dxa" w:w="2520"/>
            <w:vAlign w:val="center"/>
          </w:tcPr>
          <w:p>
            <w:r/>
            <w:r>
              <w:rPr>
                <w:rFonts w:ascii="Aptos" w:hAnsi="Aptos"/>
                <w:b w:val="0"/>
                <w:color w:val="101A2B"/>
                <w:sz w:val="16"/>
              </w:rPr>
              <w:t>Operations + web</w:t>
            </w:r>
          </w:p>
        </w:tc>
      </w:tr>
      <w:tr>
        <w:trPr>
          <w:trHeight w:hRule="atLeast"/>
          <w:cantSplit/>
        </w:trPr>
        <w:tc>
          <w:tcPr>
            <w:tcW w:type="dxa" w:w="2520"/>
            <w:vAlign w:val="center"/>
          </w:tcPr>
          <w:p>
            <w:r/>
            <w:r>
              <w:rPr>
                <w:rFonts w:ascii="Aptos" w:hAnsi="Aptos"/>
                <w:b/>
                <w:color w:val="B42318"/>
                <w:sz w:val="16"/>
              </w:rPr>
              <w:t>P0</w:t>
            </w:r>
          </w:p>
        </w:tc>
        <w:tc>
          <w:tcPr>
            <w:tcW w:type="dxa" w:w="2520"/>
            <w:vAlign w:val="center"/>
          </w:tcPr>
          <w:p>
            <w:r/>
            <w:r>
              <w:rPr>
                <w:rFonts w:ascii="Aptos" w:hAnsi="Aptos"/>
                <w:b w:val="0"/>
                <w:color w:val="101A2B"/>
                <w:sz w:val="16"/>
              </w:rPr>
              <w:t>Replace absolute claims with verifiable language</w:t>
            </w:r>
          </w:p>
        </w:tc>
        <w:tc>
          <w:tcPr>
            <w:tcW w:type="dxa" w:w="2520"/>
            <w:vAlign w:val="center"/>
          </w:tcPr>
          <w:p>
            <w:r/>
            <w:r>
              <w:rPr>
                <w:rFonts w:ascii="Aptos" w:hAnsi="Aptos"/>
                <w:b w:val="0"/>
                <w:color w:val="101A2B"/>
                <w:sz w:val="16"/>
              </w:rPr>
              <w:t>Trust and legal/brand risk</w:t>
            </w:r>
          </w:p>
        </w:tc>
        <w:tc>
          <w:tcPr>
            <w:tcW w:type="dxa" w:w="2520"/>
            <w:vAlign w:val="center"/>
          </w:tcPr>
          <w:p>
            <w:r/>
            <w:r>
              <w:rPr>
                <w:rFonts w:ascii="Aptos" w:hAnsi="Aptos"/>
                <w:b w:val="0"/>
                <w:color w:val="101A2B"/>
                <w:sz w:val="16"/>
              </w:rPr>
              <w:t>Marketing</w:t>
            </w:r>
          </w:p>
        </w:tc>
      </w:tr>
      <w:tr>
        <w:trPr>
          <w:trHeight w:hRule="atLeast"/>
          <w:cantSplit/>
        </w:trPr>
        <w:tc>
          <w:tcPr>
            <w:tcW w:type="dxa" w:w="2520"/>
            <w:vAlign w:val="center"/>
          </w:tcPr>
          <w:p>
            <w:r/>
            <w:r>
              <w:rPr>
                <w:rFonts w:ascii="Aptos" w:hAnsi="Aptos"/>
                <w:b/>
                <w:color w:val="B42318"/>
                <w:sz w:val="16"/>
              </w:rPr>
              <w:t>P0</w:t>
            </w:r>
          </w:p>
        </w:tc>
        <w:tc>
          <w:tcPr>
            <w:tcW w:type="dxa" w:w="2520"/>
            <w:vAlign w:val="center"/>
          </w:tcPr>
          <w:p>
            <w:r/>
            <w:r>
              <w:rPr>
                <w:rFonts w:ascii="Aptos" w:hAnsi="Aptos"/>
                <w:b w:val="0"/>
                <w:color w:val="101A2B"/>
                <w:sz w:val="16"/>
              </w:rPr>
              <w:t>Complete founder/team section</w:t>
            </w:r>
          </w:p>
        </w:tc>
        <w:tc>
          <w:tcPr>
            <w:tcW w:type="dxa" w:w="2520"/>
            <w:vAlign w:val="center"/>
          </w:tcPr>
          <w:p>
            <w:r/>
            <w:r>
              <w:rPr>
                <w:rFonts w:ascii="Aptos" w:hAnsi="Aptos"/>
                <w:b w:val="0"/>
                <w:color w:val="101A2B"/>
                <w:sz w:val="16"/>
              </w:rPr>
              <w:t>Current placeholders make site look unfinished</w:t>
            </w:r>
          </w:p>
        </w:tc>
        <w:tc>
          <w:tcPr>
            <w:tcW w:type="dxa" w:w="2520"/>
            <w:vAlign w:val="center"/>
          </w:tcPr>
          <w:p>
            <w:r/>
            <w:r>
              <w:rPr>
                <w:rFonts w:ascii="Aptos" w:hAnsi="Aptos"/>
                <w:b w:val="0"/>
                <w:color w:val="101A2B"/>
                <w:sz w:val="16"/>
              </w:rPr>
              <w:t>Founders + web</w:t>
            </w:r>
          </w:p>
        </w:tc>
      </w:tr>
      <w:tr>
        <w:trPr>
          <w:trHeight w:hRule="atLeast"/>
          <w:cantSplit/>
        </w:trPr>
        <w:tc>
          <w:tcPr>
            <w:tcW w:type="dxa" w:w="2520"/>
            <w:vAlign w:val="center"/>
          </w:tcPr>
          <w:p>
            <w:r/>
            <w:r>
              <w:rPr>
                <w:rFonts w:ascii="Aptos" w:hAnsi="Aptos"/>
                <w:b/>
                <w:color w:val="B54708"/>
                <w:sz w:val="16"/>
              </w:rPr>
              <w:t>P1</w:t>
            </w:r>
          </w:p>
        </w:tc>
        <w:tc>
          <w:tcPr>
            <w:tcW w:type="dxa" w:w="2520"/>
            <w:vAlign w:val="center"/>
          </w:tcPr>
          <w:p>
            <w:r/>
            <w:r>
              <w:rPr>
                <w:rFonts w:ascii="Aptos" w:hAnsi="Aptos"/>
                <w:b w:val="0"/>
                <w:color w:val="101A2B"/>
                <w:sz w:val="16"/>
              </w:rPr>
              <w:t>Rebuild homepage around map + corridors</w:t>
            </w:r>
          </w:p>
        </w:tc>
        <w:tc>
          <w:tcPr>
            <w:tcW w:type="dxa" w:w="2520"/>
            <w:vAlign w:val="center"/>
          </w:tcPr>
          <w:p>
            <w:r/>
            <w:r>
              <w:rPr>
                <w:rFonts w:ascii="Aptos" w:hAnsi="Aptos"/>
                <w:b w:val="0"/>
                <w:color w:val="101A2B"/>
                <w:sz w:val="16"/>
              </w:rPr>
              <w:t>Communicates network moat</w:t>
            </w:r>
          </w:p>
        </w:tc>
        <w:tc>
          <w:tcPr>
            <w:tcW w:type="dxa" w:w="2520"/>
            <w:vAlign w:val="center"/>
          </w:tcPr>
          <w:p>
            <w:r/>
            <w:r>
              <w:rPr>
                <w:rFonts w:ascii="Aptos" w:hAnsi="Aptos"/>
                <w:b w:val="0"/>
                <w:color w:val="101A2B"/>
                <w:sz w:val="16"/>
              </w:rPr>
              <w:t>Design + web</w:t>
            </w:r>
          </w:p>
        </w:tc>
      </w:tr>
      <w:tr>
        <w:trPr>
          <w:trHeight w:hRule="atLeast"/>
          <w:cantSplit/>
        </w:trPr>
        <w:tc>
          <w:tcPr>
            <w:tcW w:type="dxa" w:w="2520"/>
            <w:vAlign w:val="center"/>
          </w:tcPr>
          <w:p>
            <w:r/>
            <w:r>
              <w:rPr>
                <w:rFonts w:ascii="Aptos" w:hAnsi="Aptos"/>
                <w:b/>
                <w:color w:val="B54708"/>
                <w:sz w:val="16"/>
              </w:rPr>
              <w:t>P1</w:t>
            </w:r>
          </w:p>
        </w:tc>
        <w:tc>
          <w:tcPr>
            <w:tcW w:type="dxa" w:w="2520"/>
            <w:vAlign w:val="center"/>
          </w:tcPr>
          <w:p>
            <w:r/>
            <w:r>
              <w:rPr>
                <w:rFonts w:ascii="Aptos" w:hAnsi="Aptos"/>
                <w:b w:val="0"/>
                <w:color w:val="101A2B"/>
                <w:sz w:val="16"/>
              </w:rPr>
              <w:t>Create audience-specific CTAs/forms</w:t>
            </w:r>
          </w:p>
        </w:tc>
        <w:tc>
          <w:tcPr>
            <w:tcW w:type="dxa" w:w="2520"/>
            <w:vAlign w:val="center"/>
          </w:tcPr>
          <w:p>
            <w:r/>
            <w:r>
              <w:rPr>
                <w:rFonts w:ascii="Aptos" w:hAnsi="Aptos"/>
                <w:b w:val="0"/>
                <w:color w:val="101A2B"/>
                <w:sz w:val="16"/>
              </w:rPr>
              <w:t>Improves lead quality</w:t>
            </w:r>
          </w:p>
        </w:tc>
        <w:tc>
          <w:tcPr>
            <w:tcW w:type="dxa" w:w="2520"/>
            <w:vAlign w:val="center"/>
          </w:tcPr>
          <w:p>
            <w:r/>
            <w:r>
              <w:rPr>
                <w:rFonts w:ascii="Aptos" w:hAnsi="Aptos"/>
                <w:b w:val="0"/>
                <w:color w:val="101A2B"/>
                <w:sz w:val="16"/>
              </w:rPr>
              <w:t>Growth + web</w:t>
            </w:r>
          </w:p>
        </w:tc>
      </w:tr>
      <w:tr>
        <w:trPr>
          <w:trHeight w:hRule="atLeast"/>
          <w:cantSplit/>
        </w:trPr>
        <w:tc>
          <w:tcPr>
            <w:tcW w:type="dxa" w:w="2520"/>
            <w:vAlign w:val="center"/>
          </w:tcPr>
          <w:p>
            <w:r/>
            <w:r>
              <w:rPr>
                <w:rFonts w:ascii="Aptos" w:hAnsi="Aptos"/>
                <w:b/>
                <w:color w:val="B54708"/>
                <w:sz w:val="16"/>
              </w:rPr>
              <w:t>P1</w:t>
            </w:r>
          </w:p>
        </w:tc>
        <w:tc>
          <w:tcPr>
            <w:tcW w:type="dxa" w:w="2520"/>
            <w:vAlign w:val="center"/>
          </w:tcPr>
          <w:p>
            <w:r/>
            <w:r>
              <w:rPr>
                <w:rFonts w:ascii="Aptos" w:hAnsi="Aptos"/>
                <w:b w:val="0"/>
                <w:color w:val="101A2B"/>
                <w:sz w:val="16"/>
              </w:rPr>
              <w:t>Standardize station status taxonomy</w:t>
            </w:r>
          </w:p>
        </w:tc>
        <w:tc>
          <w:tcPr>
            <w:tcW w:type="dxa" w:w="2520"/>
            <w:vAlign w:val="center"/>
          </w:tcPr>
          <w:p>
            <w:r/>
            <w:r>
              <w:rPr>
                <w:rFonts w:ascii="Aptos" w:hAnsi="Aptos"/>
                <w:b w:val="0"/>
                <w:color w:val="101A2B"/>
                <w:sz w:val="16"/>
              </w:rPr>
              <w:t>Clear launch communication</w:t>
            </w:r>
          </w:p>
        </w:tc>
        <w:tc>
          <w:tcPr>
            <w:tcW w:type="dxa" w:w="2520"/>
            <w:vAlign w:val="center"/>
          </w:tcPr>
          <w:p>
            <w:r/>
            <w:r>
              <w:rPr>
                <w:rFonts w:ascii="Aptos" w:hAnsi="Aptos"/>
                <w:b w:val="0"/>
                <w:color w:val="101A2B"/>
                <w:sz w:val="16"/>
              </w:rPr>
              <w:t>Operations + web</w:t>
            </w:r>
          </w:p>
        </w:tc>
      </w:tr>
      <w:tr>
        <w:trPr>
          <w:trHeight w:hRule="atLeast"/>
          <w:cantSplit/>
        </w:trPr>
        <w:tc>
          <w:tcPr>
            <w:tcW w:type="dxa" w:w="2520"/>
            <w:vAlign w:val="center"/>
          </w:tcPr>
          <w:p>
            <w:r/>
            <w:r>
              <w:rPr>
                <w:rFonts w:ascii="Aptos" w:hAnsi="Aptos"/>
                <w:b/>
                <w:color w:val="B54708"/>
                <w:sz w:val="16"/>
              </w:rPr>
              <w:t>P1</w:t>
            </w:r>
          </w:p>
        </w:tc>
        <w:tc>
          <w:tcPr>
            <w:tcW w:type="dxa" w:w="2520"/>
            <w:vAlign w:val="center"/>
          </w:tcPr>
          <w:p>
            <w:r/>
            <w:r>
              <w:rPr>
                <w:rFonts w:ascii="Aptos" w:hAnsi="Aptos"/>
                <w:b w:val="0"/>
                <w:color w:val="101A2B"/>
                <w:sz w:val="16"/>
              </w:rPr>
              <w:t>Professionalize footer/contact routing</w:t>
            </w:r>
          </w:p>
        </w:tc>
        <w:tc>
          <w:tcPr>
            <w:tcW w:type="dxa" w:w="2520"/>
            <w:vAlign w:val="center"/>
          </w:tcPr>
          <w:p>
            <w:r/>
            <w:r>
              <w:rPr>
                <w:rFonts w:ascii="Aptos" w:hAnsi="Aptos"/>
                <w:b w:val="0"/>
                <w:color w:val="101A2B"/>
                <w:sz w:val="16"/>
              </w:rPr>
              <w:t>Scalable corporate presentation</w:t>
            </w:r>
          </w:p>
        </w:tc>
        <w:tc>
          <w:tcPr>
            <w:tcW w:type="dxa" w:w="2520"/>
            <w:vAlign w:val="center"/>
          </w:tcPr>
          <w:p>
            <w:r/>
            <w:r>
              <w:rPr>
                <w:rFonts w:ascii="Aptos" w:hAnsi="Aptos"/>
                <w:b w:val="0"/>
                <w:color w:val="101A2B"/>
                <w:sz w:val="16"/>
              </w:rPr>
              <w:t>Web</w:t>
            </w:r>
          </w:p>
        </w:tc>
      </w:tr>
      <w:tr>
        <w:trPr>
          <w:trHeight w:hRule="atLeast"/>
          <w:cantSplit/>
        </w:trPr>
        <w:tc>
          <w:tcPr>
            <w:tcW w:type="dxa" w:w="2520"/>
            <w:vAlign w:val="center"/>
          </w:tcPr>
          <w:p>
            <w:r/>
            <w:r>
              <w:rPr>
                <w:rFonts w:ascii="Aptos" w:hAnsi="Aptos"/>
                <w:b/>
                <w:color w:val="B54708"/>
                <w:sz w:val="16"/>
              </w:rPr>
              <w:t>P1</w:t>
            </w:r>
          </w:p>
        </w:tc>
        <w:tc>
          <w:tcPr>
            <w:tcW w:type="dxa" w:w="2520"/>
            <w:vAlign w:val="center"/>
          </w:tcPr>
          <w:p>
            <w:r/>
            <w:r>
              <w:rPr>
                <w:rFonts w:ascii="Aptos" w:hAnsi="Aptos"/>
                <w:b w:val="0"/>
                <w:color w:val="101A2B"/>
                <w:sz w:val="16"/>
              </w:rPr>
              <w:t>Add analytics and conversion tracking</w:t>
            </w:r>
          </w:p>
        </w:tc>
        <w:tc>
          <w:tcPr>
            <w:tcW w:type="dxa" w:w="2520"/>
            <w:vAlign w:val="center"/>
          </w:tcPr>
          <w:p>
            <w:r/>
            <w:r>
              <w:rPr>
                <w:rFonts w:ascii="Aptos" w:hAnsi="Aptos"/>
                <w:b w:val="0"/>
                <w:color w:val="101A2B"/>
                <w:sz w:val="16"/>
              </w:rPr>
              <w:t>Measure what works</w:t>
            </w:r>
          </w:p>
        </w:tc>
        <w:tc>
          <w:tcPr>
            <w:tcW w:type="dxa" w:w="2520"/>
            <w:vAlign w:val="center"/>
          </w:tcPr>
          <w:p>
            <w:r/>
            <w:r>
              <w:rPr>
                <w:rFonts w:ascii="Aptos" w:hAnsi="Aptos"/>
                <w:b w:val="0"/>
                <w:color w:val="101A2B"/>
                <w:sz w:val="16"/>
              </w:rPr>
              <w:t>Growth + web</w:t>
            </w:r>
          </w:p>
        </w:tc>
      </w:tr>
    </w:tbl>
    <w:p>
      <w:r>
        <w:br w:type="page"/>
      </w:r>
    </w:p>
    <w:p>
      <w:pPr>
        <w:pStyle w:val="Heading1"/>
      </w:pPr>
      <w:r>
        <w:t>2. Site-Wide Corrections</w:t>
      </w:r>
    </w:p>
    <w:p>
      <w:pPr>
        <w:pStyle w:val="Heading2"/>
      </w:pPr>
      <w:r>
        <w:t>2.1 Brand positioning</w:t>
      </w:r>
    </w:p>
    <w:p>
      <w:pPr>
        <w:spacing w:before="60" w:after="120"/>
        <w:ind w:left="259" w:right="259"/>
        <w:shd w:fill="F4F7FF"/>
      </w:pPr>
      <w:r>
        <w:rPr>
          <w:b/>
          <w:color w:val="1E5EFF"/>
          <w:sz w:val="17"/>
        </w:rPr>
        <w:t>USE CONSISTENTLY</w:t>
        <w:br/>
      </w:r>
      <w:r>
        <w:rPr>
          <w:color w:val="101A2B"/>
          <w:sz w:val="20"/>
        </w:rPr>
        <w:t>Vega Charge is building high-power EV charging infrastructure along India’s highway corridors — combining strategic locations, scalable charging, reliable operations and driver amenities.</w:t>
      </w:r>
    </w:p>
    <w:p>
      <w:r>
        <w:t>Avoid describing Vega primarily as a charger seller or a generic charging-point operator. The website should repeatedly communicate the system Vega is building: corridor strategy + sites + power + charging hardware + software/monitoring + operations + amenities + fleet capability.</w:t>
      </w:r>
    </w:p>
    <w:p>
      <w:pPr>
        <w:pStyle w:val="Heading2"/>
      </w:pPr>
      <w:r>
        <w:t>2.2 Claims policy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01A2B"/>
          </w:tcPr>
          <w:p>
            <w:r/>
            <w:r>
              <w:rPr>
                <w:rFonts w:ascii="Aptos" w:hAnsi="Aptos"/>
                <w:b/>
                <w:color w:val="FFFFFF"/>
                <w:sz w:val="16"/>
              </w:rPr>
              <w:t>Current / risky language</w:t>
            </w:r>
          </w:p>
        </w:tc>
        <w:tc>
          <w:tcPr>
            <w:tcW w:type="dxa" w:w="3360"/>
            <w:vAlign w:val="center"/>
            <w:shd w:fill="101A2B"/>
          </w:tcPr>
          <w:p>
            <w:r/>
            <w:r>
              <w:rPr>
                <w:rFonts w:ascii="Aptos" w:hAnsi="Aptos"/>
                <w:b/>
                <w:color w:val="FFFFFF"/>
                <w:sz w:val="16"/>
              </w:rPr>
              <w:t>Recommended direction</w:t>
            </w:r>
          </w:p>
        </w:tc>
        <w:tc>
          <w:tcPr>
            <w:tcW w:type="dxa" w:w="3360"/>
            <w:vAlign w:val="center"/>
            <w:shd w:fill="101A2B"/>
          </w:tcPr>
          <w:p>
            <w:r/>
            <w:r>
              <w:rPr>
                <w:rFonts w:ascii="Aptos" w:hAnsi="Aptos"/>
                <w:b/>
                <w:color w:val="FFFFFF"/>
                <w:sz w:val="16"/>
              </w:rPr>
              <w:t>Reason</w:t>
            </w:r>
          </w:p>
        </w:tc>
      </w:tr>
      <w:tr>
        <w:trPr>
          <w:cantSplit/>
        </w:trPr>
        <w:tc>
          <w:tcPr>
            <w:tcW w:type="dxa" w:w="3360"/>
            <w:vAlign w:val="center"/>
          </w:tcPr>
          <w:p>
            <w:r/>
            <w:r>
              <w:rPr>
                <w:rFonts w:ascii="Aptos" w:hAnsi="Aptos"/>
                <w:b w:val="0"/>
                <w:color w:val="101A2B"/>
                <w:sz w:val="16"/>
              </w:rPr>
              <w:t>India’s most reliable highway EV charging corridor</w:t>
            </w:r>
          </w:p>
        </w:tc>
        <w:tc>
          <w:tcPr>
            <w:tcW w:type="dxa" w:w="3360"/>
            <w:vAlign w:val="center"/>
          </w:tcPr>
          <w:p>
            <w:r/>
            <w:r>
              <w:rPr>
                <w:rFonts w:ascii="Aptos" w:hAnsi="Aptos"/>
                <w:b w:val="0"/>
                <w:color w:val="101A2B"/>
                <w:sz w:val="16"/>
              </w:rPr>
              <w:t>Building a dependable highway charging network</w:t>
            </w:r>
          </w:p>
        </w:tc>
        <w:tc>
          <w:tcPr>
            <w:tcW w:type="dxa" w:w="3360"/>
            <w:vAlign w:val="center"/>
          </w:tcPr>
          <w:p>
            <w:r/>
            <w:r>
              <w:rPr>
                <w:rFonts w:ascii="Aptos" w:hAnsi="Aptos"/>
                <w:b w:val="0"/>
                <w:color w:val="101A2B"/>
                <w:sz w:val="16"/>
              </w:rPr>
              <w:t>Reliability should be proven with uptime data.</w:t>
            </w:r>
          </w:p>
        </w:tc>
      </w:tr>
      <w:tr>
        <w:trPr>
          <w:cantSplit/>
        </w:trPr>
        <w:tc>
          <w:tcPr>
            <w:tcW w:type="dxa" w:w="3360"/>
            <w:vAlign w:val="center"/>
          </w:tcPr>
          <w:p>
            <w:r/>
            <w:r>
              <w:rPr>
                <w:rFonts w:ascii="Aptos" w:hAnsi="Aptos"/>
                <w:b w:val="0"/>
                <w:color w:val="101A2B"/>
                <w:sz w:val="16"/>
              </w:rPr>
              <w:t>Range anxiety is the #1 reason…</w:t>
            </w:r>
          </w:p>
        </w:tc>
        <w:tc>
          <w:tcPr>
            <w:tcW w:type="dxa" w:w="3360"/>
            <w:vAlign w:val="center"/>
          </w:tcPr>
          <w:p>
            <w:r/>
            <w:r>
              <w:rPr>
                <w:rFonts w:ascii="Aptos" w:hAnsi="Aptos"/>
                <w:b w:val="0"/>
                <w:color w:val="101A2B"/>
                <w:sz w:val="16"/>
              </w:rPr>
              <w:t>Dependable highway charging remains an important barrier to confident inter-city EV travel.</w:t>
            </w:r>
          </w:p>
        </w:tc>
        <w:tc>
          <w:tcPr>
            <w:tcW w:type="dxa" w:w="3360"/>
            <w:vAlign w:val="center"/>
          </w:tcPr>
          <w:p>
            <w:r/>
            <w:r>
              <w:rPr>
                <w:rFonts w:ascii="Aptos" w:hAnsi="Aptos"/>
                <w:b w:val="0"/>
                <w:color w:val="101A2B"/>
                <w:sz w:val="16"/>
              </w:rPr>
              <w:t>Avoid ranking a cause without a source.</w:t>
            </w:r>
          </w:p>
        </w:tc>
      </w:tr>
      <w:tr>
        <w:trPr>
          <w:cantSplit/>
        </w:trPr>
        <w:tc>
          <w:tcPr>
            <w:tcW w:type="dxa" w:w="3360"/>
            <w:vAlign w:val="center"/>
          </w:tcPr>
          <w:p>
            <w:r/>
            <w:r>
              <w:rPr>
                <w:rFonts w:ascii="Aptos" w:hAnsi="Aptos"/>
                <w:b w:val="0"/>
                <w:color w:val="101A2B"/>
                <w:sz w:val="16"/>
              </w:rPr>
              <w:t>Every EV. Every time.</w:t>
            </w:r>
          </w:p>
        </w:tc>
        <w:tc>
          <w:tcPr>
            <w:tcW w:type="dxa" w:w="3360"/>
            <w:vAlign w:val="center"/>
          </w:tcPr>
          <w:p>
            <w:r/>
            <w:r>
              <w:rPr>
                <w:rFonts w:ascii="Aptos" w:hAnsi="Aptos"/>
                <w:b w:val="0"/>
                <w:color w:val="101A2B"/>
                <w:sz w:val="16"/>
              </w:rPr>
              <w:t>Built for India’s growing EV ecosystem.</w:t>
            </w:r>
          </w:p>
        </w:tc>
        <w:tc>
          <w:tcPr>
            <w:tcW w:type="dxa" w:w="3360"/>
            <w:vAlign w:val="center"/>
          </w:tcPr>
          <w:p>
            <w:r/>
            <w:r>
              <w:rPr>
                <w:rFonts w:ascii="Aptos" w:hAnsi="Aptos"/>
                <w:b w:val="0"/>
                <w:color w:val="101A2B"/>
                <w:sz w:val="16"/>
              </w:rPr>
              <w:t>Connector compatibility varies.</w:t>
            </w:r>
          </w:p>
        </w:tc>
      </w:tr>
      <w:tr>
        <w:trPr>
          <w:cantSplit/>
        </w:trPr>
        <w:tc>
          <w:tcPr>
            <w:tcW w:type="dxa" w:w="3360"/>
            <w:vAlign w:val="center"/>
          </w:tcPr>
          <w:p>
            <w:r/>
            <w:r>
              <w:rPr>
                <w:rFonts w:ascii="Aptos" w:hAnsi="Aptos"/>
                <w:b w:val="0"/>
                <w:color w:val="101A2B"/>
                <w:sz w:val="16"/>
              </w:rPr>
              <w:t>Strong, sustainable returns from day one</w:t>
            </w:r>
          </w:p>
        </w:tc>
        <w:tc>
          <w:tcPr>
            <w:tcW w:type="dxa" w:w="3360"/>
            <w:vAlign w:val="center"/>
          </w:tcPr>
          <w:p>
            <w:r/>
            <w:r>
              <w:rPr>
                <w:rFonts w:ascii="Aptos" w:hAnsi="Aptos"/>
                <w:b w:val="0"/>
                <w:color w:val="101A2B"/>
                <w:sz w:val="16"/>
              </w:rPr>
              <w:t>Structured partnership models designed around site potential and long-term EV demand.</w:t>
            </w:r>
          </w:p>
        </w:tc>
        <w:tc>
          <w:tcPr>
            <w:tcW w:type="dxa" w:w="3360"/>
            <w:vAlign w:val="center"/>
          </w:tcPr>
          <w:p>
            <w:r/>
            <w:r>
              <w:rPr>
                <w:rFonts w:ascii="Aptos" w:hAnsi="Aptos"/>
                <w:b w:val="0"/>
                <w:color w:val="101A2B"/>
                <w:sz w:val="16"/>
              </w:rPr>
              <w:t>Investment-return claims need evidence and qualification.</w:t>
            </w:r>
          </w:p>
        </w:tc>
      </w:tr>
      <w:tr>
        <w:trPr>
          <w:cantSplit/>
        </w:trPr>
        <w:tc>
          <w:tcPr>
            <w:tcW w:type="dxa" w:w="3360"/>
            <w:vAlign w:val="center"/>
          </w:tcPr>
          <w:p>
            <w:r/>
            <w:r>
              <w:rPr>
                <w:rFonts w:ascii="Aptos" w:hAnsi="Aptos"/>
                <w:b w:val="0"/>
                <w:color w:val="101A2B"/>
                <w:sz w:val="16"/>
              </w:rPr>
              <w:t>Charge in minutes, not hours</w:t>
            </w:r>
          </w:p>
        </w:tc>
        <w:tc>
          <w:tcPr>
            <w:tcW w:type="dxa" w:w="3360"/>
            <w:vAlign w:val="center"/>
          </w:tcPr>
          <w:p>
            <w:r/>
            <w:r>
              <w:rPr>
                <w:rFonts w:ascii="Aptos" w:hAnsi="Aptos"/>
                <w:b w:val="0"/>
                <w:color w:val="101A2B"/>
                <w:sz w:val="16"/>
              </w:rPr>
              <w:t>High-power DC charging designed to reduce highway stop time.</w:t>
            </w:r>
          </w:p>
        </w:tc>
        <w:tc>
          <w:tcPr>
            <w:tcW w:type="dxa" w:w="3360"/>
            <w:vAlign w:val="center"/>
          </w:tcPr>
          <w:p>
            <w:r/>
            <w:r>
              <w:rPr>
                <w:rFonts w:ascii="Aptos" w:hAnsi="Aptos"/>
                <w:b w:val="0"/>
                <w:color w:val="101A2B"/>
                <w:sz w:val="16"/>
              </w:rPr>
              <w:t>Actual speed depends on vehicle and battery.</w:t>
            </w:r>
          </w:p>
        </w:tc>
      </w:tr>
    </w:tbl>
    <w:p>
      <w:pPr>
        <w:pStyle w:val="Heading2"/>
      </w:pPr>
      <w:r>
        <w:t>2.3 Technical data governance</w:t>
      </w:r>
    </w:p>
    <w:p>
      <w:pPr>
        <w:pStyle w:val="ListBullet"/>
        <w:spacing w:after="40"/>
      </w:pPr>
      <w:r>
        <w:t>Create one internal ‘website source of truth’ sheet for each station: Station ID, legal/site name, map pin, corridor, direction, status, planned opening, charger quantity, rated power, connector type, sanctioned load, amenities, operating hours, commercial-vehicle capability and public contact.</w:t>
      </w:r>
    </w:p>
    <w:p>
      <w:pPr>
        <w:pStyle w:val="ListBullet"/>
        <w:spacing w:after="40"/>
      </w:pPr>
      <w:r>
        <w:t>Do not manually type specifications independently on Home, Network and Solutions pages. Pull them from one CMS data object wherever possible.</w:t>
      </w:r>
    </w:p>
    <w:p>
      <w:pPr>
        <w:pStyle w:val="ListBullet"/>
        <w:spacing w:after="40"/>
      </w:pPr>
      <w:r>
        <w:t>If hardware has not been commissioned, label specifications as ‘planned configuration’ rather than presenting them as live.</w:t>
      </w:r>
    </w:p>
    <w:p>
      <w:pPr>
        <w:pStyle w:val="ListBullet"/>
        <w:spacing w:after="40"/>
      </w:pPr>
      <w:r>
        <w:t>Use ‘up to ___ kW’ only when that rating is actually available to a compatible vehicle under the site configuration.</w:t>
      </w:r>
    </w:p>
    <w:p>
      <w:pPr>
        <w:pStyle w:val="ListBullet"/>
        <w:spacing w:after="40"/>
      </w:pPr>
      <w:r>
        <w:t>For charging-time/range examples, add a short disclaimer that actual charging performance varies by vehicle, battery, state of charge, temperature and charger availability.</w:t>
      </w:r>
    </w:p>
    <w:p>
      <w:pPr>
        <w:pStyle w:val="Heading2"/>
      </w:pPr>
      <w:r>
        <w:t>2.4 Status taxonomy</w:t>
      </w:r>
    </w:p>
    <w:p>
      <w:pPr>
        <w:spacing w:before="60" w:after="120"/>
        <w:ind w:left="259" w:right="259"/>
        <w:shd w:fill="F4F7FF"/>
      </w:pPr>
      <w:r>
        <w:rPr>
          <w:b/>
          <w:color w:val="1E5EFF"/>
          <w:sz w:val="17"/>
        </w:rPr>
        <w:t>STANDARDIZE TO FOUR LABELS</w:t>
        <w:br/>
      </w:r>
      <w:r>
        <w:rPr>
          <w:color w:val="101A2B"/>
          <w:sz w:val="20"/>
        </w:rPr>
        <w:t>LIVE — open to public charging</w:t>
        <w:br/>
        <w:t>UNDER CONSTRUCTION — civil/electrical works underway</w:t>
        <w:br/>
        <w:t>COMING SOON — site secured and launch planned</w:t>
        <w:br/>
        <w:t>PLANNED — corridor/site under development or acquisition</w:t>
      </w:r>
    </w:p>
    <w:p>
      <w:r>
        <w:t>Do not use “Live soon.” It mixes two mutually exclusive states. If a date is not firm, use a quarter or simply “Coming Soon.”</w:t>
      </w:r>
    </w:p>
    <w:p>
      <w:pPr>
        <w:pStyle w:val="Heading2"/>
      </w:pPr>
      <w:r>
        <w:t>2.5 Navigation</w:t>
      </w:r>
    </w:p>
    <w:p>
      <w:pPr>
        <w:spacing w:before="60" w:after="120"/>
        <w:ind w:left="259" w:right="259"/>
        <w:shd w:fill="F4F7FF"/>
      </w:pPr>
      <w:r>
        <w:rPr>
          <w:b/>
          <w:color w:val="1E5EFF"/>
          <w:sz w:val="17"/>
        </w:rPr>
        <w:t>RECOMMENDED DESKTOP NAV</w:t>
        <w:br/>
      </w:r>
      <w:r>
        <w:rPr>
          <w:color w:val="101A2B"/>
          <w:sz w:val="20"/>
        </w:rPr>
        <w:t>Network  |  Drivers  |  Fleets  |  Site Partners  |  About  |  Contact</w:t>
        <w:br/>
        <w:t>Primary CTA before first live station: Explore Our Network</w:t>
        <w:br/>
        <w:t>Primary CTA after public launch: Find a Charger</w:t>
      </w:r>
    </w:p>
    <w:p>
      <w:r>
        <w:t>‘Solutions’ can remain as a landing page, but the high-intent audiences should be directly reachable from the main navigation. ‘Let’s Grow Together’ is warm but vague; use ‘Partner With Us’ or a specific CTA.</w:t>
      </w:r>
    </w:p>
    <w:p>
      <w:pPr>
        <w:pStyle w:val="Heading2"/>
      </w:pPr>
      <w:r>
        <w:t>2.6 Footer</w:t>
      </w:r>
    </w:p>
    <w:p>
      <w:pPr>
        <w:spacing w:before="60" w:after="120"/>
        <w:ind w:left="259" w:right="259"/>
        <w:shd w:fill="F4F7FF"/>
      </w:pPr>
      <w:r>
        <w:rPr>
          <w:b/>
          <w:color w:val="1E5EFF"/>
          <w:sz w:val="17"/>
        </w:rPr>
        <w:t>RECOMMENDED FOOTER STRUCTURE</w:t>
        <w:br/>
      </w:r>
      <w:r>
        <w:rPr>
          <w:color w:val="101A2B"/>
          <w:sz w:val="20"/>
        </w:rPr>
        <w:t>Vega Charge — Building high-power EV charging infrastructure along India’s highway corridors.</w:t>
        <w:br/>
        <w:br/>
        <w:t>Network: Stations • Corridors • Find a Charger</w:t>
        <w:br/>
        <w:t>Partner: Fleets • Site &amp; Land Partners • Commercial Hosts • Strategic/Investor Enquiries</w:t>
        <w:br/>
        <w:t>Company: About • Careers • Contact • Privacy • Terms</w:t>
        <w:br/>
        <w:t>General Enquiries: admin@vegacharge.in</w:t>
        <w:br/>
        <w:t>Corporate Office: Hyderabad, Telangana, India</w:t>
      </w:r>
    </w:p>
    <w:p>
      <w:r>
        <w:t>Move personal phone numbers out of the global footer. Use a central business number or enquiry routing. Personal numbers can be used selectively on qualified lead follow-up.</w:t>
      </w:r>
    </w:p>
    <w:p>
      <w:r>
        <w:br w:type="page"/>
      </w:r>
    </w:p>
    <w:p>
      <w:pPr>
        <w:pStyle w:val="Heading1"/>
      </w:pPr>
      <w:r>
        <w:t>3. Homepage — Complete Recommended Rewrite</w:t>
      </w:r>
    </w:p>
    <w:p>
      <w:r>
        <w:t>Objective: In under 15 seconds, a visitor should understand what Vega is building, where it is building, why it is different, and what action is relevant to them.</w:t>
      </w:r>
    </w:p>
    <w:p>
      <w:pPr>
        <w:pStyle w:val="Heading2"/>
      </w:pPr>
      <w:r>
        <w:t>Section 1 — Hero</w:t>
      </w:r>
    </w:p>
    <w:p>
      <w:pPr>
        <w:spacing w:before="60" w:after="120"/>
        <w:ind w:left="259" w:right="259"/>
        <w:shd w:fill="F4F7FF"/>
      </w:pPr>
      <w:r>
        <w:rPr>
          <w:b/>
          <w:color w:val="1E5EFF"/>
          <w:sz w:val="17"/>
        </w:rPr>
        <w:t>EYEBROW</w:t>
        <w:br/>
      </w:r>
      <w:r>
        <w:rPr>
          <w:color w:val="101A2B"/>
          <w:sz w:val="20"/>
        </w:rPr>
        <w:t>INDIA’S HIGHWAY EV CHARGING NETWORK</w:t>
      </w:r>
    </w:p>
    <w:p>
      <w:pPr>
        <w:spacing w:before="60" w:after="120"/>
        <w:ind w:left="259" w:right="259"/>
        <w:shd w:fill="F4F7FF"/>
      </w:pPr>
      <w:r>
        <w:rPr>
          <w:b/>
          <w:color w:val="1E5EFF"/>
          <w:sz w:val="17"/>
        </w:rPr>
        <w:t>H1</w:t>
        <w:br/>
      </w:r>
      <w:r>
        <w:rPr>
          <w:color w:val="101A2B"/>
          <w:sz w:val="20"/>
        </w:rPr>
        <w:t>Building India’s Highway EV Charging Network.</w:t>
      </w:r>
    </w:p>
    <w:p>
      <w:pPr>
        <w:spacing w:before="60" w:after="120"/>
        <w:ind w:left="259" w:right="259"/>
        <w:shd w:fill="F4F7FF"/>
      </w:pPr>
      <w:r>
        <w:rPr>
          <w:b/>
          <w:color w:val="1E5EFF"/>
          <w:sz w:val="17"/>
        </w:rPr>
        <w:t>SUPPORTING COPY</w:t>
        <w:br/>
      </w:r>
      <w:r>
        <w:rPr>
          <w:color w:val="101A2B"/>
          <w:sz w:val="20"/>
        </w:rPr>
        <w:t>High-power charging hubs strategically located across key highway corridors — built for passenger EVs, fleets and commercial electric vehicles.</w:t>
      </w:r>
    </w:p>
    <w:p>
      <w:pPr>
        <w:spacing w:before="60" w:after="120"/>
        <w:ind w:left="259" w:right="259"/>
        <w:shd w:fill="F4F7FF"/>
      </w:pPr>
      <w:r>
        <w:rPr>
          <w:b/>
          <w:color w:val="1E5EFF"/>
          <w:sz w:val="17"/>
        </w:rPr>
        <w:t>PRIMARY CTA</w:t>
        <w:br/>
      </w:r>
      <w:r>
        <w:rPr>
          <w:color w:val="101A2B"/>
          <w:sz w:val="20"/>
        </w:rPr>
        <w:t>Explore Our Network</w:t>
      </w:r>
    </w:p>
    <w:p>
      <w:pPr>
        <w:spacing w:before="60" w:after="120"/>
        <w:ind w:left="259" w:right="259"/>
        <w:shd w:fill="F4F7FF"/>
      </w:pPr>
      <w:r>
        <w:rPr>
          <w:b/>
          <w:color w:val="1E5EFF"/>
          <w:sz w:val="17"/>
        </w:rPr>
        <w:t>SECONDARY CTA</w:t>
        <w:br/>
      </w:r>
      <w:r>
        <w:rPr>
          <w:color w:val="101A2B"/>
          <w:sz w:val="20"/>
        </w:rPr>
        <w:t>Partner With Vega Charge</w:t>
      </w:r>
    </w:p>
    <w:p>
      <w:r>
        <w:t>Visual: Use the strongest real station render or commissioned-site photography. If it is a render, label it discreetly as a render. Avoid showing operating metrics in the hero until they are real and automatically updated.</w:t>
      </w:r>
    </w:p>
    <w:p>
      <w:pPr>
        <w:pStyle w:val="Heading2"/>
      </w:pPr>
      <w:r>
        <w:t>Section 2 — Proof strip</w:t>
      </w:r>
    </w:p>
    <w:p>
      <w:r>
        <w:t>Until live operational metrics exist, use capability/status facts rather than vanity counters.</w:t>
      </w:r>
    </w:p>
    <w:p>
      <w:pPr>
        <w:spacing w:before="60" w:after="120"/>
        <w:ind w:left="259" w:right="259"/>
        <w:shd w:fill="F4F7FF"/>
      </w:pPr>
      <w:r>
        <w:rPr>
          <w:b/>
          <w:color w:val="1E5EFF"/>
          <w:sz w:val="17"/>
        </w:rPr>
        <w:t>EXAMPLE</w:t>
        <w:br/>
      </w:r>
      <w:r>
        <w:rPr>
          <w:color w:val="101A2B"/>
          <w:sz w:val="20"/>
        </w:rPr>
        <w:t>High-power DC charging  |  24×7 monitored operations  |  Highway-first locations  |  Passenger + fleet ready</w:t>
      </w:r>
    </w:p>
    <w:p>
      <w:r>
        <w:t>After launch, replace these with verified metrics such as Stations Live, Charging Sessions, Energy Delivered and Network Uptime.</w:t>
      </w:r>
    </w:p>
    <w:p>
      <w:pPr>
        <w:pStyle w:val="Heading2"/>
      </w:pPr>
      <w:r>
        <w:t>Section 3 — Network map</w:t>
      </w:r>
    </w:p>
    <w:p>
      <w:pPr>
        <w:spacing w:before="60" w:after="120"/>
        <w:ind w:left="259" w:right="259"/>
        <w:shd w:fill="F4F7FF"/>
      </w:pPr>
      <w:r>
        <w:rPr>
          <w:b/>
          <w:color w:val="1E5EFF"/>
          <w:sz w:val="17"/>
        </w:rPr>
        <w:t>H2</w:t>
        <w:br/>
      </w:r>
      <w:r>
        <w:rPr>
          <w:color w:val="101A2B"/>
          <w:sz w:val="20"/>
        </w:rPr>
        <w:t>A highway network, not isolated charge points.</w:t>
      </w:r>
    </w:p>
    <w:p>
      <w:pPr>
        <w:spacing w:before="60" w:after="120"/>
        <w:ind w:left="259" w:right="259"/>
        <w:shd w:fill="F4F7FF"/>
      </w:pPr>
      <w:r>
        <w:rPr>
          <w:b/>
          <w:color w:val="1E5EFF"/>
          <w:sz w:val="17"/>
        </w:rPr>
        <w:t>BODY</w:t>
        <w:br/>
      </w:r>
      <w:r>
        <w:rPr>
          <w:color w:val="101A2B"/>
          <w:sz w:val="20"/>
        </w:rPr>
        <w:t>Vega Charge is developing strategically spaced charging hubs across major inter-city corridors, beginning in Telangana and Andhra Pradesh.</w:t>
      </w:r>
    </w:p>
    <w:p>
      <w:r>
        <w:t>Map requirements: corridor lines, station pins, direction of travel where relevant, status color/shape, click-through station cards, exact map link only for public/appropriate sites. Add a legend: Live / Under Construction / Coming Soon / Planned.</w:t>
      </w:r>
    </w:p>
    <w:p>
      <w:pPr>
        <w:spacing w:before="60" w:after="120"/>
        <w:ind w:left="259" w:right="259"/>
        <w:shd w:fill="F4F7FF"/>
      </w:pPr>
      <w:r>
        <w:rPr>
          <w:b/>
          <w:color w:val="1E5EFF"/>
          <w:sz w:val="17"/>
        </w:rPr>
        <w:t>CTA</w:t>
        <w:br/>
      </w:r>
      <w:r>
        <w:rPr>
          <w:color w:val="101A2B"/>
          <w:sz w:val="20"/>
        </w:rPr>
        <w:t>View the Full Network</w:t>
      </w:r>
    </w:p>
    <w:p>
      <w:pPr>
        <w:pStyle w:val="Heading2"/>
      </w:pPr>
      <w:r>
        <w:t>Section 4 — The problem</w:t>
      </w:r>
    </w:p>
    <w:p>
      <w:pPr>
        <w:spacing w:before="60" w:after="120"/>
        <w:ind w:left="259" w:right="259"/>
        <w:shd w:fill="F4F7FF"/>
      </w:pPr>
      <w:r>
        <w:rPr>
          <w:b/>
          <w:color w:val="1E5EFF"/>
          <w:sz w:val="17"/>
        </w:rPr>
        <w:t>H2</w:t>
        <w:br/>
      </w:r>
      <w:r>
        <w:rPr>
          <w:color w:val="101A2B"/>
          <w:sz w:val="20"/>
        </w:rPr>
        <w:t>Long-distance EV travel needs dependable infrastructure.</w:t>
      </w:r>
    </w:p>
    <w:p>
      <w:pPr>
        <w:spacing w:before="60" w:after="120"/>
        <w:ind w:left="259" w:right="259"/>
        <w:shd w:fill="F4F7FF"/>
      </w:pPr>
      <w:r>
        <w:rPr>
          <w:b/>
          <w:color w:val="1E5EFF"/>
          <w:sz w:val="17"/>
        </w:rPr>
        <w:t>BODY</w:t>
        <w:br/>
      </w:r>
      <w:r>
        <w:rPr>
          <w:color w:val="101A2B"/>
          <w:sz w:val="20"/>
        </w:rPr>
        <w:t>India’s EV ecosystem is growing rapidly, but inter-city travel still depends on finding charging that is correctly located, powerful enough, available and supported. Vega Charge is building highway hubs around the journey — not simply installing chargers wherever space is available.</w:t>
      </w:r>
    </w:p>
    <w:p>
      <w:pPr>
        <w:spacing w:before="60" w:after="120"/>
        <w:ind w:left="259" w:right="259"/>
        <w:shd w:fill="F4F7FF"/>
      </w:pPr>
      <w:r>
        <w:rPr>
          <w:b/>
          <w:color w:val="1E5EFF"/>
          <w:sz w:val="17"/>
        </w:rPr>
        <w:t>THREE PILLARS</w:t>
        <w:br/>
      </w:r>
      <w:r>
        <w:rPr>
          <w:color w:val="101A2B"/>
          <w:sz w:val="20"/>
        </w:rPr>
        <w:t>Strategic Locations — selected around corridor demand, accessibility and power feasibility.</w:t>
        <w:br/>
        <w:t>High-Power Charging — scalable DC infrastructure for shorter highway stops.</w:t>
        <w:br/>
        <w:t>Reliable Operations — monitored stations with on-ground and remote support.</w:t>
      </w:r>
    </w:p>
    <w:p>
      <w:pPr>
        <w:pStyle w:val="Heading2"/>
      </w:pPr>
      <w:r>
        <w:t>Section 5 — Why Vega Charge</w:t>
      </w:r>
    </w:p>
    <w:p>
      <w:pPr>
        <w:pStyle w:val="Heading3"/>
      </w:pPr>
      <w:r>
        <w:t>Corridor-led planning</w:t>
      </w:r>
    </w:p>
    <w:p>
      <w:r>
        <w:t>We plan charging as a connected network across routes, not as isolated locations.</w:t>
      </w:r>
    </w:p>
    <w:p>
      <w:pPr>
        <w:pStyle w:val="Heading3"/>
      </w:pPr>
      <w:r>
        <w:t>Scalable power</w:t>
      </w:r>
    </w:p>
    <w:p>
      <w:r>
        <w:t>Sites are designed for high-power DC charging and future expansion as demand grows.</w:t>
      </w:r>
    </w:p>
    <w:p>
      <w:pPr>
        <w:pStyle w:val="Heading3"/>
      </w:pPr>
      <w:r>
        <w:t>Operational reliability</w:t>
      </w:r>
    </w:p>
    <w:p>
      <w:r>
        <w:t>Technology-enabled monitoring, preventive maintenance and on-ground support.</w:t>
      </w:r>
    </w:p>
    <w:p>
      <w:pPr>
        <w:pStyle w:val="Heading3"/>
      </w:pPr>
      <w:r>
        <w:t>Driver-first hubs</w:t>
      </w:r>
    </w:p>
    <w:p>
      <w:r>
        <w:t>Charging is paired with the amenities people actually need during a highway stop.</w:t>
      </w:r>
    </w:p>
    <w:p>
      <w:pPr>
        <w:pStyle w:val="Heading3"/>
      </w:pPr>
      <w:r>
        <w:t>Fleet capability</w:t>
      </w:r>
    </w:p>
    <w:p>
      <w:r>
        <w:t>Infrastructure and commercial models designed for high-utilisation fleet operations.</w:t>
      </w:r>
    </w:p>
    <w:p>
      <w:pPr>
        <w:pStyle w:val="Heading3"/>
      </w:pPr>
      <w:r>
        <w:t>Commercial ecosystem</w:t>
      </w:r>
    </w:p>
    <w:p>
      <w:r>
        <w:t>Selected hubs can support food, retail and services that improve the stop for drivers and partners.</w:t>
      </w:r>
    </w:p>
    <w:p>
      <w:pPr>
        <w:pStyle w:val="Heading2"/>
      </w:pPr>
      <w:r>
        <w:t>Section 6 — Featured stations</w:t>
      </w:r>
    </w:p>
    <w:p>
      <w:pPr>
        <w:spacing w:before="60" w:after="120"/>
        <w:ind w:left="259" w:right="259"/>
        <w:shd w:fill="F4F7FF"/>
      </w:pPr>
      <w:r>
        <w:rPr>
          <w:b/>
          <w:color w:val="1E5EFF"/>
          <w:sz w:val="17"/>
        </w:rPr>
        <w:t>H2</w:t>
        <w:br/>
      </w:r>
      <w:r>
        <w:rPr>
          <w:color w:val="101A2B"/>
          <w:sz w:val="20"/>
        </w:rPr>
        <w:t>Where we’re building.</w:t>
      </w:r>
    </w:p>
    <w:p>
      <w:r>
        <w:t>Each card should show only verified data: Station ID • location • corridor • direction • status • planned/live configuration • amenities • opening window • map link. Do not repeat contradictory power ratings.</w:t>
      </w:r>
    </w:p>
    <w:p>
      <w:pPr>
        <w:spacing w:before="60" w:after="120"/>
        <w:ind w:left="259" w:right="259"/>
        <w:shd w:fill="F4F7FF"/>
      </w:pPr>
      <w:r>
        <w:rPr>
          <w:b/>
          <w:color w:val="1E5EFF"/>
          <w:sz w:val="17"/>
        </w:rPr>
        <w:t>STATUS LANGUAGE</w:t>
        <w:br/>
      </w:r>
      <w:r>
        <w:rPr>
          <w:color w:val="101A2B"/>
          <w:sz w:val="20"/>
        </w:rPr>
        <w:t>VC 001 — Narketpalle — COMING SOON</w:t>
        <w:br/>
        <w:t>NH-65 • Hyderabad ↔ Vijayawada</w:t>
        <w:br/>
        <w:t>Planned configuration: [verified charger configuration]</w:t>
        <w:br/>
        <w:t>Opening: [verified month/quarter]</w:t>
        <w:br/>
        <w:t>CTA: View Station</w:t>
      </w:r>
    </w:p>
    <w:p>
      <w:pPr>
        <w:pStyle w:val="Heading2"/>
      </w:pPr>
      <w:r>
        <w:t>Section 7 — Vega Hub experience</w:t>
      </w:r>
    </w:p>
    <w:p>
      <w:pPr>
        <w:spacing w:before="60" w:after="120"/>
        <w:ind w:left="259" w:right="259"/>
        <w:shd w:fill="F4F7FF"/>
      </w:pPr>
      <w:r>
        <w:rPr>
          <w:b/>
          <w:color w:val="1E5EFF"/>
          <w:sz w:val="17"/>
        </w:rPr>
        <w:t>H2</w:t>
        <w:br/>
      </w:r>
      <w:r>
        <w:rPr>
          <w:color w:val="101A2B"/>
          <w:sz w:val="20"/>
        </w:rPr>
        <w:t>Charge the vehicle. Recharge yourself.</w:t>
      </w:r>
    </w:p>
    <w:p>
      <w:pPr>
        <w:spacing w:before="60" w:after="120"/>
        <w:ind w:left="259" w:right="259"/>
        <w:shd w:fill="F4F7FF"/>
      </w:pPr>
      <w:r>
        <w:rPr>
          <w:b/>
          <w:color w:val="1E5EFF"/>
          <w:sz w:val="17"/>
        </w:rPr>
        <w:t>BODY</w:t>
        <w:br/>
      </w:r>
      <w:r>
        <w:rPr>
          <w:color w:val="101A2B"/>
          <w:sz w:val="20"/>
        </w:rPr>
        <w:t>A highway charging stop should work for the people inside the vehicle too. Selected Vega Charge hubs are designed around a comfortable, useful break while the vehicle charges.</w:t>
      </w:r>
    </w:p>
    <w:p>
      <w:pPr>
        <w:spacing w:before="60" w:after="120"/>
        <w:ind w:left="259" w:right="259"/>
        <w:shd w:fill="F4F7FF"/>
      </w:pPr>
      <w:r>
        <w:rPr>
          <w:b/>
          <w:color w:val="1E5EFF"/>
          <w:sz w:val="17"/>
        </w:rPr>
        <w:t>AMENITIES</w:t>
        <w:br/>
      </w:r>
      <w:r>
        <w:rPr>
          <w:color w:val="101A2B"/>
          <w:sz w:val="20"/>
        </w:rPr>
        <w:t>Eat — café, restaurants and refreshments</w:t>
        <w:br/>
        <w:t>Rest — comfortable waiting areas</w:t>
        <w:br/>
        <w:t>Refresh — clean washrooms</w:t>
        <w:br/>
        <w:t>Shop — convenience and partner retail</w:t>
        <w:br/>
        <w:t>Family — family-friendly spaces at selected hubs</w:t>
      </w:r>
    </w:p>
    <w:p>
      <w:r>
        <w:t>Only say ‘at every station’ for amenities that are genuinely standardized across every site. Otherwise use ‘at selected hubs’.</w:t>
      </w:r>
    </w:p>
    <w:p>
      <w:pPr>
        <w:pStyle w:val="Heading2"/>
      </w:pPr>
      <w:r>
        <w:t>Section 8 — Who we serve</w:t>
      </w:r>
    </w:p>
    <w:p>
      <w:pPr>
        <w:spacing w:before="60" w:after="120"/>
        <w:ind w:left="259" w:right="259"/>
        <w:shd w:fill="F4F7FF"/>
      </w:pPr>
      <w:r>
        <w:rPr>
          <w:b/>
          <w:color w:val="1E5EFF"/>
          <w:sz w:val="17"/>
        </w:rPr>
        <w:t>PASSENGER EVs</w:t>
        <w:br/>
      </w:r>
      <w:r>
        <w:rPr>
          <w:color w:val="101A2B"/>
          <w:sz w:val="20"/>
        </w:rPr>
        <w:t>Reliable high-power charging for confident inter-city travel.  CTA: Explore the Network</w:t>
      </w:r>
    </w:p>
    <w:p>
      <w:pPr>
        <w:spacing w:before="60" w:after="120"/>
        <w:ind w:left="259" w:right="259"/>
        <w:shd w:fill="F4F7FF"/>
      </w:pPr>
      <w:r>
        <w:rPr>
          <w:b/>
          <w:color w:val="1E5EFF"/>
          <w:sz w:val="17"/>
        </w:rPr>
        <w:t>FLEETS</w:t>
        <w:br/>
      </w:r>
      <w:r>
        <w:rPr>
          <w:color w:val="101A2B"/>
          <w:sz w:val="20"/>
        </w:rPr>
        <w:t>Route-based charging, dedicated commercial arrangements and operational visibility for high-utilisation fleets.  CTA: Talk to Fleet Solutions</w:t>
      </w:r>
    </w:p>
    <w:p>
      <w:pPr>
        <w:spacing w:before="60" w:after="120"/>
        <w:ind w:left="259" w:right="259"/>
        <w:shd w:fill="F4F7FF"/>
      </w:pPr>
      <w:r>
        <w:rPr>
          <w:b/>
          <w:color w:val="1E5EFF"/>
          <w:sz w:val="17"/>
        </w:rPr>
        <w:t>COMMERCIAL EVs</w:t>
        <w:br/>
      </w:r>
      <w:r>
        <w:rPr>
          <w:color w:val="101A2B"/>
          <w:sz w:val="20"/>
        </w:rPr>
        <w:t>Selected hubs designed to support the space, access and power requirements of electric trucks and buses.  CTA: Discuss Commercial Vehicle Charging</w:t>
      </w:r>
    </w:p>
    <w:p>
      <w:pPr>
        <w:pStyle w:val="Heading2"/>
      </w:pPr>
      <w:r>
        <w:t>Section 9 — Expansion vision</w:t>
      </w:r>
    </w:p>
    <w:p>
      <w:pPr>
        <w:spacing w:before="60" w:after="120"/>
        <w:ind w:left="259" w:right="259"/>
        <w:shd w:fill="F4F7FF"/>
      </w:pPr>
      <w:r>
        <w:rPr>
          <w:b/>
          <w:color w:val="1E5EFF"/>
          <w:sz w:val="17"/>
        </w:rPr>
        <w:t>H2</w:t>
        <w:br/>
      </w:r>
      <w:r>
        <w:rPr>
          <w:color w:val="101A2B"/>
          <w:sz w:val="20"/>
        </w:rPr>
        <w:t>From key corridors to a connected network.</w:t>
      </w:r>
    </w:p>
    <w:p>
      <w:pPr>
        <w:spacing w:before="60" w:after="120"/>
        <w:ind w:left="259" w:right="259"/>
        <w:shd w:fill="F4F7FF"/>
      </w:pPr>
      <w:r>
        <w:rPr>
          <w:b/>
          <w:color w:val="1E5EFF"/>
          <w:sz w:val="17"/>
        </w:rPr>
        <w:t>BODY</w:t>
        <w:br/>
      </w:r>
      <w:r>
        <w:rPr>
          <w:color w:val="101A2B"/>
          <w:sz w:val="20"/>
        </w:rPr>
        <w:t>Vega Charge’s expansion strategy is to build repeatable, high-power charging hubs across high-demand highway corridors — beginning in Telangana and Andhra Pradesh and expanding as site, power and corridor economics are validated.</w:t>
      </w:r>
    </w:p>
    <w:p>
      <w:r>
        <w:t>If the company has formally approved the 50-station target, show it as an ambition with a time horizon, not as an accomplished metric. Example: ‘Our ambition: 50 highway charging locations over the next three years.’</w:t>
      </w:r>
    </w:p>
    <w:p>
      <w:pPr>
        <w:pStyle w:val="Heading2"/>
      </w:pPr>
      <w:r>
        <w:t>Section 10 — Site partnership</w:t>
      </w:r>
    </w:p>
    <w:p>
      <w:pPr>
        <w:spacing w:before="60" w:after="120"/>
        <w:ind w:left="259" w:right="259"/>
        <w:shd w:fill="F4F7FF"/>
      </w:pPr>
      <w:r>
        <w:rPr>
          <w:b/>
          <w:color w:val="1E5EFF"/>
          <w:sz w:val="17"/>
        </w:rPr>
        <w:t>H2</w:t>
        <w:br/>
      </w:r>
      <w:r>
        <w:rPr>
          <w:color w:val="101A2B"/>
          <w:sz w:val="20"/>
        </w:rPr>
        <w:t>Own land on a high-traffic highway corridor?</w:t>
      </w:r>
    </w:p>
    <w:p>
      <w:pPr>
        <w:spacing w:before="60" w:after="120"/>
        <w:ind w:left="259" w:right="259"/>
        <w:shd w:fill="F4F7FF"/>
      </w:pPr>
      <w:r>
        <w:rPr>
          <w:b/>
          <w:color w:val="1E5EFF"/>
          <w:sz w:val="17"/>
        </w:rPr>
        <w:t>BODY</w:t>
        <w:br/>
      </w:r>
      <w:r>
        <w:rPr>
          <w:color w:val="101A2B"/>
          <w:sz w:val="20"/>
        </w:rPr>
        <w:t>Vega Charge partners with landowners and highway businesses to develop strategically located EV charging hubs. If your property has strong access, frontage and power potential, we want to hear from you.</w:t>
      </w:r>
    </w:p>
    <w:p>
      <w:pPr>
        <w:spacing w:before="60" w:after="120"/>
        <w:ind w:left="259" w:right="259"/>
        <w:shd w:fill="F4F7FF"/>
      </w:pPr>
      <w:r>
        <w:rPr>
          <w:b/>
          <w:color w:val="1E5EFF"/>
          <w:sz w:val="17"/>
        </w:rPr>
        <w:t>CTA</w:t>
        <w:br/>
      </w:r>
      <w:r>
        <w:rPr>
          <w:color w:val="101A2B"/>
          <w:sz w:val="20"/>
        </w:rPr>
        <w:t>Submit Your Site</w:t>
      </w:r>
    </w:p>
    <w:p>
      <w:r>
        <w:t>Lead form fields: Name • mobile • email • state • highway/road • nearest town • Google Maps pin • land area • frontage • ownership status • HT/power availability if known • photos/documents optional.</w:t>
      </w:r>
    </w:p>
    <w:p>
      <w:pPr>
        <w:pStyle w:val="Heading2"/>
      </w:pPr>
      <w:r>
        <w:t>Section 11 — Fleet partnership</w:t>
      </w:r>
    </w:p>
    <w:p>
      <w:pPr>
        <w:spacing w:before="60" w:after="120"/>
        <w:ind w:left="259" w:right="259"/>
        <w:shd w:fill="F4F7FF"/>
      </w:pPr>
      <w:r>
        <w:rPr>
          <w:b/>
          <w:color w:val="1E5EFF"/>
          <w:sz w:val="17"/>
        </w:rPr>
        <w:t>H2</w:t>
        <w:br/>
      </w:r>
      <w:r>
        <w:rPr>
          <w:color w:val="101A2B"/>
          <w:sz w:val="20"/>
        </w:rPr>
        <w:t>Charging designed around your routes.</w:t>
      </w:r>
    </w:p>
    <w:p>
      <w:pPr>
        <w:spacing w:before="60" w:after="120"/>
        <w:ind w:left="259" w:right="259"/>
        <w:shd w:fill="F4F7FF"/>
      </w:pPr>
      <w:r>
        <w:rPr>
          <w:b/>
          <w:color w:val="1E5EFF"/>
          <w:sz w:val="17"/>
        </w:rPr>
        <w:t>BODY</w:t>
        <w:br/>
      </w:r>
      <w:r>
        <w:rPr>
          <w:color w:val="101A2B"/>
          <w:sz w:val="20"/>
        </w:rPr>
        <w:t>For logistics, mobility and corporate fleets, charging infrastructure has to work with route schedules and vehicle utilisation. Vega Charge can structure corridor access, charging plans and commercial arrangements around fleet requirements.</w:t>
      </w:r>
    </w:p>
    <w:p>
      <w:pPr>
        <w:spacing w:before="60" w:after="120"/>
        <w:ind w:left="259" w:right="259"/>
        <w:shd w:fill="F4F7FF"/>
      </w:pPr>
      <w:r>
        <w:rPr>
          <w:b/>
          <w:color w:val="1E5EFF"/>
          <w:sz w:val="17"/>
        </w:rPr>
        <w:t>CTA</w:t>
        <w:br/>
      </w:r>
      <w:r>
        <w:rPr>
          <w:color w:val="101A2B"/>
          <w:sz w:val="20"/>
        </w:rPr>
        <w:t>Request a Fleet Discussion</w:t>
      </w:r>
    </w:p>
    <w:p>
      <w:pPr>
        <w:pStyle w:val="Heading2"/>
      </w:pPr>
      <w:r>
        <w:t>Section 12 — Technology &amp; trust</w:t>
      </w:r>
    </w:p>
    <w:p>
      <w:pPr>
        <w:spacing w:before="60" w:after="120"/>
        <w:ind w:left="259" w:right="259"/>
        <w:shd w:fill="F4F7FF"/>
      </w:pPr>
      <w:r>
        <w:rPr>
          <w:b/>
          <w:color w:val="1E5EFF"/>
          <w:sz w:val="17"/>
        </w:rPr>
        <w:t>H2</w:t>
        <w:br/>
      </w:r>
      <w:r>
        <w:rPr>
          <w:color w:val="101A2B"/>
          <w:sz w:val="20"/>
        </w:rPr>
        <w:t>Infrastructure you can depend on.</w:t>
      </w:r>
    </w:p>
    <w:p>
      <w:pPr>
        <w:spacing w:before="60" w:after="120"/>
        <w:ind w:left="259" w:right="259"/>
        <w:shd w:fill="F4F7FF"/>
      </w:pPr>
      <w:r>
        <w:rPr>
          <w:b/>
          <w:color w:val="1E5EFF"/>
          <w:sz w:val="17"/>
        </w:rPr>
        <w:t>BODY</w:t>
        <w:br/>
      </w:r>
      <w:r>
        <w:rPr>
          <w:color w:val="101A2B"/>
          <w:sz w:val="20"/>
        </w:rPr>
        <w:t>Vega Charge combines proven charging hardware, connected monitoring and operating processes to build a dependable highway charging experience.</w:t>
      </w:r>
    </w:p>
    <w:p>
      <w:r>
        <w:t>Show verified partners/certifications only after written permission to use logos. Once operational, publish uptime methodology and a support SLA rather than broad ‘most reliable’ claims.</w:t>
      </w:r>
    </w:p>
    <w:p>
      <w:pPr>
        <w:pStyle w:val="Heading2"/>
      </w:pPr>
      <w:r>
        <w:t>Section 13 — Final CTA</w:t>
      </w:r>
    </w:p>
    <w:p>
      <w:pPr>
        <w:spacing w:before="60" w:after="120"/>
        <w:ind w:left="259" w:right="259"/>
        <w:shd w:fill="F4F7FF"/>
      </w:pPr>
      <w:r>
        <w:rPr>
          <w:b/>
          <w:color w:val="1E5EFF"/>
          <w:sz w:val="17"/>
        </w:rPr>
        <w:t>H2</w:t>
        <w:br/>
      </w:r>
      <w:r>
        <w:rPr>
          <w:color w:val="101A2B"/>
          <w:sz w:val="20"/>
        </w:rPr>
        <w:t>Let’s build the roads electric mobility needs.</w:t>
      </w:r>
    </w:p>
    <w:p>
      <w:pPr>
        <w:spacing w:before="60" w:after="120"/>
        <w:ind w:left="259" w:right="259"/>
        <w:shd w:fill="F4F7FF"/>
      </w:pPr>
      <w:r>
        <w:rPr>
          <w:b/>
          <w:color w:val="1E5EFF"/>
          <w:sz w:val="17"/>
        </w:rPr>
        <w:t>BUTTONS</w:t>
        <w:br/>
      </w:r>
      <w:r>
        <w:rPr>
          <w:color w:val="101A2B"/>
          <w:sz w:val="20"/>
        </w:rPr>
        <w:t>Explore Our Network  |  Partner With Us</w:t>
      </w:r>
    </w:p>
    <w:p>
      <w:r>
        <w:br w:type="page"/>
      </w:r>
    </w:p>
    <w:p>
      <w:pPr>
        <w:pStyle w:val="Heading1"/>
      </w:pPr>
      <w:r>
        <w:t>4. About Page — Rewrite</w:t>
      </w:r>
    </w:p>
    <w:p>
      <w:r>
        <w:t>The current About page contains visible placeholders for founder bios and makes several broad claims. It should explain the infrastructure thesis, the reason for starting Vega and the team’s ability to execute.</w:t>
      </w:r>
    </w:p>
    <w:p>
      <w:pPr>
        <w:spacing w:before="60" w:after="120"/>
        <w:ind w:left="259" w:right="259"/>
        <w:shd w:fill="F4F7FF"/>
      </w:pPr>
      <w:r>
        <w:rPr>
          <w:b/>
          <w:color w:val="1E5EFF"/>
          <w:sz w:val="17"/>
        </w:rPr>
        <w:t>H1</w:t>
        <w:br/>
      </w:r>
      <w:r>
        <w:rPr>
          <w:color w:val="101A2B"/>
          <w:sz w:val="20"/>
        </w:rPr>
        <w:t>Building the highway infrastructure electric mobility needs.</w:t>
      </w:r>
    </w:p>
    <w:p>
      <w:pPr>
        <w:spacing w:before="60" w:after="120"/>
        <w:ind w:left="259" w:right="259"/>
        <w:shd w:fill="F4F7FF"/>
      </w:pPr>
      <w:r>
        <w:rPr>
          <w:b/>
          <w:color w:val="1E5EFF"/>
          <w:sz w:val="17"/>
        </w:rPr>
        <w:t>INTRO</w:t>
        <w:br/>
      </w:r>
      <w:r>
        <w:rPr>
          <w:color w:val="101A2B"/>
          <w:sz w:val="20"/>
        </w:rPr>
        <w:t>Vega Charge is a technology-led EV charging infrastructure company developing high-power charging hubs along India’s highway corridors. We are starting with routes in Telangana and Andhra Pradesh and building a repeatable model for reliable inter-city charging.</w:t>
      </w:r>
    </w:p>
    <w:p>
      <w:pPr>
        <w:pStyle w:val="Heading2"/>
      </w:pPr>
      <w:r>
        <w:t>Why we started</w:t>
      </w:r>
    </w:p>
    <w:p>
      <w:pPr>
        <w:spacing w:before="60" w:after="120"/>
        <w:ind w:left="259" w:right="259"/>
        <w:shd w:fill="F4F7FF"/>
      </w:pPr>
      <w:r>
        <w:rPr>
          <w:b/>
          <w:color w:val="1E5EFF"/>
          <w:sz w:val="17"/>
        </w:rPr>
        <w:t>COPY</w:t>
        <w:br/>
      </w:r>
      <w:r>
        <w:rPr>
          <w:color w:val="101A2B"/>
          <w:sz w:val="20"/>
        </w:rPr>
        <w:t>For long-distance EV travel, the question is not simply whether a charger exists on a map. Drivers need the right charger in the right location, with dependable power, working equipment, support and a place to stop comfortably. We started Vega Charge to build that complete highway charging experience.</w:t>
      </w:r>
    </w:p>
    <w:p>
      <w:pPr>
        <w:pStyle w:val="Heading2"/>
      </w:pPr>
      <w:r>
        <w:t>Our vision</w:t>
      </w:r>
    </w:p>
    <w:p>
      <w:pPr>
        <w:spacing w:before="60" w:after="120"/>
        <w:ind w:left="259" w:right="259"/>
        <w:shd w:fill="F4F7FF"/>
      </w:pPr>
      <w:r>
        <w:rPr>
          <w:b/>
          <w:color w:val="1E5EFF"/>
          <w:sz w:val="17"/>
        </w:rPr>
        <w:t>COPY</w:t>
        <w:br/>
      </w:r>
      <w:r>
        <w:rPr>
          <w:color w:val="101A2B"/>
          <w:sz w:val="20"/>
        </w:rPr>
        <w:t>To build one of India’s most trusted highway EV charging networks, enabling electric mobility to move confidently between cities.</w:t>
      </w:r>
    </w:p>
    <w:p>
      <w:pPr>
        <w:pStyle w:val="Heading2"/>
      </w:pPr>
      <w:r>
        <w:t>Our mission</w:t>
      </w:r>
    </w:p>
    <w:p>
      <w:pPr>
        <w:spacing w:before="60" w:after="120"/>
        <w:ind w:left="259" w:right="259"/>
        <w:shd w:fill="F4F7FF"/>
      </w:pPr>
      <w:r>
        <w:rPr>
          <w:b/>
          <w:color w:val="1E5EFF"/>
          <w:sz w:val="17"/>
        </w:rPr>
        <w:t>COPY</w:t>
        <w:br/>
      </w:r>
      <w:r>
        <w:rPr>
          <w:color w:val="101A2B"/>
          <w:sz w:val="20"/>
        </w:rPr>
        <w:t>To develop strategically located, high-power charging hubs with dependable operations, driver amenities and scalable infrastructure for passenger and commercial EVs.</w:t>
      </w:r>
    </w:p>
    <w:p>
      <w:pPr>
        <w:pStyle w:val="Heading2"/>
      </w:pPr>
      <w:r>
        <w:t>How we build</w:t>
      </w:r>
    </w:p>
    <w:p>
      <w:pPr>
        <w:pStyle w:val="ListBullet"/>
        <w:spacing w:after="40"/>
      </w:pPr>
      <w:r>
        <w:t>Corridor analysis — traffic, EV adoption, route gaps and competitive supply.</w:t>
      </w:r>
    </w:p>
    <w:p>
      <w:pPr>
        <w:pStyle w:val="ListBullet"/>
        <w:spacing w:after="40"/>
      </w:pPr>
      <w:r>
        <w:t>Site selection — access, visibility, frontage, turning movement and expansion potential.</w:t>
      </w:r>
    </w:p>
    <w:p>
      <w:pPr>
        <w:pStyle w:val="ListBullet"/>
        <w:spacing w:after="40"/>
      </w:pPr>
      <w:r>
        <w:t>Power planning — sanctioned load, HT feasibility, charger mix and future capacity.</w:t>
      </w:r>
    </w:p>
    <w:p>
      <w:pPr>
        <w:pStyle w:val="ListBullet"/>
        <w:spacing w:after="40"/>
      </w:pPr>
      <w:r>
        <w:t>Hub design — charging circulation, safety, waiting, washrooms, food/retail and commercial-vehicle needs.</w:t>
      </w:r>
    </w:p>
    <w:p>
      <w:pPr>
        <w:pStyle w:val="ListBullet"/>
        <w:spacing w:after="40"/>
      </w:pPr>
      <w:r>
        <w:t>Technology — connected chargers, monitoring, payment systems and operational data.</w:t>
      </w:r>
    </w:p>
    <w:p>
      <w:pPr>
        <w:pStyle w:val="ListBullet"/>
        <w:spacing w:after="40"/>
      </w:pPr>
      <w:r>
        <w:t>Operations — preventive maintenance, support, uptime measurement and site management.</w:t>
      </w:r>
    </w:p>
    <w:p>
      <w:pPr>
        <w:pStyle w:val="Heading2"/>
      </w:pPr>
      <w:r>
        <w:t>Leadership</w:t>
      </w:r>
    </w:p>
    <w:p>
      <w:r>
        <w:t>Remove all placeholders before publishing. Each founder card should include: professional title, 60–90 word bio, execution responsibility and LinkedIn link if appropriate. Do not publish ‘Title &amp; bio to follow’ or empty portrait placeholders.</w:t>
      </w:r>
    </w:p>
    <w:p>
      <w:pPr>
        <w:spacing w:before="60" w:after="120"/>
        <w:ind w:left="259" w:right="259"/>
        <w:shd w:fill="F4F7FF"/>
      </w:pPr>
      <w:r>
        <w:rPr>
          <w:b/>
          <w:color w:val="1E5EFF"/>
          <w:sz w:val="17"/>
        </w:rPr>
        <w:t>EXAMPLE TITLE STRUCTURE</w:t>
        <w:br/>
      </w:r>
      <w:r>
        <w:rPr>
          <w:color w:val="101A2B"/>
          <w:sz w:val="20"/>
        </w:rPr>
        <w:t>Preetham Kanatala — Co-founder | Strategy, Network Development &amp; Brand</w:t>
        <w:br/>
        <w:t>Abhilash Gali — Co-founder | Government Relations, Permissions &amp; Operations</w:t>
        <w:br/>
        <w:t>[Use only after the team approves exact titles and responsibilities.]</w:t>
      </w:r>
    </w:p>
    <w:p>
      <w:pPr>
        <w:pStyle w:val="Heading2"/>
      </w:pPr>
      <w:r>
        <w:t>CTA</w:t>
      </w:r>
    </w:p>
    <w:p>
      <w:pPr>
        <w:spacing w:before="60" w:after="120"/>
        <w:ind w:left="259" w:right="259"/>
        <w:shd w:fill="F4F7FF"/>
      </w:pPr>
      <w:r>
        <w:rPr>
          <w:b/>
          <w:color w:val="1E5EFF"/>
          <w:sz w:val="17"/>
        </w:rPr>
        <w:t>COPY</w:t>
        <w:br/>
      </w:r>
      <w:r>
        <w:rPr>
          <w:color w:val="101A2B"/>
          <w:sz w:val="20"/>
        </w:rPr>
        <w:t>Building a site, operating a fleet or exploring a strategic partnership? Let’s talk.</w:t>
        <w:br/>
        <w:t>CTA: Partner With Vega Charge</w:t>
      </w:r>
    </w:p>
    <w:p>
      <w:r>
        <w:br w:type="page"/>
      </w:r>
    </w:p>
    <w:p>
      <w:pPr>
        <w:pStyle w:val="Heading1"/>
      </w:pPr>
      <w:r>
        <w:t>5. Our Network Page — Rewrite &amp; Data Corrections</w:t>
      </w:r>
    </w:p>
    <w:p>
      <w:pPr>
        <w:spacing w:before="60" w:after="120"/>
        <w:ind w:left="259" w:right="259"/>
        <w:shd w:fill="F4F7FF"/>
      </w:pPr>
      <w:r>
        <w:rPr>
          <w:b/>
          <w:color w:val="1E5EFF"/>
          <w:sz w:val="17"/>
        </w:rPr>
        <w:t>H1</w:t>
        <w:br/>
      </w:r>
      <w:r>
        <w:rPr>
          <w:color w:val="101A2B"/>
          <w:sz w:val="20"/>
        </w:rPr>
        <w:t>Charging hubs built around the highway journey.</w:t>
      </w:r>
    </w:p>
    <w:p>
      <w:pPr>
        <w:spacing w:before="60" w:after="120"/>
        <w:ind w:left="259" w:right="259"/>
        <w:shd w:fill="F4F7FF"/>
      </w:pPr>
      <w:r>
        <w:rPr>
          <w:b/>
          <w:color w:val="1E5EFF"/>
          <w:sz w:val="17"/>
        </w:rPr>
        <w:t>INTRO</w:t>
        <w:br/>
      </w:r>
      <w:r>
        <w:rPr>
          <w:color w:val="101A2B"/>
          <w:sz w:val="20"/>
        </w:rPr>
        <w:t>Explore Vega Charge locations across our developing highway network. Each station page shows its current status, planned or live charging configuration, amenities and route information.</w:t>
      </w:r>
    </w:p>
    <w:p>
      <w:pPr>
        <w:pStyle w:val="Heading2"/>
      </w:pPr>
      <w:r>
        <w:t>Critical corrections on current page</w:t>
      </w:r>
    </w:p>
    <w:p>
      <w:pPr>
        <w:pStyle w:val="ListBullet"/>
        <w:spacing w:after="40"/>
      </w:pPr>
      <w:r>
        <w:t>Current page says 120–240 kW at every station, while the homepage and Solutions page use 180–240 kW, and Narketpalle appears as both 3 × 120 kW and 3 × 180 kW. Reconcile before publishing.</w:t>
      </w:r>
    </w:p>
    <w:p>
      <w:pPr>
        <w:pStyle w:val="ListBullet"/>
        <w:spacing w:after="40"/>
      </w:pPr>
      <w:r>
        <w:t>Current station list contains two ‘Tekmatla’ entries with different Station IDs and site areas. Confirm whether these are separate directional sites or a naming duplication and label them clearly.</w:t>
      </w:r>
    </w:p>
    <w:p>
      <w:pPr>
        <w:pStyle w:val="ListBullet"/>
        <w:spacing w:after="40"/>
      </w:pPr>
      <w:r>
        <w:t>Traffic figures such as &gt;40,000 vehicles/day and &gt;20,000 vehicles/day should have an internal source/date. Consider adding ‘estimated corridor traffic’ and a source note if publicly shown.</w:t>
      </w:r>
    </w:p>
    <w:p>
      <w:pPr>
        <w:pStyle w:val="ListBullet"/>
        <w:spacing w:after="40"/>
      </w:pPr>
      <w:r>
        <w:t>Opening Sep/Oct 2026 should only remain if the launch schedule is still realistic. If uncertain, use ‘Target opening: Q4 2026’ or ‘Coming Soon.’</w:t>
      </w:r>
    </w:p>
    <w:p>
      <w:pPr>
        <w:pStyle w:val="ListBullet"/>
        <w:spacing w:after="40"/>
      </w:pPr>
      <w:r>
        <w:t>Replace ‘Live soon’ with the standardized status taxonomy.</w:t>
      </w:r>
    </w:p>
    <w:p>
      <w:pPr>
        <w:pStyle w:val="ListBullet"/>
        <w:spacing w:after="40"/>
      </w:pPr>
      <w:r>
        <w:t>Do not promise a children’s play area, lounge, Wi-Fi, retail or 24×7 staffing ‘at every station’ unless that is a network standard and funded for every format.</w:t>
      </w:r>
    </w:p>
    <w:p>
      <w:pPr>
        <w:pStyle w:val="Heading2"/>
      </w:pPr>
      <w:r>
        <w:t>Map experience</w:t>
      </w:r>
    </w:p>
    <w:p>
      <w:pPr>
        <w:pStyle w:val="ListBullet"/>
        <w:spacing w:after="40"/>
      </w:pPr>
      <w:r>
        <w:t>Default map should show the corridor context, not only individual pins.</w:t>
      </w:r>
    </w:p>
    <w:p>
      <w:pPr>
        <w:pStyle w:val="ListBullet"/>
        <w:spacing w:after="40"/>
      </w:pPr>
      <w:r>
        <w:t>Use status-specific pin styles with a visible legend.</w:t>
      </w:r>
    </w:p>
    <w:p>
      <w:pPr>
        <w:pStyle w:val="ListBullet"/>
        <w:spacing w:after="40"/>
      </w:pPr>
      <w:r>
        <w:t>Clicking a pin should open a concise card: station name, status, direction, charger configuration, opening/live status, amenities and route button.</w:t>
      </w:r>
    </w:p>
    <w:p>
      <w:pPr>
        <w:pStyle w:val="ListBullet"/>
        <w:spacing w:after="40"/>
      </w:pPr>
      <w:r>
        <w:t>For live sites, add ‘Navigate’ and ‘Check availability’ when real-time charger status exists.</w:t>
      </w:r>
    </w:p>
    <w:p>
      <w:pPr>
        <w:pStyle w:val="ListBullet"/>
        <w:spacing w:after="40"/>
      </w:pPr>
      <w:r>
        <w:t>For non-live sites, use ‘View project’ rather than ‘Find charger.’</w:t>
      </w:r>
    </w:p>
    <w:p>
      <w:pPr>
        <w:pStyle w:val="Heading2"/>
      </w:pPr>
      <w:r>
        <w:t>Station detail template</w:t>
      </w:r>
    </w:p>
    <w:p>
      <w:pPr>
        <w:spacing w:before="60" w:after="120"/>
        <w:ind w:left="259" w:right="259"/>
        <w:shd w:fill="F4F7FF"/>
      </w:pPr>
      <w:r>
        <w:rPr>
          <w:b/>
          <w:color w:val="1E5EFF"/>
          <w:sz w:val="17"/>
        </w:rPr>
        <w:t>TEMPLATE</w:t>
        <w:br/>
      </w:r>
      <w:r>
        <w:rPr>
          <w:color w:val="101A2B"/>
          <w:sz w:val="20"/>
        </w:rPr>
        <w:t>VC 001 • Narketpalle</w:t>
        <w:br/>
        <w:t>STATUS: COMING SOON</w:t>
        <w:br/>
        <w:t>CORRIDOR: NH-65 • Hyderabad ↔ Vijayawada</w:t>
        <w:br/>
        <w:t>DIRECTION / ACCESS: [verified]</w:t>
        <w:br/>
        <w:t>TARGET OPENING: [verified]</w:t>
        <w:br/>
        <w:t>PLANNED CHARGING: [verified quantity × kW + connector types]</w:t>
        <w:br/>
        <w:t>SITE FORMAT: Highway charging hub</w:t>
        <w:br/>
        <w:t>AMENITIES: [verified only]</w:t>
        <w:br/>
        <w:t>COMMERCIAL VEHICLES: [Yes / No / Planned]</w:t>
        <w:br/>
        <w:t>MAP: View Location</w:t>
        <w:br/>
        <w:t>NOTE: Planned specifications are subject to final commissioning.</w:t>
      </w:r>
    </w:p>
    <w:p>
      <w:pPr>
        <w:pStyle w:val="Heading2"/>
      </w:pPr>
      <w:r>
        <w:t>Network roadmap</w:t>
      </w:r>
    </w:p>
    <w:p>
      <w:pPr>
        <w:spacing w:before="60" w:after="120"/>
        <w:ind w:left="259" w:right="259"/>
        <w:shd w:fill="F4F7FF"/>
      </w:pPr>
      <w:r>
        <w:rPr>
          <w:b/>
          <w:color w:val="1E5EFF"/>
          <w:sz w:val="17"/>
        </w:rPr>
        <w:t>H2</w:t>
        <w:br/>
      </w:r>
      <w:r>
        <w:rPr>
          <w:color w:val="101A2B"/>
          <w:sz w:val="20"/>
        </w:rPr>
        <w:t>Building corridor density before geographic breadth.</w:t>
      </w:r>
    </w:p>
    <w:p>
      <w:pPr>
        <w:spacing w:before="60" w:after="120"/>
        <w:ind w:left="259" w:right="259"/>
        <w:shd w:fill="F4F7FF"/>
      </w:pPr>
      <w:r>
        <w:rPr>
          <w:b/>
          <w:color w:val="1E5EFF"/>
          <w:sz w:val="17"/>
        </w:rPr>
        <w:t>BODY</w:t>
        <w:br/>
      </w:r>
      <w:r>
        <w:rPr>
          <w:color w:val="101A2B"/>
          <w:sz w:val="20"/>
        </w:rPr>
        <w:t>Our approach is to strengthen high-demand routes with strategically spaced hubs, then connect those corridors into a wider network. This creates more useful coverage for drivers and more predictable infrastructure for fleets.</w:t>
      </w:r>
    </w:p>
    <w:p>
      <w:r>
        <w:br w:type="page"/>
      </w:r>
    </w:p>
    <w:p>
      <w:pPr>
        <w:pStyle w:val="Heading1"/>
      </w:pPr>
      <w:r>
        <w:t>6. Solutions Page — Rewrite</w:t>
      </w:r>
    </w:p>
    <w:p>
      <w:pPr>
        <w:spacing w:before="60" w:after="120"/>
        <w:ind w:left="259" w:right="259"/>
        <w:shd w:fill="F4F7FF"/>
      </w:pPr>
      <w:r>
        <w:rPr>
          <w:b/>
          <w:color w:val="1E5EFF"/>
          <w:sz w:val="17"/>
        </w:rPr>
        <w:t>H1</w:t>
        <w:br/>
      </w:r>
      <w:r>
        <w:rPr>
          <w:color w:val="101A2B"/>
          <w:sz w:val="20"/>
        </w:rPr>
        <w:t>Charging infrastructure for highways, fleets and commercial destinations.</w:t>
      </w:r>
    </w:p>
    <w:p>
      <w:pPr>
        <w:spacing w:before="60" w:after="120"/>
        <w:ind w:left="259" w:right="259"/>
        <w:shd w:fill="F4F7FF"/>
      </w:pPr>
      <w:r>
        <w:rPr>
          <w:b/>
          <w:color w:val="1E5EFF"/>
          <w:sz w:val="17"/>
        </w:rPr>
        <w:t>INTRO</w:t>
        <w:br/>
      </w:r>
      <w:r>
        <w:rPr>
          <w:color w:val="101A2B"/>
          <w:sz w:val="20"/>
        </w:rPr>
        <w:t>Vega Charge develops and operates charging solutions around real mobility needs — from inter-city passenger travel to high-utilisation fleets and destination charging.</w:t>
      </w:r>
    </w:p>
    <w:p>
      <w:pPr>
        <w:pStyle w:val="Heading2"/>
      </w:pPr>
      <w:r>
        <w:t>Highway Charging</w:t>
      </w:r>
    </w:p>
    <w:p>
      <w:pPr>
        <w:spacing w:before="60" w:after="120"/>
        <w:ind w:left="259" w:right="259"/>
        <w:shd w:fill="F4F7FF"/>
      </w:pPr>
      <w:r>
        <w:rPr>
          <w:b/>
          <w:color w:val="1E5EFF"/>
          <w:sz w:val="17"/>
        </w:rPr>
        <w:t>H2</w:t>
        <w:br/>
      </w:r>
      <w:r>
        <w:rPr>
          <w:color w:val="101A2B"/>
          <w:sz w:val="20"/>
        </w:rPr>
        <w:t>High-power charging where long-distance journeys need it.</w:t>
      </w:r>
    </w:p>
    <w:p>
      <w:pPr>
        <w:spacing w:before="60" w:after="120"/>
        <w:ind w:left="259" w:right="259"/>
        <w:shd w:fill="F4F7FF"/>
      </w:pPr>
      <w:r>
        <w:rPr>
          <w:b/>
          <w:color w:val="1E5EFF"/>
          <w:sz w:val="17"/>
        </w:rPr>
        <w:t>BODY</w:t>
        <w:br/>
      </w:r>
      <w:r>
        <w:rPr>
          <w:color w:val="101A2B"/>
          <w:sz w:val="20"/>
        </w:rPr>
        <w:t>Our highway hubs combine strategically located DC charging with the operating support and amenities needed for dependable inter-city EV travel.</w:t>
      </w:r>
    </w:p>
    <w:p>
      <w:pPr>
        <w:pStyle w:val="ListBullet"/>
        <w:spacing w:after="40"/>
      </w:pPr>
      <w:r>
        <w:t>High-power DC charging with site-specific configurations</w:t>
      </w:r>
    </w:p>
    <w:p>
      <w:pPr>
        <w:pStyle w:val="ListBullet"/>
        <w:spacing w:after="40"/>
      </w:pPr>
      <w:r>
        <w:t>Multi-vehicle charging capability</w:t>
      </w:r>
    </w:p>
    <w:p>
      <w:pPr>
        <w:pStyle w:val="ListBullet"/>
        <w:spacing w:after="40"/>
      </w:pPr>
      <w:r>
        <w:t>Connected monitoring and remote diagnostics</w:t>
      </w:r>
    </w:p>
    <w:p>
      <w:pPr>
        <w:pStyle w:val="ListBullet"/>
        <w:spacing w:after="40"/>
      </w:pPr>
      <w:r>
        <w:t>Driver amenities at selected hub formats</w:t>
      </w:r>
    </w:p>
    <w:p>
      <w:pPr>
        <w:pStyle w:val="ListBullet"/>
        <w:spacing w:after="40"/>
      </w:pPr>
      <w:r>
        <w:t>Scalable electrical and civil design for future demand</w:t>
      </w:r>
    </w:p>
    <w:p>
      <w:pPr>
        <w:spacing w:before="60" w:after="120"/>
        <w:ind w:left="259" w:right="259"/>
        <w:shd w:fill="F4F7FF"/>
      </w:pPr>
      <w:r>
        <w:rPr>
          <w:b/>
          <w:color w:val="1E5EFF"/>
          <w:sz w:val="17"/>
        </w:rPr>
        <w:t>CTA</w:t>
        <w:br/>
      </w:r>
      <w:r>
        <w:rPr>
          <w:color w:val="101A2B"/>
          <w:sz w:val="20"/>
        </w:rPr>
        <w:t>Explore Our Network</w:t>
      </w:r>
    </w:p>
    <w:p>
      <w:pPr>
        <w:pStyle w:val="Heading2"/>
      </w:pPr>
      <w:r>
        <w:t>Commercial Charging</w:t>
      </w:r>
    </w:p>
    <w:p>
      <w:pPr>
        <w:spacing w:before="60" w:after="120"/>
        <w:ind w:left="259" w:right="259"/>
        <w:shd w:fill="F4F7FF"/>
      </w:pPr>
      <w:r>
        <w:rPr>
          <w:b/>
          <w:color w:val="1E5EFF"/>
          <w:sz w:val="17"/>
        </w:rPr>
        <w:t>H2</w:t>
        <w:br/>
      </w:r>
      <w:r>
        <w:rPr>
          <w:color w:val="101A2B"/>
          <w:sz w:val="20"/>
        </w:rPr>
        <w:t>Turn the right destination into a charging destination.</w:t>
      </w:r>
    </w:p>
    <w:p>
      <w:pPr>
        <w:spacing w:before="60" w:after="120"/>
        <w:ind w:left="259" w:right="259"/>
        <w:shd w:fill="F4F7FF"/>
      </w:pPr>
      <w:r>
        <w:rPr>
          <w:b/>
          <w:color w:val="1E5EFF"/>
          <w:sz w:val="17"/>
        </w:rPr>
        <w:t>BODY</w:t>
        <w:br/>
      </w:r>
      <w:r>
        <w:rPr>
          <w:color w:val="101A2B"/>
          <w:sz w:val="20"/>
        </w:rPr>
        <w:t>For hotels, restaurants, commercial properties, fuel/energy sites and highway businesses, Vega Charge can evaluate the charging opportunity and structure a solution around dwell time, traffic, power availability and commercial objectives.</w:t>
      </w:r>
    </w:p>
    <w:p>
      <w:pPr>
        <w:pStyle w:val="ListBullet"/>
        <w:spacing w:after="40"/>
      </w:pPr>
      <w:r>
        <w:t>Site and demand assessment</w:t>
      </w:r>
    </w:p>
    <w:p>
      <w:pPr>
        <w:pStyle w:val="ListBullet"/>
        <w:spacing w:after="40"/>
      </w:pPr>
      <w:r>
        <w:t>AC/DC charger mix recommendation</w:t>
      </w:r>
    </w:p>
    <w:p>
      <w:pPr>
        <w:pStyle w:val="ListBullet"/>
        <w:spacing w:after="40"/>
      </w:pPr>
      <w:r>
        <w:t>Installation and commissioning</w:t>
      </w:r>
    </w:p>
    <w:p>
      <w:pPr>
        <w:pStyle w:val="ListBullet"/>
        <w:spacing w:after="40"/>
      </w:pPr>
      <w:r>
        <w:t>Monitoring and operations options</w:t>
      </w:r>
    </w:p>
    <w:p>
      <w:pPr>
        <w:pStyle w:val="ListBullet"/>
        <w:spacing w:after="40"/>
      </w:pPr>
      <w:r>
        <w:t>Commercial models based on project structure</w:t>
      </w:r>
    </w:p>
    <w:p>
      <w:r>
        <w:t>Avoid promising revenue-sharing on every project unless this is an approved commercial product.</w:t>
      </w:r>
    </w:p>
    <w:p>
      <w:pPr>
        <w:spacing w:before="60" w:after="120"/>
        <w:ind w:left="259" w:right="259"/>
        <w:shd w:fill="F4F7FF"/>
      </w:pPr>
      <w:r>
        <w:rPr>
          <w:b/>
          <w:color w:val="1E5EFF"/>
          <w:sz w:val="17"/>
        </w:rPr>
        <w:t>CTA</w:t>
        <w:br/>
      </w:r>
      <w:r>
        <w:rPr>
          <w:color w:val="101A2B"/>
          <w:sz w:val="20"/>
        </w:rPr>
        <w:t>Discuss a Commercial Site</w:t>
      </w:r>
    </w:p>
    <w:p>
      <w:pPr>
        <w:pStyle w:val="Heading2"/>
      </w:pPr>
      <w:r>
        <w:t>Fleet Charging</w:t>
      </w:r>
    </w:p>
    <w:p>
      <w:pPr>
        <w:spacing w:before="60" w:after="120"/>
        <w:ind w:left="259" w:right="259"/>
        <w:shd w:fill="F4F7FF"/>
      </w:pPr>
      <w:r>
        <w:rPr>
          <w:b/>
          <w:color w:val="1E5EFF"/>
          <w:sz w:val="17"/>
        </w:rPr>
        <w:t>H2</w:t>
        <w:br/>
      </w:r>
      <w:r>
        <w:rPr>
          <w:color w:val="101A2B"/>
          <w:sz w:val="20"/>
        </w:rPr>
        <w:t>Charging designed around utilisation, routes and turnaround time.</w:t>
      </w:r>
    </w:p>
    <w:p>
      <w:pPr>
        <w:spacing w:before="60" w:after="120"/>
        <w:ind w:left="259" w:right="259"/>
        <w:shd w:fill="F4F7FF"/>
      </w:pPr>
      <w:r>
        <w:rPr>
          <w:b/>
          <w:color w:val="1E5EFF"/>
          <w:sz w:val="17"/>
        </w:rPr>
        <w:t>BODY</w:t>
        <w:br/>
      </w:r>
      <w:r>
        <w:rPr>
          <w:color w:val="101A2B"/>
          <w:sz w:val="20"/>
        </w:rPr>
        <w:t>Vega Charge works with logistics, mobility, corporate and commercial fleets to plan charging around route coverage, vehicle schedules, energy requirements and operational uptime.</w:t>
      </w:r>
    </w:p>
    <w:p>
      <w:pPr>
        <w:pStyle w:val="ListBullet"/>
        <w:spacing w:after="40"/>
      </w:pPr>
      <w:r>
        <w:t>Route and energy-demand assessment</w:t>
      </w:r>
    </w:p>
    <w:p>
      <w:pPr>
        <w:pStyle w:val="ListBullet"/>
        <w:spacing w:after="40"/>
      </w:pPr>
      <w:r>
        <w:t>Dedicated or contracted charging arrangements where feasible</w:t>
      </w:r>
    </w:p>
    <w:p>
      <w:pPr>
        <w:pStyle w:val="ListBullet"/>
        <w:spacing w:after="40"/>
      </w:pPr>
      <w:r>
        <w:t>High-power charging for reduced turnaround time</w:t>
      </w:r>
    </w:p>
    <w:p>
      <w:pPr>
        <w:pStyle w:val="ListBullet"/>
        <w:spacing w:after="40"/>
      </w:pPr>
      <w:r>
        <w:t>Session and energy reporting</w:t>
      </w:r>
    </w:p>
    <w:p>
      <w:pPr>
        <w:pStyle w:val="ListBullet"/>
        <w:spacing w:after="40"/>
      </w:pPr>
      <w:r>
        <w:t>Commercial plans based on volume and operating requirements</w:t>
      </w:r>
    </w:p>
    <w:p>
      <w:pPr>
        <w:spacing w:before="60" w:after="120"/>
        <w:ind w:left="259" w:right="259"/>
        <w:shd w:fill="F4F7FF"/>
      </w:pPr>
      <w:r>
        <w:rPr>
          <w:b/>
          <w:color w:val="1E5EFF"/>
          <w:sz w:val="17"/>
        </w:rPr>
        <w:t>CTA</w:t>
        <w:br/>
      </w:r>
      <w:r>
        <w:rPr>
          <w:color w:val="101A2B"/>
          <w:sz w:val="20"/>
        </w:rPr>
        <w:t>Request a Fleet Discussion</w:t>
      </w:r>
    </w:p>
    <w:p>
      <w:pPr>
        <w:pStyle w:val="Heading2"/>
      </w:pPr>
      <w:r>
        <w:t>Remove or change the current demo dashboard</w:t>
      </w:r>
    </w:p>
    <w:p>
      <w:r>
        <w:t>The current Solutions page displays ‘Fleet Dashboard Live’, 47 sessions today, 2,140 kWh and bay utilisation values. If these are demo values, they should not appear as live operational data.</w:t>
      </w:r>
    </w:p>
    <w:p>
      <w:pPr>
        <w:spacing w:before="60" w:after="120"/>
        <w:ind w:left="259" w:right="259"/>
        <w:shd w:fill="F4F7FF"/>
      </w:pPr>
      <w:r>
        <w:rPr>
          <w:b/>
          <w:color w:val="1E5EFF"/>
          <w:sz w:val="17"/>
        </w:rPr>
        <w:t>SAFER VERSION</w:t>
        <w:br/>
      </w:r>
      <w:r>
        <w:rPr>
          <w:color w:val="101A2B"/>
          <w:sz w:val="20"/>
        </w:rPr>
        <w:t>FLEET OPERATIONS DASHBOARD — ILLUSTRATIVE</w:t>
        <w:br/>
        <w:t>Track charging sessions, energy consumption, vehicle activity and site utilisation from one operating view.</w:t>
        <w:br/>
        <w:t>[Use clearly labeled sample data, or replace the module with a product mock-up until real integrations are live.]</w:t>
      </w:r>
    </w:p>
    <w:p>
      <w:r>
        <w:br w:type="page"/>
      </w:r>
    </w:p>
    <w:p>
      <w:pPr>
        <w:pStyle w:val="Heading1"/>
      </w:pPr>
      <w:r>
        <w:t>7. Partner With Us Page — Rebuild Around Lead Type</w:t>
      </w:r>
    </w:p>
    <w:p>
      <w:pPr>
        <w:spacing w:before="60" w:after="120"/>
        <w:ind w:left="259" w:right="259"/>
        <w:shd w:fill="F4F7FF"/>
      </w:pPr>
      <w:r>
        <w:rPr>
          <w:b/>
          <w:color w:val="1E5EFF"/>
          <w:sz w:val="17"/>
        </w:rPr>
        <w:t>H1</w:t>
        <w:br/>
      </w:r>
      <w:r>
        <w:rPr>
          <w:color w:val="101A2B"/>
          <w:sz w:val="20"/>
        </w:rPr>
        <w:t>Build the next highway charging corridor with us.</w:t>
      </w:r>
    </w:p>
    <w:p>
      <w:pPr>
        <w:spacing w:before="60" w:after="120"/>
        <w:ind w:left="259" w:right="259"/>
        <w:shd w:fill="F4F7FF"/>
      </w:pPr>
      <w:r>
        <w:rPr>
          <w:b/>
          <w:color w:val="1E5EFF"/>
          <w:sz w:val="17"/>
        </w:rPr>
        <w:t>INTRO</w:t>
        <w:br/>
      </w:r>
      <w:r>
        <w:rPr>
          <w:color w:val="101A2B"/>
          <w:sz w:val="20"/>
        </w:rPr>
        <w:t>Whether you operate a fleet, own a strategic site, run a commercial destination or want to explore a strategic relationship, choose the path that best describes you.</w:t>
      </w:r>
    </w:p>
    <w:p>
      <w:pPr>
        <w:pStyle w:val="Heading2"/>
      </w:pPr>
      <w:r>
        <w:t>Four lead paths</w:t>
      </w:r>
    </w:p>
    <w:p>
      <w:pPr>
        <w:pStyle w:val="Heading3"/>
      </w:pPr>
      <w:r>
        <w:t>Fleet Operators</w:t>
      </w:r>
    </w:p>
    <w:p>
      <w:r>
        <w:t>Tell us your routes, vehicle mix, daily kilometres, charging windows and expected energy demand.</w:t>
      </w:r>
    </w:p>
    <w:p>
      <w:pPr>
        <w:spacing w:before="60" w:after="120"/>
        <w:ind w:left="259" w:right="259"/>
        <w:shd w:fill="F4F7FF"/>
      </w:pPr>
      <w:r>
        <w:rPr>
          <w:b/>
          <w:color w:val="1E5EFF"/>
          <w:sz w:val="17"/>
        </w:rPr>
        <w:t>CTA</w:t>
        <w:br/>
      </w:r>
      <w:r>
        <w:rPr>
          <w:color w:val="101A2B"/>
          <w:sz w:val="20"/>
        </w:rPr>
        <w:t>Discuss Fleet Charging</w:t>
      </w:r>
    </w:p>
    <w:p>
      <w:pPr>
        <w:pStyle w:val="Heading3"/>
      </w:pPr>
      <w:r>
        <w:t>Site &amp; Land Partners</w:t>
      </w:r>
    </w:p>
    <w:p>
      <w:r>
        <w:t>Submit highway location, frontage, land area, access, ownership and map pin.</w:t>
      </w:r>
    </w:p>
    <w:p>
      <w:pPr>
        <w:spacing w:before="60" w:after="120"/>
        <w:ind w:left="259" w:right="259"/>
        <w:shd w:fill="F4F7FF"/>
      </w:pPr>
      <w:r>
        <w:rPr>
          <w:b/>
          <w:color w:val="1E5EFF"/>
          <w:sz w:val="17"/>
        </w:rPr>
        <w:t>CTA</w:t>
        <w:br/>
      </w:r>
      <w:r>
        <w:rPr>
          <w:color w:val="101A2B"/>
          <w:sz w:val="20"/>
        </w:rPr>
        <w:t>Submit a Site</w:t>
      </w:r>
    </w:p>
    <w:p>
      <w:pPr>
        <w:pStyle w:val="Heading3"/>
      </w:pPr>
      <w:r>
        <w:t>Commercial Hosts</w:t>
      </w:r>
    </w:p>
    <w:p>
      <w:r>
        <w:t>Tell us about your hotel, restaurant, retail, fuel/energy or commercial property and expected dwell time.</w:t>
      </w:r>
    </w:p>
    <w:p>
      <w:pPr>
        <w:spacing w:before="60" w:after="120"/>
        <w:ind w:left="259" w:right="259"/>
        <w:shd w:fill="F4F7FF"/>
      </w:pPr>
      <w:r>
        <w:rPr>
          <w:b/>
          <w:color w:val="1E5EFF"/>
          <w:sz w:val="17"/>
        </w:rPr>
        <w:t>CTA</w:t>
        <w:br/>
      </w:r>
      <w:r>
        <w:rPr>
          <w:color w:val="101A2B"/>
          <w:sz w:val="20"/>
        </w:rPr>
        <w:t>Evaluate My Location</w:t>
      </w:r>
    </w:p>
    <w:p>
      <w:pPr>
        <w:pStyle w:val="Heading3"/>
      </w:pPr>
      <w:r>
        <w:t>Strategic / Investor Enquiries</w:t>
      </w:r>
    </w:p>
    <w:p>
      <w:r>
        <w:t>Share your organisation, interest area and preferred discussion.</w:t>
      </w:r>
    </w:p>
    <w:p>
      <w:pPr>
        <w:spacing w:before="60" w:after="120"/>
        <w:ind w:left="259" w:right="259"/>
        <w:shd w:fill="F4F7FF"/>
      </w:pPr>
      <w:r>
        <w:rPr>
          <w:b/>
          <w:color w:val="1E5EFF"/>
          <w:sz w:val="17"/>
        </w:rPr>
        <w:t>CTA</w:t>
        <w:br/>
      </w:r>
      <w:r>
        <w:rPr>
          <w:color w:val="101A2B"/>
          <w:sz w:val="20"/>
        </w:rPr>
        <w:t>Contact Corporate Development</w:t>
      </w:r>
    </w:p>
    <w:p>
      <w:pPr>
        <w:pStyle w:val="Heading2"/>
      </w:pPr>
      <w:r>
        <w:t>Form logic</w:t>
      </w:r>
    </w:p>
    <w:p>
      <w:r>
        <w:t>The form should dynamically change questions after the visitor selects the lead type. The current partner page appears to show site-location questions even when entered from Fleet or Investor links; that should be corrected.</w:t>
      </w:r>
    </w:p>
    <w:p>
      <w:pPr>
        <w:pStyle w:val="Heading3"/>
      </w:pPr>
      <w:r>
        <w:t>Site partner qualification fields</w:t>
      </w:r>
    </w:p>
    <w:p>
      <w:pPr>
        <w:pStyle w:val="ListBullet"/>
        <w:spacing w:after="40"/>
      </w:pPr>
      <w:r>
        <w:t>Owner/representative name</w:t>
      </w:r>
    </w:p>
    <w:p>
      <w:pPr>
        <w:pStyle w:val="ListBullet"/>
        <w:spacing w:after="40"/>
      </w:pPr>
      <w:r>
        <w:t>Mobile + email</w:t>
      </w:r>
    </w:p>
    <w:p>
      <w:pPr>
        <w:pStyle w:val="ListBullet"/>
        <w:spacing w:after="40"/>
      </w:pPr>
      <w:r>
        <w:t>State</w:t>
      </w:r>
    </w:p>
    <w:p>
      <w:pPr>
        <w:pStyle w:val="ListBullet"/>
        <w:spacing w:after="40"/>
      </w:pPr>
      <w:r>
        <w:t>Highway/route</w:t>
      </w:r>
    </w:p>
    <w:p>
      <w:pPr>
        <w:pStyle w:val="ListBullet"/>
        <w:spacing w:after="40"/>
      </w:pPr>
      <w:r>
        <w:t>Nearest town/landmark</w:t>
      </w:r>
    </w:p>
    <w:p>
      <w:pPr>
        <w:pStyle w:val="ListBullet"/>
        <w:spacing w:after="40"/>
      </w:pPr>
      <w:r>
        <w:t>Google Maps pin</w:t>
      </w:r>
    </w:p>
    <w:p>
      <w:pPr>
        <w:pStyle w:val="ListBullet"/>
        <w:spacing w:after="40"/>
      </w:pPr>
      <w:r>
        <w:t>Land area</w:t>
      </w:r>
    </w:p>
    <w:p>
      <w:pPr>
        <w:pStyle w:val="ListBullet"/>
        <w:spacing w:after="40"/>
      </w:pPr>
      <w:r>
        <w:t>Road frontage</w:t>
      </w:r>
    </w:p>
    <w:p>
      <w:pPr>
        <w:pStyle w:val="ListBullet"/>
        <w:spacing w:after="40"/>
      </w:pPr>
      <w:r>
        <w:t>Entry/exit feasibility</w:t>
      </w:r>
    </w:p>
    <w:p>
      <w:pPr>
        <w:pStyle w:val="ListBullet"/>
        <w:spacing w:after="40"/>
      </w:pPr>
      <w:r>
        <w:t>Ownership status</w:t>
      </w:r>
    </w:p>
    <w:p>
      <w:pPr>
        <w:pStyle w:val="ListBullet"/>
        <w:spacing w:after="40"/>
      </w:pPr>
      <w:r>
        <w:t>Power/HT availability if known</w:t>
      </w:r>
    </w:p>
    <w:p>
      <w:pPr>
        <w:pStyle w:val="ListBullet"/>
        <w:spacing w:after="40"/>
      </w:pPr>
      <w:r>
        <w:t>Existing commercial activity</w:t>
      </w:r>
    </w:p>
    <w:p>
      <w:pPr>
        <w:pStyle w:val="ListBullet"/>
        <w:spacing w:after="40"/>
      </w:pPr>
      <w:r>
        <w:t>Photos/documents optional</w:t>
      </w:r>
    </w:p>
    <w:p>
      <w:pPr>
        <w:pStyle w:val="Heading3"/>
      </w:pPr>
      <w:r>
        <w:t>Fleet qualification fields</w:t>
      </w:r>
    </w:p>
    <w:p>
      <w:pPr>
        <w:pStyle w:val="ListBullet"/>
        <w:spacing w:after="40"/>
      </w:pPr>
      <w:r>
        <w:t>Company</w:t>
      </w:r>
    </w:p>
    <w:p>
      <w:pPr>
        <w:pStyle w:val="ListBullet"/>
        <w:spacing w:after="40"/>
      </w:pPr>
      <w:r>
        <w:t>Contact</w:t>
      </w:r>
    </w:p>
    <w:p>
      <w:pPr>
        <w:pStyle w:val="ListBullet"/>
        <w:spacing w:after="40"/>
      </w:pPr>
      <w:r>
        <w:t>Fleet type</w:t>
      </w:r>
    </w:p>
    <w:p>
      <w:pPr>
        <w:pStyle w:val="ListBullet"/>
        <w:spacing w:after="40"/>
      </w:pPr>
      <w:r>
        <w:t>Number of EVs today / planned</w:t>
      </w:r>
    </w:p>
    <w:p>
      <w:pPr>
        <w:pStyle w:val="ListBullet"/>
        <w:spacing w:after="40"/>
      </w:pPr>
      <w:r>
        <w:t>Vehicle models</w:t>
      </w:r>
    </w:p>
    <w:p>
      <w:pPr>
        <w:pStyle w:val="ListBullet"/>
        <w:spacing w:after="40"/>
      </w:pPr>
      <w:r>
        <w:t>Primary routes</w:t>
      </w:r>
    </w:p>
    <w:p>
      <w:pPr>
        <w:pStyle w:val="ListBullet"/>
        <w:spacing w:after="40"/>
      </w:pPr>
      <w:r>
        <w:t>Daily km</w:t>
      </w:r>
    </w:p>
    <w:p>
      <w:pPr>
        <w:pStyle w:val="ListBullet"/>
        <w:spacing w:after="40"/>
      </w:pPr>
      <w:r>
        <w:t>Typical charging windows</w:t>
      </w:r>
    </w:p>
    <w:p>
      <w:pPr>
        <w:pStyle w:val="ListBullet"/>
        <w:spacing w:after="40"/>
      </w:pPr>
      <w:r>
        <w:t>Depot locations</w:t>
      </w:r>
    </w:p>
    <w:p>
      <w:pPr>
        <w:pStyle w:val="ListBullet"/>
        <w:spacing w:after="40"/>
      </w:pPr>
      <w:r>
        <w:t>Expected monthly kWh if known</w:t>
      </w:r>
    </w:p>
    <w:p>
      <w:pPr>
        <w:pStyle w:val="ListBullet"/>
        <w:spacing w:after="40"/>
      </w:pPr>
      <w:r>
        <w:t>Need public corridor charging / depot charging / both</w:t>
      </w:r>
    </w:p>
    <w:p>
      <w:pPr>
        <w:pStyle w:val="Heading3"/>
      </w:pPr>
      <w:r>
        <w:t>Strategic enquiry fields</w:t>
      </w:r>
    </w:p>
    <w:p>
      <w:pPr>
        <w:pStyle w:val="ListBullet"/>
        <w:spacing w:after="40"/>
      </w:pPr>
      <w:r>
        <w:t>Organisation</w:t>
      </w:r>
    </w:p>
    <w:p>
      <w:pPr>
        <w:pStyle w:val="ListBullet"/>
        <w:spacing w:after="40"/>
      </w:pPr>
      <w:r>
        <w:t>Contact</w:t>
      </w:r>
    </w:p>
    <w:p>
      <w:pPr>
        <w:pStyle w:val="ListBullet"/>
        <w:spacing w:after="40"/>
      </w:pPr>
      <w:r>
        <w:t>Type of interest</w:t>
      </w:r>
    </w:p>
    <w:p>
      <w:pPr>
        <w:pStyle w:val="ListBullet"/>
        <w:spacing w:after="40"/>
      </w:pPr>
      <w:r>
        <w:t>Geography</w:t>
      </w:r>
    </w:p>
    <w:p>
      <w:pPr>
        <w:pStyle w:val="ListBullet"/>
        <w:spacing w:after="40"/>
      </w:pPr>
      <w:r>
        <w:t>Strategic rationale</w:t>
      </w:r>
    </w:p>
    <w:p>
      <w:pPr>
        <w:pStyle w:val="ListBullet"/>
        <w:spacing w:after="40"/>
      </w:pPr>
      <w:r>
        <w:t>Indicative timeline</w:t>
      </w:r>
    </w:p>
    <w:p>
      <w:pPr>
        <w:pStyle w:val="ListBullet"/>
        <w:spacing w:after="40"/>
      </w:pPr>
      <w:r>
        <w:t>Message / attachment</w:t>
      </w:r>
    </w:p>
    <w:p>
      <w:pPr>
        <w:pStyle w:val="Heading2"/>
      </w:pPr>
      <w:r>
        <w:t>Claims to remove</w:t>
      </w:r>
    </w:p>
    <w:p>
      <w:pPr>
        <w:spacing w:before="60" w:after="120"/>
        <w:ind w:left="259" w:right="259"/>
        <w:shd w:fill="F4F7FF"/>
      </w:pPr>
      <w:r>
        <w:rPr>
          <w:b/>
          <w:color w:val="1E5EFF"/>
          <w:sz w:val="17"/>
        </w:rPr>
        <w:t>REMOVE</w:t>
        <w:br/>
      </w:r>
      <w:r>
        <w:rPr>
          <w:color w:val="101A2B"/>
          <w:sz w:val="20"/>
        </w:rPr>
        <w:t>“High-ROI partnerships” and “strong, sustainable returns from day one.”</w:t>
      </w:r>
    </w:p>
    <w:p>
      <w:pPr>
        <w:spacing w:before="60" w:after="120"/>
        <w:ind w:left="259" w:right="259"/>
        <w:shd w:fill="F4F7FF"/>
      </w:pPr>
      <w:r>
        <w:rPr>
          <w:b/>
          <w:color w:val="1E5EFF"/>
          <w:sz w:val="17"/>
        </w:rPr>
        <w:t>REPLACE WITH</w:t>
        <w:br/>
      </w:r>
      <w:r>
        <w:rPr>
          <w:color w:val="101A2B"/>
          <w:sz w:val="20"/>
        </w:rPr>
        <w:t>Partnership models structured around location quality, charging demand and long-term network potential.</w:t>
      </w:r>
    </w:p>
    <w:p>
      <w:r>
        <w:br w:type="page"/>
      </w:r>
    </w:p>
    <w:p>
      <w:pPr>
        <w:pStyle w:val="Heading1"/>
      </w:pPr>
      <w:r>
        <w:t>8. Contact Page — Rewrite</w:t>
      </w:r>
    </w:p>
    <w:p>
      <w:pPr>
        <w:spacing w:before="60" w:after="120"/>
        <w:ind w:left="259" w:right="259"/>
        <w:shd w:fill="F4F7FF"/>
      </w:pPr>
      <w:r>
        <w:rPr>
          <w:b/>
          <w:color w:val="1E5EFF"/>
          <w:sz w:val="17"/>
        </w:rPr>
        <w:t>H1</w:t>
        <w:br/>
      </w:r>
      <w:r>
        <w:rPr>
          <w:color w:val="101A2B"/>
          <w:sz w:val="20"/>
        </w:rPr>
        <w:t>Talk to Vega Charge.</w:t>
      </w:r>
    </w:p>
    <w:p>
      <w:pPr>
        <w:spacing w:before="60" w:after="120"/>
        <w:ind w:left="259" w:right="259"/>
        <w:shd w:fill="F4F7FF"/>
      </w:pPr>
      <w:r>
        <w:rPr>
          <w:b/>
          <w:color w:val="1E5EFF"/>
          <w:sz w:val="17"/>
        </w:rPr>
        <w:t>INTRO</w:t>
        <w:br/>
      </w:r>
      <w:r>
        <w:rPr>
          <w:color w:val="101A2B"/>
          <w:sz w:val="20"/>
        </w:rPr>
        <w:t>For driver support, general enquiries, media or corporate questions, contact our team below. For fleet, site or commercial partnerships, use the dedicated partner form so we can route your enquiry to the right team.</w:t>
      </w:r>
    </w:p>
    <w:p>
      <w:pPr>
        <w:pStyle w:val="Heading2"/>
      </w:pPr>
      <w:r>
        <w:t>Recommended routing</w:t>
      </w:r>
    </w:p>
    <w:p>
      <w:pPr>
        <w:spacing w:before="60" w:after="120"/>
        <w:ind w:left="259" w:right="259"/>
        <w:shd w:fill="F4F7FF"/>
      </w:pPr>
      <w:r>
        <w:rPr>
          <w:b/>
          <w:color w:val="1E5EFF"/>
          <w:sz w:val="17"/>
        </w:rPr>
        <w:t>GENERAL</w:t>
        <w:br/>
      </w:r>
      <w:r>
        <w:rPr>
          <w:color w:val="101A2B"/>
          <w:sz w:val="20"/>
        </w:rPr>
        <w:t>General Enquiries — admin@vegacharge.in</w:t>
      </w:r>
    </w:p>
    <w:p>
      <w:pPr>
        <w:spacing w:before="60" w:after="120"/>
        <w:ind w:left="259" w:right="259"/>
        <w:shd w:fill="F4F7FF"/>
      </w:pPr>
      <w:r>
        <w:rPr>
          <w:b/>
          <w:color w:val="1E5EFF"/>
          <w:sz w:val="17"/>
        </w:rPr>
        <w:t>DRIVER SUPPORT</w:t>
        <w:br/>
      </w:r>
      <w:r>
        <w:rPr>
          <w:color w:val="101A2B"/>
          <w:sz w:val="20"/>
        </w:rPr>
        <w:t>Driver Support — create a dedicated support number/email before the first public station opens.</w:t>
      </w:r>
    </w:p>
    <w:p>
      <w:pPr>
        <w:spacing w:before="60" w:after="120"/>
        <w:ind w:left="259" w:right="259"/>
        <w:shd w:fill="F4F7FF"/>
      </w:pPr>
      <w:r>
        <w:rPr>
          <w:b/>
          <w:color w:val="1E5EFF"/>
          <w:sz w:val="17"/>
        </w:rPr>
        <w:t>PARTNERSHIPS</w:t>
        <w:br/>
      </w:r>
      <w:r>
        <w:rPr>
          <w:color w:val="101A2B"/>
          <w:sz w:val="20"/>
        </w:rPr>
        <w:t>Fleet / Site / Commercial — Partner With Us</w:t>
      </w:r>
    </w:p>
    <w:p>
      <w:pPr>
        <w:spacing w:before="60" w:after="120"/>
        <w:ind w:left="259" w:right="259"/>
        <w:shd w:fill="F4F7FF"/>
      </w:pPr>
      <w:r>
        <w:rPr>
          <w:b/>
          <w:color w:val="1E5EFF"/>
          <w:sz w:val="17"/>
        </w:rPr>
        <w:t>CORPORATE</w:t>
        <w:br/>
      </w:r>
      <w:r>
        <w:rPr>
          <w:color w:val="101A2B"/>
          <w:sz w:val="20"/>
        </w:rPr>
        <w:t>Strategic / Investor — Corporate Enquiry</w:t>
      </w:r>
    </w:p>
    <w:p>
      <w:r>
        <w:t>Keep the registered office address if required, but visually separate ‘Registered Office’ from ‘Driver Support’. Remove personal names and phone numbers from the global footer once a central business contact is available.</w:t>
      </w:r>
    </w:p>
    <w:p>
      <w:r>
        <w:br w:type="page"/>
      </w:r>
    </w:p>
    <w:p>
      <w:pPr>
        <w:pStyle w:val="Heading1"/>
      </w:pPr>
      <w:r>
        <w:t>9. New Pages Recommended</w:t>
      </w:r>
    </w:p>
    <w:p>
      <w:pPr>
        <w:pStyle w:val="Heading2"/>
      </w:pPr>
      <w:r>
        <w:t>9.1 Drivers / Find a Charger</w:t>
      </w:r>
    </w:p>
    <w:p>
      <w:r>
        <w:t>Create once at least one station is public. Include live station status, connector/power, pricing, directions, amenities, operating/support status, payment methods, charging instructions and FAQs.</w:t>
      </w:r>
    </w:p>
    <w:p>
      <w:pPr>
        <w:pStyle w:val="Heading2"/>
      </w:pPr>
      <w:r>
        <w:t>9.2 Dedicated Fleet page</w:t>
      </w:r>
    </w:p>
    <w:p>
      <w:r>
        <w:t>Use cases, route planning, dedicated access options, reporting, billing, SLA/support approach, fleet enquiry form and commercial-vehicle roadmap.</w:t>
      </w:r>
    </w:p>
    <w:p>
      <w:pPr>
        <w:pStyle w:val="Heading2"/>
      </w:pPr>
      <w:r>
        <w:t>9.3 Site Partners page</w:t>
      </w:r>
    </w:p>
    <w:p>
      <w:r>
        <w:t>Explain what land Vega wants, minimum screening criteria, how the evaluation process works, commercial structures at a high level, timeline from submission to decision, and the site submission form.</w:t>
      </w:r>
    </w:p>
    <w:p>
      <w:pPr>
        <w:pStyle w:val="Heading2"/>
      </w:pPr>
      <w:r>
        <w:t>9.4 Station detail pages</w:t>
      </w:r>
    </w:p>
    <w:p>
      <w:r>
        <w:t>One SEO/indexable page per station with verified structured data. This will become increasingly valuable for drivers searching by highway/town and for sharing a specific station.</w:t>
      </w:r>
    </w:p>
    <w:p>
      <w:pPr>
        <w:pStyle w:val="Heading2"/>
      </w:pPr>
      <w:r>
        <w:t>9.5 Safety &amp; Charging Guide</w:t>
      </w:r>
    </w:p>
    <w:p>
      <w:r>
        <w:t>Before public launch, publish simple charging instructions, connector guidance, payment steps, support process and safety rules.</w:t>
      </w:r>
    </w:p>
    <w:p>
      <w:pPr>
        <w:pStyle w:val="Heading2"/>
      </w:pPr>
      <w:r>
        <w:t>9.6 Careers</w:t>
      </w:r>
    </w:p>
    <w:p>
      <w:r>
        <w:t>Useful as the team expands. It also signals that Vega is a growing operating company rather than only a project website.</w:t>
      </w:r>
    </w:p>
    <w:p>
      <w:pPr>
        <w:pStyle w:val="Heading2"/>
      </w:pPr>
      <w:r>
        <w:t>9.7 Press / Updates</w:t>
      </w:r>
    </w:p>
    <w:p>
      <w:r>
        <w:t>Use for site launches, corridor milestones, partnerships and verified company updates. Avoid a generic blog unless the team can publish consistently.</w:t>
      </w:r>
    </w:p>
    <w:p>
      <w:r>
        <w:br w:type="page"/>
      </w:r>
    </w:p>
    <w:p>
      <w:pPr>
        <w:pStyle w:val="Heading1"/>
      </w:pPr>
      <w:r>
        <w:t>10. UX, Design &amp; Conversion Recommendations</w:t>
      </w:r>
    </w:p>
    <w:p>
      <w:pPr>
        <w:pStyle w:val="Heading2"/>
      </w:pPr>
      <w:r>
        <w:t>Visual hierarchy</w:t>
      </w:r>
    </w:p>
    <w:p>
      <w:pPr>
        <w:pStyle w:val="ListBullet"/>
        <w:spacing w:after="40"/>
      </w:pPr>
      <w:r>
        <w:t>Lead with one dominant statement per section; reduce competing headlines.</w:t>
      </w:r>
    </w:p>
    <w:p>
      <w:pPr>
        <w:pStyle w:val="ListBullet"/>
        <w:spacing w:after="40"/>
      </w:pPr>
      <w:r>
        <w:t>Use real site photography as soon as construction/commissioning permits. Mix renders with real progress photography, clearly labeled.</w:t>
      </w:r>
    </w:p>
    <w:p>
      <w:pPr>
        <w:pStyle w:val="ListBullet"/>
        <w:spacing w:after="40"/>
      </w:pPr>
      <w:r>
        <w:t>Make the map and corridor diagrams visually distinctive and reusable across the site.</w:t>
      </w:r>
    </w:p>
    <w:p>
      <w:pPr>
        <w:pStyle w:val="ListBullet"/>
        <w:spacing w:after="40"/>
      </w:pPr>
      <w:r>
        <w:t>Use status chips consistently across all station cards.</w:t>
      </w:r>
    </w:p>
    <w:p>
      <w:pPr>
        <w:pStyle w:val="Heading2"/>
      </w:pPr>
      <w:r>
        <w:t>Mobile</w:t>
      </w:r>
    </w:p>
    <w:p>
      <w:pPr>
        <w:pStyle w:val="ListBullet"/>
        <w:spacing w:after="40"/>
      </w:pPr>
      <w:r>
        <w:t>Keep hero CTAs visible without excessive scrolling.</w:t>
      </w:r>
    </w:p>
    <w:p>
      <w:pPr>
        <w:pStyle w:val="ListBullet"/>
        <w:spacing w:after="40"/>
      </w:pPr>
      <w:r>
        <w:t>Make map interactions touch-friendly and provide a list view as an alternative.</w:t>
      </w:r>
    </w:p>
    <w:p>
      <w:pPr>
        <w:pStyle w:val="ListBullet"/>
        <w:spacing w:after="40"/>
      </w:pPr>
      <w:r>
        <w:t>Use click-to-call only for central support; avoid exposing multiple personal numbers.</w:t>
      </w:r>
    </w:p>
    <w:p>
      <w:pPr>
        <w:pStyle w:val="ListBullet"/>
        <w:spacing w:after="40"/>
      </w:pPr>
      <w:r>
        <w:t>Compress large renders and use responsive image sizes.</w:t>
      </w:r>
    </w:p>
    <w:p>
      <w:pPr>
        <w:pStyle w:val="Heading2"/>
      </w:pPr>
      <w:r>
        <w:t>Forms</w:t>
      </w:r>
    </w:p>
    <w:p>
      <w:pPr>
        <w:pStyle w:val="ListBullet"/>
        <w:spacing w:after="40"/>
      </w:pPr>
      <w:r>
        <w:t>Show a clear success state and expected response time.</w:t>
      </w:r>
    </w:p>
    <w:p>
      <w:pPr>
        <w:pStyle w:val="ListBullet"/>
        <w:spacing w:after="40"/>
      </w:pPr>
      <w:r>
        <w:t>Capture UTM/source data invisibly for lead attribution.</w:t>
      </w:r>
    </w:p>
    <w:p>
      <w:pPr>
        <w:pStyle w:val="ListBullet"/>
        <w:spacing w:after="40"/>
      </w:pPr>
      <w:r>
        <w:t>Use OTP only where it genuinely improves lead quality; do not create unnecessary abandonment.</w:t>
      </w:r>
    </w:p>
    <w:p>
      <w:pPr>
        <w:pStyle w:val="ListBullet"/>
        <w:spacing w:after="40"/>
      </w:pPr>
      <w:r>
        <w:t>Route leads automatically by type and geography.</w:t>
      </w:r>
    </w:p>
    <w:p>
      <w:pPr>
        <w:pStyle w:val="Heading2"/>
      </w:pPr>
      <w:r>
        <w:t>Accessibility</w:t>
      </w:r>
    </w:p>
    <w:p>
      <w:pPr>
        <w:pStyle w:val="ListBullet"/>
        <w:spacing w:after="40"/>
      </w:pPr>
      <w:r>
        <w:t>Use semantic H1/H2/H3 structure.</w:t>
      </w:r>
    </w:p>
    <w:p>
      <w:pPr>
        <w:pStyle w:val="ListBullet"/>
        <w:spacing w:after="40"/>
      </w:pPr>
      <w:r>
        <w:t>Add meaningful alt text to station images and renders.</w:t>
      </w:r>
    </w:p>
    <w:p>
      <w:pPr>
        <w:pStyle w:val="ListBullet"/>
        <w:spacing w:after="40"/>
      </w:pPr>
      <w:r>
        <w:t>Ensure text/background contrast and visible keyboard focus.</w:t>
      </w:r>
    </w:p>
    <w:p>
      <w:pPr>
        <w:pStyle w:val="ListBullet"/>
        <w:spacing w:after="40"/>
      </w:pPr>
      <w:r>
        <w:t>Do not rely on color alone for station status; pair color with text/icon.</w:t>
      </w:r>
    </w:p>
    <w:p>
      <w:r>
        <w:br w:type="page"/>
      </w:r>
    </w:p>
    <w:p>
      <w:pPr>
        <w:pStyle w:val="Heading1"/>
      </w:pPr>
      <w:r>
        <w:t>11. SEO &amp; Page Metadata</w:t>
      </w:r>
    </w:p>
    <w:p>
      <w:r>
        <w:t>Keep titles descriptive and location/corridor-oriented without keyword stuffing.</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101A2B"/>
          </w:tcPr>
          <w:p>
            <w:r/>
            <w:r>
              <w:rPr>
                <w:rFonts w:ascii="Aptos" w:hAnsi="Aptos"/>
                <w:b/>
                <w:color w:val="FFFFFF"/>
                <w:sz w:val="16"/>
              </w:rPr>
              <w:t>Page</w:t>
            </w:r>
          </w:p>
        </w:tc>
        <w:tc>
          <w:tcPr>
            <w:tcW w:type="dxa" w:w="3360"/>
            <w:vAlign w:val="center"/>
            <w:shd w:fill="101A2B"/>
          </w:tcPr>
          <w:p>
            <w:r/>
            <w:r>
              <w:rPr>
                <w:rFonts w:ascii="Aptos" w:hAnsi="Aptos"/>
                <w:b/>
                <w:color w:val="FFFFFF"/>
                <w:sz w:val="16"/>
              </w:rPr>
              <w:t>Suggested title</w:t>
            </w:r>
          </w:p>
        </w:tc>
        <w:tc>
          <w:tcPr>
            <w:tcW w:type="dxa" w:w="3360"/>
            <w:vAlign w:val="center"/>
            <w:shd w:fill="101A2B"/>
          </w:tcPr>
          <w:p>
            <w:r/>
            <w:r>
              <w:rPr>
                <w:rFonts w:ascii="Aptos" w:hAnsi="Aptos"/>
                <w:b/>
                <w:color w:val="FFFFFF"/>
                <w:sz w:val="16"/>
              </w:rPr>
              <w:t>Suggested meta description</w:t>
            </w:r>
          </w:p>
        </w:tc>
      </w:tr>
      <w:tr>
        <w:trPr>
          <w:cantSplit/>
        </w:trPr>
        <w:tc>
          <w:tcPr>
            <w:tcW w:type="dxa" w:w="3360"/>
            <w:vAlign w:val="center"/>
          </w:tcPr>
          <w:p>
            <w:r/>
            <w:r>
              <w:rPr>
                <w:rFonts w:ascii="Aptos" w:hAnsi="Aptos"/>
                <w:b w:val="0"/>
                <w:color w:val="101A2B"/>
                <w:sz w:val="15"/>
              </w:rPr>
              <w:t>Home</w:t>
            </w:r>
          </w:p>
        </w:tc>
        <w:tc>
          <w:tcPr>
            <w:tcW w:type="dxa" w:w="3360"/>
            <w:vAlign w:val="center"/>
          </w:tcPr>
          <w:p>
            <w:r/>
            <w:r>
              <w:rPr>
                <w:rFonts w:ascii="Aptos" w:hAnsi="Aptos"/>
                <w:b w:val="0"/>
                <w:color w:val="101A2B"/>
                <w:sz w:val="15"/>
              </w:rPr>
              <w:t>Vega Charge | Highway EV Charging Network in India</w:t>
            </w:r>
          </w:p>
        </w:tc>
        <w:tc>
          <w:tcPr>
            <w:tcW w:type="dxa" w:w="3360"/>
            <w:vAlign w:val="center"/>
          </w:tcPr>
          <w:p>
            <w:r/>
            <w:r>
              <w:rPr>
                <w:rFonts w:ascii="Aptos" w:hAnsi="Aptos"/>
                <w:b w:val="0"/>
                <w:color w:val="101A2B"/>
                <w:sz w:val="15"/>
              </w:rPr>
              <w:t>High-power highway EV charging hubs for passenger vehicles, fleets and commercial EVs. Explore Vega Charge locations and partnership opportunities.</w:t>
            </w:r>
          </w:p>
        </w:tc>
      </w:tr>
      <w:tr>
        <w:trPr>
          <w:cantSplit/>
        </w:trPr>
        <w:tc>
          <w:tcPr>
            <w:tcW w:type="dxa" w:w="3360"/>
            <w:vAlign w:val="center"/>
          </w:tcPr>
          <w:p>
            <w:r/>
            <w:r>
              <w:rPr>
                <w:rFonts w:ascii="Aptos" w:hAnsi="Aptos"/>
                <w:b w:val="0"/>
                <w:color w:val="101A2B"/>
                <w:sz w:val="15"/>
              </w:rPr>
              <w:t>Network</w:t>
            </w:r>
          </w:p>
        </w:tc>
        <w:tc>
          <w:tcPr>
            <w:tcW w:type="dxa" w:w="3360"/>
            <w:vAlign w:val="center"/>
          </w:tcPr>
          <w:p>
            <w:r/>
            <w:r>
              <w:rPr>
                <w:rFonts w:ascii="Aptos" w:hAnsi="Aptos"/>
                <w:b w:val="0"/>
                <w:color w:val="101A2B"/>
                <w:sz w:val="15"/>
              </w:rPr>
              <w:t>Vega Charge Network | Highway EV Charging Stations</w:t>
            </w:r>
          </w:p>
        </w:tc>
        <w:tc>
          <w:tcPr>
            <w:tcW w:type="dxa" w:w="3360"/>
            <w:vAlign w:val="center"/>
          </w:tcPr>
          <w:p>
            <w:r/>
            <w:r>
              <w:rPr>
                <w:rFonts w:ascii="Aptos" w:hAnsi="Aptos"/>
                <w:b w:val="0"/>
                <w:color w:val="101A2B"/>
                <w:sz w:val="15"/>
              </w:rPr>
              <w:t>Explore Vega Charge highway EV charging locations, station status, corridors, charger configurations and upcoming hubs.</w:t>
            </w:r>
          </w:p>
        </w:tc>
      </w:tr>
      <w:tr>
        <w:trPr>
          <w:cantSplit/>
        </w:trPr>
        <w:tc>
          <w:tcPr>
            <w:tcW w:type="dxa" w:w="3360"/>
            <w:vAlign w:val="center"/>
          </w:tcPr>
          <w:p>
            <w:r/>
            <w:r>
              <w:rPr>
                <w:rFonts w:ascii="Aptos" w:hAnsi="Aptos"/>
                <w:b w:val="0"/>
                <w:color w:val="101A2B"/>
                <w:sz w:val="15"/>
              </w:rPr>
              <w:t>About</w:t>
            </w:r>
          </w:p>
        </w:tc>
        <w:tc>
          <w:tcPr>
            <w:tcW w:type="dxa" w:w="3360"/>
            <w:vAlign w:val="center"/>
          </w:tcPr>
          <w:p>
            <w:r/>
            <w:r>
              <w:rPr>
                <w:rFonts w:ascii="Aptos" w:hAnsi="Aptos"/>
                <w:b w:val="0"/>
                <w:color w:val="101A2B"/>
                <w:sz w:val="15"/>
              </w:rPr>
              <w:t>About Vega Charge | Building Highway EV Infrastructure</w:t>
            </w:r>
          </w:p>
        </w:tc>
        <w:tc>
          <w:tcPr>
            <w:tcW w:type="dxa" w:w="3360"/>
            <w:vAlign w:val="center"/>
          </w:tcPr>
          <w:p>
            <w:r/>
            <w:r>
              <w:rPr>
                <w:rFonts w:ascii="Aptos" w:hAnsi="Aptos"/>
                <w:b w:val="0"/>
                <w:color w:val="101A2B"/>
                <w:sz w:val="15"/>
              </w:rPr>
              <w:t>Learn how Vega Charge is building high-power EV charging infrastructure across India’s highway corridors.</w:t>
            </w:r>
          </w:p>
        </w:tc>
      </w:tr>
      <w:tr>
        <w:trPr>
          <w:cantSplit/>
        </w:trPr>
        <w:tc>
          <w:tcPr>
            <w:tcW w:type="dxa" w:w="3360"/>
            <w:vAlign w:val="center"/>
          </w:tcPr>
          <w:p>
            <w:r/>
            <w:r>
              <w:rPr>
                <w:rFonts w:ascii="Aptos" w:hAnsi="Aptos"/>
                <w:b w:val="0"/>
                <w:color w:val="101A2B"/>
                <w:sz w:val="15"/>
              </w:rPr>
              <w:t>Solutions</w:t>
            </w:r>
          </w:p>
        </w:tc>
        <w:tc>
          <w:tcPr>
            <w:tcW w:type="dxa" w:w="3360"/>
            <w:vAlign w:val="center"/>
          </w:tcPr>
          <w:p>
            <w:r/>
            <w:r>
              <w:rPr>
                <w:rFonts w:ascii="Aptos" w:hAnsi="Aptos"/>
                <w:b w:val="0"/>
                <w:color w:val="101A2B"/>
                <w:sz w:val="15"/>
              </w:rPr>
              <w:t>EV Charging Solutions for Highways, Fleets &amp; Commercial Sites</w:t>
            </w:r>
          </w:p>
        </w:tc>
        <w:tc>
          <w:tcPr>
            <w:tcW w:type="dxa" w:w="3360"/>
            <w:vAlign w:val="center"/>
          </w:tcPr>
          <w:p>
            <w:r/>
            <w:r>
              <w:rPr>
                <w:rFonts w:ascii="Aptos" w:hAnsi="Aptos"/>
                <w:b w:val="0"/>
                <w:color w:val="101A2B"/>
                <w:sz w:val="15"/>
              </w:rPr>
              <w:t>Highway, fleet and commercial EV charging solutions designed around location, power, utilisation and operating needs.</w:t>
            </w:r>
          </w:p>
        </w:tc>
      </w:tr>
      <w:tr>
        <w:trPr>
          <w:cantSplit/>
        </w:trPr>
        <w:tc>
          <w:tcPr>
            <w:tcW w:type="dxa" w:w="3360"/>
            <w:vAlign w:val="center"/>
          </w:tcPr>
          <w:p>
            <w:r/>
            <w:r>
              <w:rPr>
                <w:rFonts w:ascii="Aptos" w:hAnsi="Aptos"/>
                <w:b w:val="0"/>
                <w:color w:val="101A2B"/>
                <w:sz w:val="15"/>
              </w:rPr>
              <w:t>Site Partners</w:t>
            </w:r>
          </w:p>
        </w:tc>
        <w:tc>
          <w:tcPr>
            <w:tcW w:type="dxa" w:w="3360"/>
            <w:vAlign w:val="center"/>
          </w:tcPr>
          <w:p>
            <w:r/>
            <w:r>
              <w:rPr>
                <w:rFonts w:ascii="Aptos" w:hAnsi="Aptos"/>
                <w:b w:val="0"/>
                <w:color w:val="101A2B"/>
                <w:sz w:val="15"/>
              </w:rPr>
              <w:t>EV Charging Site &amp; Land Partnerships | Vega Charge</w:t>
            </w:r>
          </w:p>
        </w:tc>
        <w:tc>
          <w:tcPr>
            <w:tcW w:type="dxa" w:w="3360"/>
            <w:vAlign w:val="center"/>
          </w:tcPr>
          <w:p>
            <w:r/>
            <w:r>
              <w:rPr>
                <w:rFonts w:ascii="Aptos" w:hAnsi="Aptos"/>
                <w:b w:val="0"/>
                <w:color w:val="101A2B"/>
                <w:sz w:val="15"/>
              </w:rPr>
              <w:t>Own strategic highway land or a commercial destination? Submit your site for evaluation by Vega Charge.</w:t>
            </w:r>
          </w:p>
        </w:tc>
      </w:tr>
      <w:tr>
        <w:trPr>
          <w:cantSplit/>
        </w:trPr>
        <w:tc>
          <w:tcPr>
            <w:tcW w:type="dxa" w:w="3360"/>
            <w:vAlign w:val="center"/>
          </w:tcPr>
          <w:p>
            <w:r/>
            <w:r>
              <w:rPr>
                <w:rFonts w:ascii="Aptos" w:hAnsi="Aptos"/>
                <w:b w:val="0"/>
                <w:color w:val="101A2B"/>
                <w:sz w:val="15"/>
              </w:rPr>
              <w:t>Fleet</w:t>
            </w:r>
          </w:p>
        </w:tc>
        <w:tc>
          <w:tcPr>
            <w:tcW w:type="dxa" w:w="3360"/>
            <w:vAlign w:val="center"/>
          </w:tcPr>
          <w:p>
            <w:r/>
            <w:r>
              <w:rPr>
                <w:rFonts w:ascii="Aptos" w:hAnsi="Aptos"/>
                <w:b w:val="0"/>
                <w:color w:val="101A2B"/>
                <w:sz w:val="15"/>
              </w:rPr>
              <w:t>Fleet EV Charging Solutions | Vega Charge</w:t>
            </w:r>
          </w:p>
        </w:tc>
        <w:tc>
          <w:tcPr>
            <w:tcW w:type="dxa" w:w="3360"/>
            <w:vAlign w:val="center"/>
          </w:tcPr>
          <w:p>
            <w:r/>
            <w:r>
              <w:rPr>
                <w:rFonts w:ascii="Aptos" w:hAnsi="Aptos"/>
                <w:b w:val="0"/>
                <w:color w:val="101A2B"/>
                <w:sz w:val="15"/>
              </w:rPr>
              <w:t>Route-based EV charging solutions for logistics, mobility, corporate and commercial fleets.</w:t>
            </w:r>
          </w:p>
        </w:tc>
      </w:tr>
    </w:tbl>
    <w:p>
      <w:pPr>
        <w:pStyle w:val="Heading2"/>
      </w:pPr>
      <w:r>
        <w:t>Structured data &amp; local discovery</w:t>
      </w:r>
    </w:p>
    <w:p>
      <w:pPr>
        <w:pStyle w:val="ListBullet"/>
        <w:spacing w:after="40"/>
      </w:pPr>
      <w:r>
        <w:t>Use Organization schema site-wide.</w:t>
      </w:r>
    </w:p>
    <w:p>
      <w:pPr>
        <w:pStyle w:val="ListBullet"/>
        <w:spacing w:after="40"/>
      </w:pPr>
      <w:r>
        <w:t>Use appropriate Place/EV charging station structured data on live station pages where technically valid.</w:t>
      </w:r>
    </w:p>
    <w:p>
      <w:pPr>
        <w:pStyle w:val="ListBullet"/>
        <w:spacing w:after="40"/>
      </w:pPr>
      <w:r>
        <w:t>Keep name/address/map coordinates consistent across the website, Google Business Profile and mapping platforms.</w:t>
      </w:r>
    </w:p>
    <w:p>
      <w:pPr>
        <w:pStyle w:val="ListBullet"/>
        <w:spacing w:after="40"/>
      </w:pPr>
      <w:r>
        <w:t>Create indexable station URLs rather than only JavaScript map pop-ups.</w:t>
      </w:r>
    </w:p>
    <w:p>
      <w:pPr>
        <w:pStyle w:val="ListBullet"/>
        <w:spacing w:after="40"/>
      </w:pPr>
      <w:r>
        <w:t>Do not index planned locations that are confidential or not ready for public disclosure.</w:t>
      </w:r>
    </w:p>
    <w:p>
      <w:r>
        <w:br w:type="page"/>
      </w:r>
    </w:p>
    <w:p>
      <w:pPr>
        <w:pStyle w:val="Heading1"/>
      </w:pPr>
      <w:r>
        <w:t>12. Trust, Legal &amp; Operational Readiness</w:t>
      </w:r>
    </w:p>
    <w:p>
      <w:pPr>
        <w:pStyle w:val="Heading2"/>
      </w:pPr>
      <w:r>
        <w:t>Before public charging launch</w:t>
      </w:r>
    </w:p>
    <w:p>
      <w:pPr>
        <w:pStyle w:val="ListBullet"/>
        <w:spacing w:after="40"/>
      </w:pPr>
      <w:r>
        <w:t>Publish charging price clearly, including applicable taxes/fees.</w:t>
      </w:r>
    </w:p>
    <w:p>
      <w:pPr>
        <w:pStyle w:val="ListBullet"/>
        <w:spacing w:after="40"/>
      </w:pPr>
      <w:r>
        <w:t>Publish support number and escalation process.</w:t>
      </w:r>
    </w:p>
    <w:p>
      <w:pPr>
        <w:pStyle w:val="ListBullet"/>
        <w:spacing w:after="40"/>
      </w:pPr>
      <w:r>
        <w:t>Publish payment/refund/failure policy.</w:t>
      </w:r>
    </w:p>
    <w:p>
      <w:pPr>
        <w:pStyle w:val="ListBullet"/>
        <w:spacing w:after="40"/>
      </w:pPr>
      <w:r>
        <w:t>Publish terms of use and privacy policy.</w:t>
      </w:r>
    </w:p>
    <w:p>
      <w:pPr>
        <w:pStyle w:val="ListBullet"/>
        <w:spacing w:after="40"/>
      </w:pPr>
      <w:r>
        <w:t>Explain what happens if a charger fails after payment initiation.</w:t>
      </w:r>
    </w:p>
    <w:p>
      <w:pPr>
        <w:pStyle w:val="ListBullet"/>
        <w:spacing w:after="40"/>
      </w:pPr>
      <w:r>
        <w:t>Show operating hours accurately; use 24×7 only if the site is truly accessible and supported 24×7.</w:t>
      </w:r>
    </w:p>
    <w:p>
      <w:pPr>
        <w:pStyle w:val="Heading2"/>
      </w:pPr>
      <w:r>
        <w:t>Performance claims</w:t>
      </w:r>
    </w:p>
    <w:p>
      <w:pPr>
        <w:pStyle w:val="ListBullet"/>
        <w:spacing w:after="40"/>
      </w:pPr>
      <w:r>
        <w:t>Create a written definition of ‘uptime’ before publishing a percentage.</w:t>
      </w:r>
    </w:p>
    <w:p>
      <w:pPr>
        <w:pStyle w:val="ListBullet"/>
        <w:spacing w:after="40"/>
      </w:pPr>
      <w:r>
        <w:t>Do not combine charger hardware availability, site power availability and payment/network availability into an undefined reliability claim.</w:t>
      </w:r>
    </w:p>
    <w:p>
      <w:pPr>
        <w:pStyle w:val="ListBullet"/>
        <w:spacing w:after="40"/>
      </w:pPr>
      <w:r>
        <w:t>Timestamp live network data where appropriate.</w:t>
      </w:r>
    </w:p>
    <w:p>
      <w:pPr>
        <w:pStyle w:val="Heading2"/>
      </w:pPr>
      <w:r>
        <w:t>Analytics</w:t>
      </w:r>
    </w:p>
    <w:p>
      <w:pPr>
        <w:pStyle w:val="ListBullet"/>
        <w:spacing w:after="40"/>
      </w:pPr>
      <w:r>
        <w:t>Track hero CTA clicks, network map interactions, station detail views and navigation clicks.</w:t>
      </w:r>
    </w:p>
    <w:p>
      <w:pPr>
        <w:pStyle w:val="ListBullet"/>
        <w:spacing w:after="40"/>
      </w:pPr>
      <w:r>
        <w:t>Track separate conversions for fleet, site, commercial and strategic enquiries.</w:t>
      </w:r>
    </w:p>
    <w:p>
      <w:pPr>
        <w:pStyle w:val="ListBullet"/>
        <w:spacing w:after="40"/>
      </w:pPr>
      <w:r>
        <w:t>Track form start, field abandonment and completion.</w:t>
      </w:r>
    </w:p>
    <w:p>
      <w:pPr>
        <w:pStyle w:val="ListBullet"/>
        <w:spacing w:after="40"/>
      </w:pPr>
      <w:r>
        <w:t>Track map/navigation outbound clicks for live stations.</w:t>
      </w:r>
    </w:p>
    <w:p>
      <w:pPr>
        <w:pStyle w:val="ListBullet"/>
        <w:spacing w:after="40"/>
      </w:pPr>
      <w:r>
        <w:t>Build a simple monthly dashboard: users → station views → navigation clicks → charging sessions; and partner traffic → form starts → qualified leads → signed sites/contracts.</w:t>
      </w:r>
    </w:p>
    <w:p>
      <w:r>
        <w:br w:type="page"/>
      </w:r>
    </w:p>
    <w:p>
      <w:pPr>
        <w:pStyle w:val="Heading1"/>
      </w:pPr>
      <w:r>
        <w:t>13. Recommended 30-Day Implementation Plan</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101A2B"/>
          </w:tcPr>
          <w:p>
            <w:r/>
            <w:r>
              <w:rPr>
                <w:rFonts w:ascii="Aptos" w:hAnsi="Aptos"/>
                <w:b/>
                <w:color w:val="FFFFFF"/>
                <w:sz w:val="16"/>
              </w:rPr>
              <w:t>Timing</w:t>
            </w:r>
          </w:p>
        </w:tc>
        <w:tc>
          <w:tcPr>
            <w:tcW w:type="dxa" w:w="3360"/>
            <w:vAlign w:val="center"/>
            <w:shd w:fill="101A2B"/>
          </w:tcPr>
          <w:p>
            <w:r/>
            <w:r>
              <w:rPr>
                <w:rFonts w:ascii="Aptos" w:hAnsi="Aptos"/>
                <w:b/>
                <w:color w:val="FFFFFF"/>
                <w:sz w:val="16"/>
              </w:rPr>
              <w:t>Workstream</w:t>
            </w:r>
          </w:p>
        </w:tc>
        <w:tc>
          <w:tcPr>
            <w:tcW w:type="dxa" w:w="3360"/>
            <w:vAlign w:val="center"/>
            <w:shd w:fill="101A2B"/>
          </w:tcPr>
          <w:p>
            <w:r/>
            <w:r>
              <w:rPr>
                <w:rFonts w:ascii="Aptos" w:hAnsi="Aptos"/>
                <w:b/>
                <w:color w:val="FFFFFF"/>
                <w:sz w:val="16"/>
              </w:rPr>
              <w:t>Deliverable</w:t>
            </w:r>
          </w:p>
        </w:tc>
      </w:tr>
      <w:tr>
        <w:trPr>
          <w:cantSplit/>
        </w:trPr>
        <w:tc>
          <w:tcPr>
            <w:tcW w:type="dxa" w:w="3360"/>
            <w:vAlign w:val="center"/>
          </w:tcPr>
          <w:p>
            <w:r/>
            <w:r>
              <w:rPr>
                <w:rFonts w:ascii="Aptos" w:hAnsi="Aptos"/>
                <w:b w:val="0"/>
                <w:color w:val="101A2B"/>
                <w:sz w:val="16"/>
              </w:rPr>
              <w:t>Days 1–3</w:t>
            </w:r>
          </w:p>
        </w:tc>
        <w:tc>
          <w:tcPr>
            <w:tcW w:type="dxa" w:w="3360"/>
            <w:vAlign w:val="center"/>
          </w:tcPr>
          <w:p>
            <w:r/>
            <w:r>
              <w:rPr>
                <w:rFonts w:ascii="Aptos" w:hAnsi="Aptos"/>
                <w:b w:val="0"/>
                <w:color w:val="101A2B"/>
                <w:sz w:val="16"/>
              </w:rPr>
              <w:t>Truth &amp; data cleanup</w:t>
            </w:r>
          </w:p>
        </w:tc>
        <w:tc>
          <w:tcPr>
            <w:tcW w:type="dxa" w:w="3360"/>
            <w:vAlign w:val="center"/>
          </w:tcPr>
          <w:p>
            <w:r/>
            <w:r>
              <w:rPr>
                <w:rFonts w:ascii="Aptos" w:hAnsi="Aptos"/>
                <w:b w:val="0"/>
                <w:color w:val="101A2B"/>
                <w:sz w:val="16"/>
              </w:rPr>
              <w:t>Freeze all station facts; reconcile kW/connector/status/opening data; remove demo values and placeholders.</w:t>
            </w:r>
          </w:p>
        </w:tc>
      </w:tr>
      <w:tr>
        <w:trPr>
          <w:cantSplit/>
        </w:trPr>
        <w:tc>
          <w:tcPr>
            <w:tcW w:type="dxa" w:w="3360"/>
            <w:vAlign w:val="center"/>
          </w:tcPr>
          <w:p>
            <w:r/>
            <w:r>
              <w:rPr>
                <w:rFonts w:ascii="Aptos" w:hAnsi="Aptos"/>
                <w:b w:val="0"/>
                <w:color w:val="101A2B"/>
                <w:sz w:val="16"/>
              </w:rPr>
              <w:t>Days 4–7</w:t>
            </w:r>
          </w:p>
        </w:tc>
        <w:tc>
          <w:tcPr>
            <w:tcW w:type="dxa" w:w="3360"/>
            <w:vAlign w:val="center"/>
          </w:tcPr>
          <w:p>
            <w:r/>
            <w:r>
              <w:rPr>
                <w:rFonts w:ascii="Aptos" w:hAnsi="Aptos"/>
                <w:b w:val="0"/>
                <w:color w:val="101A2B"/>
                <w:sz w:val="16"/>
              </w:rPr>
              <w:t>Copy + navigation</w:t>
            </w:r>
          </w:p>
        </w:tc>
        <w:tc>
          <w:tcPr>
            <w:tcW w:type="dxa" w:w="3360"/>
            <w:vAlign w:val="center"/>
          </w:tcPr>
          <w:p>
            <w:r/>
            <w:r>
              <w:rPr>
                <w:rFonts w:ascii="Aptos" w:hAnsi="Aptos"/>
                <w:b w:val="0"/>
                <w:color w:val="101A2B"/>
                <w:sz w:val="16"/>
              </w:rPr>
              <w:t>Approve positioning, homepage copy, claims policy, navigation and CTA language.</w:t>
            </w:r>
          </w:p>
        </w:tc>
      </w:tr>
      <w:tr>
        <w:trPr>
          <w:cantSplit/>
        </w:trPr>
        <w:tc>
          <w:tcPr>
            <w:tcW w:type="dxa" w:w="3360"/>
            <w:vAlign w:val="center"/>
          </w:tcPr>
          <w:p>
            <w:r/>
            <w:r>
              <w:rPr>
                <w:rFonts w:ascii="Aptos" w:hAnsi="Aptos"/>
                <w:b w:val="0"/>
                <w:color w:val="101A2B"/>
                <w:sz w:val="16"/>
              </w:rPr>
              <w:t>Week 2</w:t>
            </w:r>
          </w:p>
        </w:tc>
        <w:tc>
          <w:tcPr>
            <w:tcW w:type="dxa" w:w="3360"/>
            <w:vAlign w:val="center"/>
          </w:tcPr>
          <w:p>
            <w:r/>
            <w:r>
              <w:rPr>
                <w:rFonts w:ascii="Aptos" w:hAnsi="Aptos"/>
                <w:b w:val="0"/>
                <w:color w:val="101A2B"/>
                <w:sz w:val="16"/>
              </w:rPr>
              <w:t>Homepage + Network</w:t>
            </w:r>
          </w:p>
        </w:tc>
        <w:tc>
          <w:tcPr>
            <w:tcW w:type="dxa" w:w="3360"/>
            <w:vAlign w:val="center"/>
          </w:tcPr>
          <w:p>
            <w:r/>
            <w:r>
              <w:rPr>
                <w:rFonts w:ascii="Aptos" w:hAnsi="Aptos"/>
                <w:b w:val="0"/>
                <w:color w:val="101A2B"/>
                <w:sz w:val="16"/>
              </w:rPr>
              <w:t>Build new hero, corridor map, station cards, status system and station detail template.</w:t>
            </w:r>
          </w:p>
        </w:tc>
      </w:tr>
      <w:tr>
        <w:trPr>
          <w:cantSplit/>
        </w:trPr>
        <w:tc>
          <w:tcPr>
            <w:tcW w:type="dxa" w:w="3360"/>
            <w:vAlign w:val="center"/>
          </w:tcPr>
          <w:p>
            <w:r/>
            <w:r>
              <w:rPr>
                <w:rFonts w:ascii="Aptos" w:hAnsi="Aptos"/>
                <w:b w:val="0"/>
                <w:color w:val="101A2B"/>
                <w:sz w:val="16"/>
              </w:rPr>
              <w:t>Week 3</w:t>
            </w:r>
          </w:p>
        </w:tc>
        <w:tc>
          <w:tcPr>
            <w:tcW w:type="dxa" w:w="3360"/>
            <w:vAlign w:val="center"/>
          </w:tcPr>
          <w:p>
            <w:r/>
            <w:r>
              <w:rPr>
                <w:rFonts w:ascii="Aptos" w:hAnsi="Aptos"/>
                <w:b w:val="0"/>
                <w:color w:val="101A2B"/>
                <w:sz w:val="16"/>
              </w:rPr>
              <w:t>Audience journeys</w:t>
            </w:r>
          </w:p>
        </w:tc>
        <w:tc>
          <w:tcPr>
            <w:tcW w:type="dxa" w:w="3360"/>
            <w:vAlign w:val="center"/>
          </w:tcPr>
          <w:p>
            <w:r/>
            <w:r>
              <w:rPr>
                <w:rFonts w:ascii="Aptos" w:hAnsi="Aptos"/>
                <w:b w:val="0"/>
                <w:color w:val="101A2B"/>
                <w:sz w:val="16"/>
              </w:rPr>
              <w:t>Rebuild Solutions/Partner forms; create Fleet and Site Partner landing pages; update About/Contact/footer.</w:t>
            </w:r>
          </w:p>
        </w:tc>
      </w:tr>
      <w:tr>
        <w:trPr>
          <w:cantSplit/>
        </w:trPr>
        <w:tc>
          <w:tcPr>
            <w:tcW w:type="dxa" w:w="3360"/>
            <w:vAlign w:val="center"/>
          </w:tcPr>
          <w:p>
            <w:r/>
            <w:r>
              <w:rPr>
                <w:rFonts w:ascii="Aptos" w:hAnsi="Aptos"/>
                <w:b w:val="0"/>
                <w:color w:val="101A2B"/>
                <w:sz w:val="16"/>
              </w:rPr>
              <w:t>Week 4</w:t>
            </w:r>
          </w:p>
        </w:tc>
        <w:tc>
          <w:tcPr>
            <w:tcW w:type="dxa" w:w="3360"/>
            <w:vAlign w:val="center"/>
          </w:tcPr>
          <w:p>
            <w:r/>
            <w:r>
              <w:rPr>
                <w:rFonts w:ascii="Aptos" w:hAnsi="Aptos"/>
                <w:b w:val="0"/>
                <w:color w:val="101A2B"/>
                <w:sz w:val="16"/>
              </w:rPr>
              <w:t>Launch readiness</w:t>
            </w:r>
          </w:p>
        </w:tc>
        <w:tc>
          <w:tcPr>
            <w:tcW w:type="dxa" w:w="3360"/>
            <w:vAlign w:val="center"/>
          </w:tcPr>
          <w:p>
            <w:r/>
            <w:r>
              <w:rPr>
                <w:rFonts w:ascii="Aptos" w:hAnsi="Aptos"/>
                <w:b w:val="0"/>
                <w:color w:val="101A2B"/>
                <w:sz w:val="16"/>
              </w:rPr>
              <w:t>Mobile QA, accessibility, SEO metadata, analytics events, forms routing, privacy/terms/support content, performance optimization.</w:t>
            </w:r>
          </w:p>
        </w:tc>
      </w:tr>
    </w:tbl>
    <w:p>
      <w:pPr>
        <w:pStyle w:val="Heading2"/>
      </w:pPr>
      <w:r>
        <w:t>Launch gate checklist</w:t>
      </w:r>
    </w:p>
    <w:p>
      <w:pPr>
        <w:pStyle w:val="ListBullet"/>
        <w:spacing w:after="40"/>
      </w:pPr>
      <w:r>
        <w:t>No zero/placeholder counters visible</w:t>
      </w:r>
    </w:p>
    <w:p>
      <w:pPr>
        <w:pStyle w:val="ListBullet"/>
        <w:spacing w:after="40"/>
      </w:pPr>
      <w:r>
        <w:t>No founder/team placeholders</w:t>
      </w:r>
    </w:p>
    <w:p>
      <w:pPr>
        <w:pStyle w:val="ListBullet"/>
        <w:spacing w:after="40"/>
      </w:pPr>
      <w:r>
        <w:t>No demo data labeled as live</w:t>
      </w:r>
    </w:p>
    <w:p>
      <w:pPr>
        <w:pStyle w:val="ListBullet"/>
        <w:spacing w:after="40"/>
      </w:pPr>
      <w:r>
        <w:t>Every station specification matches the source-of-truth sheet</w:t>
      </w:r>
    </w:p>
    <w:p>
      <w:pPr>
        <w:pStyle w:val="ListBullet"/>
        <w:spacing w:after="40"/>
      </w:pPr>
      <w:r>
        <w:t>Every status is accurate</w:t>
      </w:r>
    </w:p>
    <w:p>
      <w:pPr>
        <w:pStyle w:val="ListBullet"/>
        <w:spacing w:after="40"/>
      </w:pPr>
      <w:r>
        <w:t>Every CTA goes to the correct page/form</w:t>
      </w:r>
    </w:p>
    <w:p>
      <w:pPr>
        <w:pStyle w:val="ListBullet"/>
        <w:spacing w:after="40"/>
      </w:pPr>
      <w:r>
        <w:t>Forms route to the correct internal owner</w:t>
      </w:r>
    </w:p>
    <w:p>
      <w:pPr>
        <w:pStyle w:val="ListBullet"/>
        <w:spacing w:after="40"/>
      </w:pPr>
      <w:r>
        <w:t>Mobile map/list is usable</w:t>
      </w:r>
    </w:p>
    <w:p>
      <w:pPr>
        <w:pStyle w:val="ListBullet"/>
        <w:spacing w:after="40"/>
      </w:pPr>
      <w:r>
        <w:t>Pricing/support/refund information ready before first public charging</w:t>
      </w:r>
    </w:p>
    <w:p>
      <w:pPr>
        <w:pStyle w:val="ListBullet"/>
        <w:spacing w:after="40"/>
      </w:pPr>
      <w:r>
        <w:t>Privacy/terms published</w:t>
      </w:r>
    </w:p>
    <w:p>
      <w:pPr>
        <w:pStyle w:val="ListBullet"/>
        <w:spacing w:after="40"/>
      </w:pPr>
      <w:r>
        <w:t>Analytics tested</w:t>
      </w:r>
    </w:p>
    <w:p>
      <w:pPr>
        <w:pStyle w:val="ListBullet"/>
        <w:spacing w:after="40"/>
      </w:pPr>
      <w:r>
        <w:t>Page speed and image compression checked</w:t>
      </w:r>
    </w:p>
    <w:p>
      <w:pPr>
        <w:pStyle w:val="ListBullet"/>
        <w:spacing w:after="40"/>
      </w:pPr>
      <w:r>
        <w:t>Spelling, grammar and punctuation checked on desktop and mobile</w:t>
      </w:r>
    </w:p>
    <w:p>
      <w:r>
        <w:br w:type="page"/>
      </w:r>
    </w:p>
    <w:p>
      <w:pPr>
        <w:pStyle w:val="Heading1"/>
      </w:pPr>
      <w:r>
        <w:t>14. Developer / Designer Handoff Notes</w:t>
      </w:r>
    </w:p>
    <w:p>
      <w:pPr>
        <w:pStyle w:val="Heading2"/>
      </w:pPr>
      <w:r>
        <w:t>CMS data model for stations</w:t>
      </w:r>
    </w:p>
    <w:p>
      <w:pPr>
        <w:spacing w:before="60" w:after="120"/>
        <w:ind w:left="259" w:right="259"/>
        <w:shd w:fill="F4F7FF"/>
      </w:pPr>
      <w:r>
        <w:rPr>
          <w:b/>
          <w:color w:val="1E5EFF"/>
          <w:sz w:val="17"/>
        </w:rPr>
        <w:t>RECOMMENDED FIELDS</w:t>
        <w:br/>
      </w:r>
      <w:r>
        <w:rPr>
          <w:color w:val="101A2B"/>
          <w:sz w:val="20"/>
        </w:rPr>
        <w:t>station_id • public_name • corridor • direction • latitude/longitude • status • target_opening • is_live • charger_configuration • connectors • sanctioned_load (internal/public flag) • amenities • commercial_vehicle_support • operating_hours • support_contact • pricing • maps_url • render/photo • image_label • last_verified_date</w:t>
      </w:r>
    </w:p>
    <w:p>
      <w:pPr>
        <w:pStyle w:val="Heading2"/>
      </w:pPr>
      <w:r>
        <w:t>Component system</w:t>
      </w:r>
    </w:p>
    <w:p>
      <w:pPr>
        <w:pStyle w:val="ListBullet"/>
        <w:spacing w:after="40"/>
      </w:pPr>
      <w:r>
        <w:t>Station Card</w:t>
      </w:r>
    </w:p>
    <w:p>
      <w:pPr>
        <w:pStyle w:val="ListBullet"/>
        <w:spacing w:after="40"/>
      </w:pPr>
      <w:r>
        <w:t>Status Badge</w:t>
      </w:r>
    </w:p>
    <w:p>
      <w:pPr>
        <w:pStyle w:val="ListBullet"/>
        <w:spacing w:after="40"/>
      </w:pPr>
      <w:r>
        <w:t>Corridor Map Pin</w:t>
      </w:r>
    </w:p>
    <w:p>
      <w:pPr>
        <w:pStyle w:val="ListBullet"/>
        <w:spacing w:after="40"/>
      </w:pPr>
      <w:r>
        <w:t>Metric / Proof Tile</w:t>
      </w:r>
    </w:p>
    <w:p>
      <w:pPr>
        <w:pStyle w:val="ListBullet"/>
        <w:spacing w:after="40"/>
      </w:pPr>
      <w:r>
        <w:t>Audience CTA Card</w:t>
      </w:r>
    </w:p>
    <w:p>
      <w:pPr>
        <w:pStyle w:val="ListBullet"/>
        <w:spacing w:after="40"/>
      </w:pPr>
      <w:r>
        <w:t>Amenity Icon + Label</w:t>
      </w:r>
    </w:p>
    <w:p>
      <w:pPr>
        <w:pStyle w:val="ListBullet"/>
        <w:spacing w:after="40"/>
      </w:pPr>
      <w:r>
        <w:t>Partner Form Step</w:t>
      </w:r>
    </w:p>
    <w:p>
      <w:pPr>
        <w:pStyle w:val="ListBullet"/>
        <w:spacing w:after="40"/>
      </w:pPr>
      <w:r>
        <w:t>Trust / Partner Logo Strip</w:t>
      </w:r>
    </w:p>
    <w:p>
      <w:pPr>
        <w:pStyle w:val="ListBullet"/>
        <w:spacing w:after="40"/>
      </w:pPr>
      <w:r>
        <w:t>Announcement Bar for new station launches</w:t>
      </w:r>
    </w:p>
    <w:p>
      <w:pPr>
        <w:pStyle w:val="Heading2"/>
      </w:pPr>
      <w:r>
        <w:t>Content rule</w:t>
      </w:r>
    </w:p>
    <w:p>
      <w:pPr>
        <w:spacing w:before="60" w:after="120"/>
        <w:ind w:left="259" w:right="259"/>
        <w:shd w:fill="F4F7FF"/>
      </w:pPr>
      <w:r>
        <w:rPr>
          <w:b/>
          <w:color w:val="1E5EFF"/>
          <w:sz w:val="17"/>
        </w:rPr>
        <w:t>RULE</w:t>
        <w:br/>
      </w:r>
      <w:r>
        <w:rPr>
          <w:color w:val="101A2B"/>
          <w:sz w:val="20"/>
        </w:rPr>
        <w:t>If a number can change, it should come from data — not from hard-coded marketing copy.</w:t>
      </w:r>
    </w:p>
    <w:p>
      <w:r>
        <w:t>This single rule will prevent most of the inconsistencies currently visible across charger power, station counts, status and operational metrics.</w:t>
      </w:r>
    </w:p>
    <w:p>
      <w:r>
        <w:br w:type="page"/>
      </w:r>
    </w:p>
    <w:p>
      <w:pPr>
        <w:pStyle w:val="Heading1"/>
      </w:pPr>
      <w:r>
        <w:t>15. Pages Reviewed &amp; Current-Site Observations</w:t>
      </w:r>
    </w:p>
    <w:p>
      <w:r>
        <w:t>The audit was based on the live public pages reviewed on 3 September 2026. Key observed items included:</w:t>
      </w:r>
    </w:p>
    <w:p>
      <w:pPr>
        <w:pStyle w:val="ListBullet"/>
        <w:spacing w:after="40"/>
      </w:pPr>
      <w:r>
        <w:t>Homepage: broken zero-value counters; 180–240 kW language; ‘India’s most reliable’ claim; ‘#1 reason’ claim; three featured stations; personal phone numbers in footer.</w:t>
      </w:r>
    </w:p>
    <w:p>
      <w:pPr>
        <w:pStyle w:val="ListBullet"/>
        <w:spacing w:after="40"/>
      </w:pPr>
      <w:r>
        <w:t>About: founder bio/portrait placeholders; ‘No.1’ vision wording; broad claims about infrastructure gap.</w:t>
      </w:r>
    </w:p>
    <w:p>
      <w:pPr>
        <w:pStyle w:val="ListBullet"/>
        <w:spacing w:after="40"/>
      </w:pPr>
      <w:r>
        <w:t>Network: 120–240 kW network statement; Narketpalle shown as 3 × 120 kW; five-station list; traffic figures; Sep/Oct 2026 opening dates; two Tekmatla entries.</w:t>
      </w:r>
    </w:p>
    <w:p>
      <w:pPr>
        <w:pStyle w:val="ListBullet"/>
        <w:spacing w:after="40"/>
      </w:pPr>
      <w:r>
        <w:t>Solutions: 180–240 kW highway statement; multi-standard list; ‘Fleet Dashboard Live’ with sessions/energy/utilisation values; real-time availability promise.</w:t>
      </w:r>
    </w:p>
    <w:p>
      <w:pPr>
        <w:pStyle w:val="ListBullet"/>
        <w:spacing w:after="40"/>
      </w:pPr>
      <w:r>
        <w:t>Partner: one combined lead page; site-location questions visible; ‘High-ROI’ and ‘returns from day one’ language.</w:t>
      </w:r>
    </w:p>
    <w:p>
      <w:pPr>
        <w:pStyle w:val="ListBullet"/>
        <w:spacing w:after="40"/>
      </w:pPr>
      <w:r>
        <w:t>Contact: personal phone numbers and registered office details; general enquiry form.</w:t>
      </w:r>
    </w:p>
    <w:p>
      <w:pPr>
        <w:pStyle w:val="Heading2"/>
      </w:pPr>
      <w:r>
        <w:t>Reference URLs</w:t>
      </w:r>
    </w:p>
    <w:p>
      <w:pPr>
        <w:pStyle w:val="Small"/>
      </w:pPr>
      <w:r>
        <w:t>https://www.vegacharge.in/</w:t>
      </w:r>
    </w:p>
    <w:p>
      <w:pPr>
        <w:pStyle w:val="Small"/>
      </w:pPr>
      <w:r>
        <w:t>https://www.vegacharge.in/about</w:t>
      </w:r>
    </w:p>
    <w:p>
      <w:pPr>
        <w:pStyle w:val="Small"/>
      </w:pPr>
      <w:r>
        <w:t>https://www.vegacharge.in/network</w:t>
      </w:r>
    </w:p>
    <w:p>
      <w:pPr>
        <w:pStyle w:val="Small"/>
      </w:pPr>
      <w:r>
        <w:t>https://www.vegacharge.in/solutions</w:t>
      </w:r>
    </w:p>
    <w:p>
      <w:pPr>
        <w:pStyle w:val="Small"/>
      </w:pPr>
      <w:r>
        <w:t>https://www.vegacharge.in/contact</w:t>
      </w:r>
    </w:p>
    <w:p>
      <w:pPr>
        <w:pStyle w:val="Small"/>
      </w:pPr>
      <w:r>
        <w:t>https://www.vegacharge.in/partner</w:t>
      </w:r>
    </w:p>
    <w:p/>
    <w:p>
      <w:pPr>
        <w:jc w:val="center"/>
      </w:pPr>
      <w:r>
        <w:rPr>
          <w:b/>
          <w:color w:val="1E5EFF"/>
          <w:sz w:val="20"/>
        </w:rPr>
        <w:t>END OF WEBSITE AUDIT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5"/>
      </w:rPr>
      <w:t>Confidential working document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VEGA CHARGE  |  WEBSITE AUDIT &amp; REPLACEMENT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01A2B"/>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01A2B"/>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E5E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1E5EFF"/>
      <w:sz w:val="16"/>
    </w:rPr>
  </w:style>
  <w:style w:type="paragraph" w:customStyle="1" w:styleId="Callout">
    <w:name w:val="Callout"/>
    <w:pPr>
      <w:spacing w:after="80"/>
    </w:pPr>
    <w:rPr>
      <w:rFonts w:ascii="Aptos" w:hAnsi="Aptos"/>
      <w:b/>
      <w:color w:val="101A2B"/>
      <w:sz w:val="20"/>
    </w:rPr>
  </w:style>
  <w:style w:type="paragraph" w:customStyle="1" w:styleId="Small">
    <w:name w:val="Small"/>
    <w:pPr>
      <w:spacing w:after="80"/>
    </w:pPr>
    <w:rPr>
      <w:rFonts w:ascii="Aptos" w:hAnsi="Aptos"/>
      <w:b w:val="0"/>
      <w:color w:val="4B5563"/>
      <w:sz w:val="16"/>
    </w:rPr>
  </w:style>
  <w:style w:type="paragraph" w:customStyle="1" w:styleId="Replacement">
    <w:name w:val="Replacement"/>
    <w:pPr>
      <w:spacing w:after="80"/>
    </w:pPr>
    <w:rPr>
      <w:rFonts w:ascii="Aptos" w:hAnsi="Aptos"/>
      <w:b w:val="0"/>
      <w:color w:val="101A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