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val="false"/>
          <w:bCs w:val="false"/>
          <w:i w:val="false"/>
          <w:iCs w:val="false"/>
          <w:color w:val="4A4A4A"/>
          <w:sz w:val="20"/>
          <w:szCs w:val="20"/>
        </w:rPr>
        <w:t xml:space="preserve"/>
      </w:r>
    </w:p>
    <w:p>
      <w:pPr>
        <w:spacing w:after="80" w:before="0"/>
      </w:pPr>
      <w:r>
        <w:rPr>
          <w:rFonts w:ascii="Arial" w:cs="Arial" w:eastAsia="Arial" w:hAnsi="Arial"/>
          <w:b/>
          <w:bCs/>
          <w:i w:val="false"/>
          <w:iCs w:val="false"/>
          <w:color w:val="0E7C6E"/>
          <w:sz w:val="18"/>
          <w:szCs w:val="18"/>
        </w:rPr>
        <w:t xml:space="preserve">ENTERPRISE ONBOARDING PROJECT</w:t>
      </w:r>
    </w:p>
    <w:p>
      <w:pPr>
        <w:spacing w:after="200" w:before="0"/>
      </w:pPr>
      <w:r>
        <w:rPr>
          <w:rFonts w:ascii="Arial" w:cs="Arial" w:eastAsia="Arial" w:hAnsi="Arial"/>
          <w:b/>
          <w:bCs/>
          <w:i w:val="false"/>
          <w:iCs w:val="false"/>
          <w:color w:val="0B1F3A"/>
          <w:sz w:val="44"/>
          <w:szCs w:val="44"/>
        </w:rPr>
        <w:t xml:space="preserve">Orca Security — Dashboard Design &amp; Configuration Guide</w:t>
      </w:r>
    </w:p>
    <w:p>
      <w:pPr>
        <w:spacing w:after="120" w:before="0"/>
      </w:pPr>
      <w:r>
        <w:rPr>
          <w:rFonts w:ascii="Arial" w:cs="Arial" w:eastAsia="Arial" w:hAnsi="Arial"/>
          <w:b w:val="false"/>
          <w:bCs w:val="false"/>
          <w:i/>
          <w:iCs/>
          <w:color w:val="555555"/>
          <w:sz w:val="24"/>
          <w:szCs w:val="24"/>
        </w:rPr>
        <w:t xml:space="preserve">Multi-team dashboard specifications for large enterprise deployments</w:t>
      </w:r>
    </w:p>
    <w:p>
      <w:pPr>
        <w:spacing w:after="80" w:before="0"/>
      </w:pPr>
      <w:r>
        <w:rPr>
          <w:rFonts w:ascii="Arial" w:cs="Arial" w:eastAsia="Arial" w:hAnsi="Arial"/>
          <w:b w:val="false"/>
          <w:bCs w:val="false"/>
          <w:i w:val="false"/>
          <w:iCs w:val="false"/>
          <w:color w:val="4A4A4A"/>
          <w:sz w:val="20"/>
          <w:szCs w:val="20"/>
        </w:rPr>
        <w:t xml:space="preserve"/>
      </w:r>
    </w:p>
    <w:p>
      <w:pPr>
        <w:pBdr>
          <w:bottom w:val="single" w:color="0B4F8C" w:sz="4"/>
        </w:pBdr>
        <w:spacing w:after="200" w:before="200"/>
      </w:pPr>
      <w:r>
        <w:rPr>
          <w:rFonts w:ascii="Arial" w:cs="Arial" w:eastAsia="Arial" w:hAnsi="Arial"/>
          <w:b w:val="false"/>
          <w:bCs w:val="false"/>
          <w:i w:val="false"/>
          <w:iCs w:val="false"/>
          <w:color w:val="4A4A4A"/>
          <w:sz w:val="20"/>
          <w:szCs w:val="20"/>
        </w:rPr>
        <w:t xml:space="preserve"/>
      </w:r>
    </w:p>
    <w:p>
      <w:pPr>
        <w:spacing w:after="80" w:before="0"/>
      </w:pPr>
      <w:r>
        <w:rPr>
          <w:rFonts w:ascii="Arial" w:cs="Arial" w:eastAsia="Arial" w:hAnsi="Arial"/>
          <w:b w:val="false"/>
          <w:bCs w:val="false"/>
          <w:i w:val="false"/>
          <w:iCs w:val="false"/>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3D8" w:sz="1"/>
              <w:left w:val="single" w:color="D0D3D8" w:sz="1"/>
              <w:bottom w:val="single" w:color="D0D3D8" w:sz="1"/>
              <w:right w:val="single" w:color="D0D3D8" w:sz="1"/>
            </w:tcBorders>
            <w:shd w:fill="E1ECF7" w:val="clear"/>
            <w:tcMar>
              <w:top w:type="dxa" w:w="90"/>
              <w:left w:type="dxa" w:w="130"/>
              <w:bottom w:type="dxa" w:w="90"/>
              <w:right w:type="dxa" w:w="130"/>
            </w:tcMar>
            <w:vAlign w:val="center"/>
          </w:tcPr>
          <w:p>
            <w:pPr>
              <w:spacing w:after="40" w:before="40"/>
              <w:jc w:val="center"/>
            </w:pPr>
            <w:r>
              <w:rPr>
                <w:rFonts w:ascii="Arial" w:cs="Arial" w:eastAsia="Arial" w:hAnsi="Arial"/>
                <w:b/>
                <w:bCs/>
                <w:i w:val="false"/>
                <w:iCs w:val="false"/>
                <w:color w:val="0A3D6E"/>
                <w:sz w:val="20"/>
                <w:szCs w:val="20"/>
              </w:rPr>
              <w:t xml:space="preserve">Version
1.0</w:t>
            </w:r>
          </w:p>
        </w:tc>
        <w:tc>
          <w:tcPr>
            <w:tcW w:type="dxa" w:w="2340"/>
            <w:tcBorders>
              <w:top w:val="single" w:color="D0D3D8" w:sz="1"/>
              <w:left w:val="single" w:color="D0D3D8" w:sz="1"/>
              <w:bottom w:val="single" w:color="D0D3D8" w:sz="1"/>
              <w:right w:val="single" w:color="D0D3D8" w:sz="1"/>
            </w:tcBorders>
            <w:shd w:fill="FDF3DC" w:val="clear"/>
            <w:tcMar>
              <w:top w:type="dxa" w:w="90"/>
              <w:left w:type="dxa" w:w="130"/>
              <w:bottom w:type="dxa" w:w="90"/>
              <w:right w:type="dxa" w:w="130"/>
            </w:tcMar>
            <w:vAlign w:val="center"/>
          </w:tcPr>
          <w:p>
            <w:pPr>
              <w:spacing w:after="40" w:before="40"/>
              <w:jc w:val="center"/>
            </w:pPr>
            <w:r>
              <w:rPr>
                <w:rFonts w:ascii="Arial" w:cs="Arial" w:eastAsia="Arial" w:hAnsi="Arial"/>
                <w:b/>
                <w:bCs/>
                <w:i w:val="false"/>
                <w:iCs w:val="false"/>
                <w:color w:val="7A4E07"/>
                <w:sz w:val="20"/>
                <w:szCs w:val="20"/>
              </w:rPr>
              <w:t xml:space="preserve">Status
Draft</w:t>
            </w:r>
          </w:p>
        </w:tc>
        <w:tc>
          <w:tcPr>
            <w:tcW w:type="dxa" w:w="2340"/>
            <w:tcBorders>
              <w:top w:val="single" w:color="D0D3D8" w:sz="1"/>
              <w:left w:val="single" w:color="D0D3D8" w:sz="1"/>
              <w:bottom w:val="single" w:color="D0D3D8" w:sz="1"/>
              <w:right w:val="single" w:color="D0D3D8" w:sz="1"/>
            </w:tcBorders>
            <w:shd w:fill="DFF3EF" w:val="clear"/>
            <w:tcMar>
              <w:top w:type="dxa" w:w="90"/>
              <w:left w:type="dxa" w:w="130"/>
              <w:bottom w:type="dxa" w:w="90"/>
              <w:right w:type="dxa" w:w="130"/>
            </w:tcMar>
            <w:vAlign w:val="center"/>
          </w:tcPr>
          <w:p>
            <w:pPr>
              <w:spacing w:after="40" w:before="40"/>
              <w:jc w:val="center"/>
            </w:pPr>
            <w:r>
              <w:rPr>
                <w:rFonts w:ascii="Arial" w:cs="Arial" w:eastAsia="Arial" w:hAnsi="Arial"/>
                <w:b/>
                <w:bCs/>
                <w:i w:val="false"/>
                <w:iCs w:val="false"/>
                <w:color w:val="085249"/>
                <w:sz w:val="20"/>
                <w:szCs w:val="20"/>
              </w:rPr>
              <w:t xml:space="preserve">Dashboards
5 Teams</w:t>
            </w:r>
          </w:p>
        </w:tc>
        <w:tc>
          <w:tcPr>
            <w:tcW w:type="dxa" w:w="234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center"/>
            </w:pPr>
            <w:r>
              <w:rPr>
                <w:rFonts w:ascii="Arial" w:cs="Arial" w:eastAsia="Arial" w:hAnsi="Arial"/>
                <w:b/>
                <w:bCs/>
                <w:i w:val="false"/>
                <w:iCs w:val="false"/>
                <w:color w:val="4A4A4A"/>
                <w:sz w:val="20"/>
                <w:szCs w:val="20"/>
              </w:rPr>
              <w:t xml:space="preserve">Last Updated
May 2026</w:t>
            </w:r>
          </w:p>
        </w:tc>
      </w:tr>
    </w:tbl>
    <w:p>
      <w:pPr>
        <w:spacing w:after="160" w:before="0"/>
      </w:pPr>
      <w:r>
        <w:rPr>
          <w:rFonts w:ascii="Arial" w:cs="Arial" w:eastAsia="Arial" w:hAnsi="Arial"/>
          <w:b w:val="false"/>
          <w:bCs w:val="false"/>
          <w:i w:val="false"/>
          <w:iCs w:val="false"/>
          <w:color w:val="4A4A4A"/>
          <w:sz w:val="20"/>
          <w:szCs w:val="20"/>
        </w:rPr>
        <w:t xml:space="preserve"/>
      </w:r>
    </w:p>
    <w:p>
      <w:pPr>
        <w:pBdr>
          <w:left w:val="single" w:color="0B4F8C" w:sz="20"/>
        </w:pBdr>
        <w:spacing w:after="100" w:before="280"/>
        <w:ind w:left="260"/>
      </w:pPr>
      <w:r>
        <w:rPr>
          <w:rFonts w:ascii="Arial" w:cs="Arial" w:eastAsia="Arial" w:hAnsi="Arial"/>
          <w:b/>
          <w:bCs/>
          <w:i w:val="false"/>
          <w:iCs w:val="false"/>
          <w:color w:val="0B4F8C"/>
          <w:sz w:val="30"/>
          <w:szCs w:val="30"/>
        </w:rPr>
        <w:t xml:space="preserve">Project overview</w:t>
      </w:r>
    </w:p>
    <w:p>
      <w:pPr>
        <w:spacing w:after="140" w:before="60"/>
      </w:pPr>
      <w:r>
        <w:rPr>
          <w:rFonts w:ascii="Arial" w:cs="Arial" w:eastAsia="Arial" w:hAnsi="Arial"/>
          <w:b w:val="false"/>
          <w:bCs w:val="false"/>
          <w:i/>
          <w:iCs/>
          <w:color w:val="666666"/>
          <w:sz w:val="21"/>
          <w:szCs w:val="21"/>
        </w:rPr>
        <w:t xml:space="preserve">Purpose, scope, and team mapping</w:t>
      </w:r>
    </w:p>
    <w:p>
      <w:pPr>
        <w:spacing w:after="120" w:before="0"/>
        <w:jc w:val="left"/>
      </w:pPr>
      <w:r>
        <w:rPr>
          <w:rFonts w:ascii="Arial" w:cs="Arial" w:eastAsia="Arial" w:hAnsi="Arial"/>
          <w:b w:val="false"/>
          <w:bCs w:val="false"/>
          <w:i w:val="false"/>
          <w:iCs w:val="false"/>
          <w:color w:val="4A4A4A"/>
          <w:sz w:val="20"/>
          <w:szCs w:val="20"/>
        </w:rPr>
        <w:t xml:space="preserve">This document defines the Orca Security dashboard onboarding plan for a large enterprise deployment. It provides per-team specifications including widget layout, widget configuration, data sources, and filter settings. Each dashboard is designed to surface the most operationally relevant signals for that team's workflow without requiring cross-team context.</w:t>
      </w:r>
    </w:p>
    <w:p>
      <w:pPr>
        <w:spacing w:after="120" w:before="0"/>
        <w:jc w:val="left"/>
      </w:pPr>
      <w:r>
        <w:rPr>
          <w:rFonts w:ascii="Arial" w:cs="Arial" w:eastAsia="Arial" w:hAnsi="Arial"/>
          <w:b w:val="false"/>
          <w:bCs w:val="false"/>
          <w:i w:val="false"/>
          <w:iCs w:val="false"/>
          <w:color w:val="4A4A4A"/>
          <w:sz w:val="20"/>
          <w:szCs w:val="20"/>
        </w:rPr>
        <w:t xml:space="preserve">Orca's dashboard framework supports fully customizable widget grids. All dashboards in this guide are built using Orca's native widget library and assume SideScanning is fully connected to AWS, Azure, and GCP environments with tags and asset groups configured at onboarding.</w:t>
      </w:r>
    </w:p>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B4F8C"/>
          <w:sz w:val="24"/>
          <w:szCs w:val="24"/>
        </w:rPr>
        <w:t xml:space="preserve">Teams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Team</w:t>
            </w:r>
          </w:p>
        </w:tc>
        <w:tc>
          <w:tcPr>
            <w:tcW w:type="dxa" w:w="220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Audience</w:t>
            </w:r>
          </w:p>
        </w:tc>
        <w:tc>
          <w:tcPr>
            <w:tcW w:type="dxa" w:w="496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Primary focus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Executive</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CISOs, VPs, Board</w:t>
            </w:r>
          </w:p>
        </w:tc>
        <w:tc>
          <w:tcPr>
            <w:tcW w:type="dxa" w:w="49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Risk posture, compliance trends, business risk — no technical detail</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Security</w:t>
            </w:r>
          </w:p>
        </w:tc>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Security architects, GRC</w:t>
            </w:r>
          </w:p>
        </w:tc>
        <w:tc>
          <w:tcPr>
            <w:tcW w:type="dxa" w:w="49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CSPM findings, attack paths, policy violations, crown jewel exposure</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SOC</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Security analysts, IR team</w:t>
            </w:r>
          </w:p>
        </w:tc>
        <w:tc>
          <w:tcPr>
            <w:tcW w:type="dxa" w:w="49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Active alerts, CDR events, attack path prioritization, triage queue</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Cloud Engineering</w:t>
            </w:r>
          </w:p>
        </w:tc>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Cloud architects, SREs</w:t>
            </w:r>
          </w:p>
        </w:tc>
        <w:tc>
          <w:tcPr>
            <w:tcW w:type="dxa" w:w="49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Asset inventory, misconfiguration, IaC drift, cost-risk correlation</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Dev / DevOps</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Developers, platform engineers</w:t>
            </w:r>
          </w:p>
        </w:tc>
        <w:tc>
          <w:tcPr>
            <w:tcW w:type="dxa" w:w="49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Shift-left findings, container/image vulns, CI/CD pipeline risk</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B4F8C"/>
          <w:sz w:val="24"/>
          <w:szCs w:val="24"/>
        </w:rPr>
        <w:t xml:space="preserve">Global configuration prerequisites</w:t>
      </w:r>
    </w:p>
    <w:p>
      <w:pPr>
        <w:spacing w:after="120" w:before="0"/>
        <w:jc w:val="left"/>
      </w:pPr>
      <w:r>
        <w:rPr>
          <w:rFonts w:ascii="Arial" w:cs="Arial" w:eastAsia="Arial" w:hAnsi="Arial"/>
          <w:b w:val="false"/>
          <w:bCs w:val="false"/>
          <w:i w:val="false"/>
          <w:iCs w:val="false"/>
          <w:color w:val="4A4A4A"/>
          <w:sz w:val="20"/>
          <w:szCs w:val="20"/>
        </w:rPr>
        <w:t xml:space="preserve">Before any dashboard is configured, the following Orca settings must be completed at the org level:</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Asset tagging: environment (prod/staging/dev), team ownership, data classification, business unit</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Asset groups: create logical groups per team scope — e.g., 'prod-cloud-infra', 'container-workloads', 'data-stores'</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Crown jewels: manually tag business-critical assets (data stores, auth systems, payment infra) in Orca's Crown Jewels configuration</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Compliance frameworks: activate CIS Benchmarks, SOC 2, NIST 800-53, PCI DSS, and ISO 27001 as applicable</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Alert policies: configure severity thresholds and SLA targets per team (e.g., Critical = 4-hour SLA for SOC)</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RBAC: assign team-scoped roles so each dashboard user sees only their asset group by default</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Integrations: connect Jira (ticketing), Slack (alerting), and SIEM/SOAR before dashboard go-live</w:t>
      </w:r>
    </w:p>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B4F8C"/>
          <w:sz w:val="24"/>
          <w:szCs w:val="24"/>
        </w:rPr>
        <w:t xml:space="preserve">Dashboard rollout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120"/>
        <w:gridCol w:w="2400"/>
      </w:tblGrid>
      <w:tr>
        <w:trPr>
          <w:tblHeader/>
        </w:trPr>
        <w:tc>
          <w:tcPr>
            <w:tcW w:type="dxa" w:w="144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Phase</w:t>
            </w:r>
          </w:p>
        </w:tc>
        <w:tc>
          <w:tcPr>
            <w:tcW w:type="dxa" w:w="240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Timeline</w:t>
            </w:r>
          </w:p>
        </w:tc>
        <w:tc>
          <w:tcPr>
            <w:tcW w:type="dxa" w:w="312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Deliverable</w:t>
            </w:r>
          </w:p>
        </w:tc>
        <w:tc>
          <w:tcPr>
            <w:tcW w:type="dxa" w:w="240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Owner</w:t>
            </w:r>
          </w:p>
        </w:tc>
      </w:tr>
      <w:tr>
        <w:tc>
          <w:tcPr>
            <w:tcW w:type="dxa" w:w="144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0B4F8C"/>
                <w:sz w:val="18"/>
                <w:szCs w:val="18"/>
              </w:rPr>
              <w:t xml:space="preserve">1</w:t>
            </w:r>
          </w:p>
        </w:tc>
        <w:tc>
          <w:tcPr>
            <w:tcW w:type="dxa" w:w="2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Week 1–2</w:t>
            </w:r>
          </w:p>
        </w:tc>
        <w:tc>
          <w:tcPr>
            <w:tcW w:type="dxa" w:w="312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Connect cloud accounts, enable SideScanning, configure tags and asset groups</w:t>
            </w:r>
          </w:p>
        </w:tc>
        <w:tc>
          <w:tcPr>
            <w:tcW w:type="dxa" w:w="2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Cloud Engineering</w:t>
            </w:r>
          </w:p>
        </w:tc>
      </w:tr>
      <w:tr>
        <w:tc>
          <w:tcPr>
            <w:tcW w:type="dxa" w:w="144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0B4F8C"/>
                <w:sz w:val="18"/>
                <w:szCs w:val="18"/>
              </w:rPr>
              <w:t xml:space="preserve">2</w:t>
            </w:r>
          </w:p>
        </w:tc>
        <w:tc>
          <w:tcPr>
            <w:tcW w:type="dxa" w:w="2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Week 2–3</w:t>
            </w:r>
          </w:p>
        </w:tc>
        <w:tc>
          <w:tcPr>
            <w:tcW w:type="dxa" w:w="312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Activate compliance frameworks, configure crown jewels, set RBAC roles</w:t>
            </w:r>
          </w:p>
        </w:tc>
        <w:tc>
          <w:tcPr>
            <w:tcW w:type="dxa" w:w="2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Security Team</w:t>
            </w:r>
          </w:p>
        </w:tc>
      </w:tr>
      <w:tr>
        <w:tc>
          <w:tcPr>
            <w:tcW w:type="dxa" w:w="144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0B4F8C"/>
                <w:sz w:val="18"/>
                <w:szCs w:val="18"/>
              </w:rPr>
              <w:t xml:space="preserve">3</w:t>
            </w:r>
          </w:p>
        </w:tc>
        <w:tc>
          <w:tcPr>
            <w:tcW w:type="dxa" w:w="2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Week 3–4</w:t>
            </w:r>
          </w:p>
        </w:tc>
        <w:tc>
          <w:tcPr>
            <w:tcW w:type="dxa" w:w="312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Deploy SOC and Security dashboards, configure alert policies and Jira integration</w:t>
            </w:r>
          </w:p>
        </w:tc>
        <w:tc>
          <w:tcPr>
            <w:tcW w:type="dxa" w:w="2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SOC + Security</w:t>
            </w:r>
          </w:p>
        </w:tc>
      </w:tr>
      <w:tr>
        <w:tc>
          <w:tcPr>
            <w:tcW w:type="dxa" w:w="144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0B4F8C"/>
                <w:sz w:val="18"/>
                <w:szCs w:val="18"/>
              </w:rPr>
              <w:t xml:space="preserve">4</w:t>
            </w:r>
          </w:p>
        </w:tc>
        <w:tc>
          <w:tcPr>
            <w:tcW w:type="dxa" w:w="2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Week 4–5</w:t>
            </w:r>
          </w:p>
        </w:tc>
        <w:tc>
          <w:tcPr>
            <w:tcW w:type="dxa" w:w="312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Deploy Cloud Engineering and DevOps dashboards, connect CI/CD pipelines</w:t>
            </w:r>
          </w:p>
        </w:tc>
        <w:tc>
          <w:tcPr>
            <w:tcW w:type="dxa" w:w="2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Cloud Eng + DevOps</w:t>
            </w:r>
          </w:p>
        </w:tc>
      </w:tr>
      <w:tr>
        <w:tc>
          <w:tcPr>
            <w:tcW w:type="dxa" w:w="144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0B4F8C"/>
                <w:sz w:val="18"/>
                <w:szCs w:val="18"/>
              </w:rPr>
              <w:t xml:space="preserve">5</w:t>
            </w:r>
          </w:p>
        </w:tc>
        <w:tc>
          <w:tcPr>
            <w:tcW w:type="dxa" w:w="2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Week 5–6</w:t>
            </w:r>
          </w:p>
        </w:tc>
        <w:tc>
          <w:tcPr>
            <w:tcW w:type="dxa" w:w="312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Deploy Executive dashboard, validate KPIs, conduct team training sessions</w:t>
            </w:r>
          </w:p>
        </w:tc>
        <w:tc>
          <w:tcPr>
            <w:tcW w:type="dxa" w:w="2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CISO / Program Lead</w:t>
            </w:r>
          </w:p>
        </w:tc>
      </w:tr>
      <w:tr>
        <w:tc>
          <w:tcPr>
            <w:tcW w:type="dxa" w:w="144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0B4F8C"/>
                <w:sz w:val="18"/>
                <w:szCs w:val="18"/>
              </w:rPr>
              <w:t xml:space="preserve">6</w:t>
            </w:r>
          </w:p>
        </w:tc>
        <w:tc>
          <w:tcPr>
            <w:tcW w:type="dxa" w:w="2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Week 6–8</w:t>
            </w:r>
          </w:p>
        </w:tc>
        <w:tc>
          <w:tcPr>
            <w:tcW w:type="dxa" w:w="312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Tune widgets and filters based on team feedback, establish review cadence</w:t>
            </w:r>
          </w:p>
        </w:tc>
        <w:tc>
          <w:tcPr>
            <w:tcW w:type="dxa" w:w="2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 teams</w:t>
            </w:r>
          </w:p>
        </w:tc>
      </w:tr>
    </w:tbl>
    <w:p>
      <w:r>
        <w:br w:type="page"/>
      </w:r>
    </w:p>
    <w:p>
      <w:pPr>
        <w:pBdr>
          <w:left w:val="single" w:color="5A3DA6" w:sz="20"/>
        </w:pBdr>
        <w:spacing w:after="100" w:before="280"/>
        <w:ind w:left="260"/>
      </w:pPr>
      <w:r>
        <w:rPr>
          <w:rFonts w:ascii="Arial" w:cs="Arial" w:eastAsia="Arial" w:hAnsi="Arial"/>
          <w:b/>
          <w:bCs/>
          <w:i w:val="false"/>
          <w:iCs w:val="false"/>
          <w:color w:val="5A3DA6"/>
          <w:sz w:val="30"/>
          <w:szCs w:val="30"/>
        </w:rPr>
        <w:t xml:space="preserve">Dashboard 1 — Executive</w:t>
      </w:r>
    </w:p>
    <w:p>
      <w:pPr>
        <w:spacing w:after="140" w:before="60"/>
      </w:pPr>
      <w:r>
        <w:rPr>
          <w:rFonts w:ascii="Arial" w:cs="Arial" w:eastAsia="Arial" w:hAnsi="Arial"/>
          <w:b w:val="false"/>
          <w:bCs w:val="false"/>
          <w:i/>
          <w:iCs/>
          <w:color w:val="666666"/>
          <w:sz w:val="21"/>
          <w:szCs w:val="21"/>
        </w:rPr>
        <w:t xml:space="preserve">Audience: CISO, VP Engineering, Board-level reporting | Refresh: Daily</w:t>
      </w:r>
    </w:p>
    <w:p>
      <w:pPr>
        <w:spacing w:after="120" w:before="0"/>
        <w:jc w:val="left"/>
      </w:pPr>
      <w:r>
        <w:rPr>
          <w:rFonts w:ascii="Arial" w:cs="Arial" w:eastAsia="Arial" w:hAnsi="Arial"/>
          <w:b w:val="false"/>
          <w:bCs w:val="false"/>
          <w:i w:val="false"/>
          <w:iCs w:val="false"/>
          <w:color w:val="4A4A4A"/>
          <w:sz w:val="20"/>
          <w:szCs w:val="20"/>
        </w:rPr>
        <w:t xml:space="preserve">The Executive dashboard translates cloud security posture into business language. It avoids granular technical findings and instead presents trend lines, compliance health, risk exposure trajectory, and top-priority items requiring executive decision. All scores are normalized to a 0–100 scale. The dashboard is read-only for executives and auto-refreshes on a 24-hour cycle.</w:t>
      </w:r>
    </w:p>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5A3DA6"/>
          <w:sz w:val="24"/>
          <w:szCs w:val="24"/>
        </w:rPr>
        <w:t xml:space="preserve">Layout overview</w:t>
      </w:r>
    </w:p>
    <w:p>
      <w:pPr>
        <w:spacing w:after="120" w:before="0"/>
        <w:jc w:val="left"/>
      </w:pPr>
      <w:r>
        <w:rPr>
          <w:rFonts w:ascii="Arial" w:cs="Arial" w:eastAsia="Arial" w:hAnsi="Arial"/>
          <w:b w:val="false"/>
          <w:bCs w:val="false"/>
          <w:i w:val="false"/>
          <w:iCs w:val="false"/>
          <w:color w:val="4A4A4A"/>
          <w:sz w:val="20"/>
          <w:szCs w:val="20"/>
        </w:rPr>
        <w:t xml:space="preserve">The dashboard uses a 3-row grid. Row 1 contains KPI scorecards. Row 2 contains trend and compliance charts. Row 3 contains top-risk summary tables.</w:t>
      </w:r>
    </w:p>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1 — KPI scorecards (6 widgets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Overall Risk Score</w:t>
            </w:r>
          </w:p>
          <w:p>
            <w:pPr>
              <w:spacing w:after="30" w:before="0"/>
            </w:pPr>
            <w:r>
              <w:rPr>
                <w:rFonts w:ascii="Arial" w:cs="Arial" w:eastAsia="Arial" w:hAnsi="Arial"/>
                <w:b w:val="false"/>
                <w:bCs w:val="false"/>
                <w:i/>
                <w:iCs/>
                <w:color w:val="555555"/>
                <w:sz w:val="17"/>
                <w:szCs w:val="17"/>
              </w:rPr>
              <w:t xml:space="preserve">Scorecard</w:t>
            </w:r>
          </w:p>
          <w:p>
            <w:pPr>
              <w:spacing w:after="0" w:before="20"/>
            </w:pPr>
            <w:r>
              <w:rPr>
                <w:rFonts w:ascii="Arial" w:cs="Arial" w:eastAsia="Arial" w:hAnsi="Arial"/>
                <w:b w:val="false"/>
                <w:bCs w:val="false"/>
                <w:i w:val="false"/>
                <w:iCs w:val="false"/>
                <w:color w:val="666666"/>
                <w:sz w:val="16"/>
                <w:szCs w:val="16"/>
              </w:rPr>
              <w:t xml:space="preserve">0–100 scale, trend delta vs. 30d prior</w:t>
            </w:r>
          </w:p>
        </w:tc>
        <w:tc>
          <w:tcPr>
            <w:tcW w:type="dxa" w:w="156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Critical Issues</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Open critical alerts, trend arrow</w:t>
            </w:r>
          </w:p>
        </w:tc>
        <w:tc>
          <w:tcPr>
            <w:tcW w:type="dxa" w:w="156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Compliance Score</w:t>
            </w:r>
          </w:p>
          <w:p>
            <w:pPr>
              <w:spacing w:after="30" w:before="0"/>
            </w:pPr>
            <w:r>
              <w:rPr>
                <w:rFonts w:ascii="Arial" w:cs="Arial" w:eastAsia="Arial" w:hAnsi="Arial"/>
                <w:b w:val="false"/>
                <w:bCs w:val="false"/>
                <w:i/>
                <w:iCs/>
                <w:color w:val="555555"/>
                <w:sz w:val="17"/>
                <w:szCs w:val="17"/>
              </w:rPr>
              <w:t xml:space="preserve">Scorecard</w:t>
            </w:r>
          </w:p>
          <w:p>
            <w:pPr>
              <w:spacing w:after="0" w:before="20"/>
            </w:pPr>
            <w:r>
              <w:rPr>
                <w:rFonts w:ascii="Arial" w:cs="Arial" w:eastAsia="Arial" w:hAnsi="Arial"/>
                <w:b w:val="false"/>
                <w:bCs w:val="false"/>
                <w:i w:val="false"/>
                <w:iCs w:val="false"/>
                <w:color w:val="666666"/>
                <w:sz w:val="16"/>
                <w:szCs w:val="16"/>
              </w:rPr>
              <w:t xml:space="preserve">Average across active frameworks</w:t>
            </w:r>
          </w:p>
        </w:tc>
        <w:tc>
          <w:tcPr>
            <w:tcW w:type="dxa" w:w="156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Assets at Risk</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 of total asset inventory</w:t>
            </w:r>
          </w:p>
        </w:tc>
        <w:tc>
          <w:tcPr>
            <w:tcW w:type="dxa" w:w="156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Crown Jewel Exposure</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Crown jewels with critical path</w:t>
            </w:r>
          </w:p>
        </w:tc>
        <w:tc>
          <w:tcPr>
            <w:tcW w:type="dxa" w:w="156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Mean Time to Remediate</w:t>
            </w:r>
          </w:p>
          <w:p>
            <w:pPr>
              <w:spacing w:after="30" w:before="0"/>
            </w:pPr>
            <w:r>
              <w:rPr>
                <w:rFonts w:ascii="Arial" w:cs="Arial" w:eastAsia="Arial" w:hAnsi="Arial"/>
                <w:b w:val="false"/>
                <w:bCs w:val="false"/>
                <w:i/>
                <w:iCs/>
                <w:color w:val="555555"/>
                <w:sz w:val="17"/>
                <w:szCs w:val="17"/>
              </w:rPr>
              <w:t xml:space="preserve">Scorecard</w:t>
            </w:r>
          </w:p>
          <w:p>
            <w:pPr>
              <w:spacing w:after="0" w:before="20"/>
            </w:pPr>
            <w:r>
              <w:rPr>
                <w:rFonts w:ascii="Arial" w:cs="Arial" w:eastAsia="Arial" w:hAnsi="Arial"/>
                <w:b w:val="false"/>
                <w:bCs w:val="false"/>
                <w:i w:val="false"/>
                <w:iCs w:val="false"/>
                <w:color w:val="666666"/>
                <w:sz w:val="16"/>
                <w:szCs w:val="16"/>
              </w:rPr>
              <w:t xml:space="preserve">MTTR for critical findings (days)</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2 — Trend charts (3 widgets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Risk Score Over Time</w:t>
            </w:r>
          </w:p>
          <w:p>
            <w:pPr>
              <w:spacing w:after="30" w:before="0"/>
            </w:pPr>
            <w:r>
              <w:rPr>
                <w:rFonts w:ascii="Arial" w:cs="Arial" w:eastAsia="Arial" w:hAnsi="Arial"/>
                <w:b w:val="false"/>
                <w:bCs w:val="false"/>
                <w:i/>
                <w:iCs/>
                <w:color w:val="555555"/>
                <w:sz w:val="17"/>
                <w:szCs w:val="17"/>
              </w:rPr>
              <w:t xml:space="preserve">Line chart</w:t>
            </w:r>
          </w:p>
          <w:p>
            <w:pPr>
              <w:spacing w:after="0" w:before="20"/>
            </w:pPr>
            <w:r>
              <w:rPr>
                <w:rFonts w:ascii="Arial" w:cs="Arial" w:eastAsia="Arial" w:hAnsi="Arial"/>
                <w:b w:val="false"/>
                <w:bCs w:val="false"/>
                <w:i w:val="false"/>
                <w:iCs w:val="false"/>
                <w:color w:val="666666"/>
                <w:sz w:val="16"/>
                <w:szCs w:val="16"/>
              </w:rPr>
              <w:t xml:space="preserve">90-day rolling, by severity tier</w:t>
            </w:r>
          </w:p>
        </w:tc>
        <w:tc>
          <w:tcPr>
            <w:tcW w:type="dxa" w:w="312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Compliance by Framework</w:t>
            </w:r>
          </w:p>
          <w:p>
            <w:pPr>
              <w:spacing w:after="30" w:before="0"/>
            </w:pPr>
            <w:r>
              <w:rPr>
                <w:rFonts w:ascii="Arial" w:cs="Arial" w:eastAsia="Arial" w:hAnsi="Arial"/>
                <w:b w:val="false"/>
                <w:bCs w:val="false"/>
                <w:i/>
                <w:iCs/>
                <w:color w:val="555555"/>
                <w:sz w:val="17"/>
                <w:szCs w:val="17"/>
              </w:rPr>
              <w:t xml:space="preserve">Bar chart</w:t>
            </w:r>
          </w:p>
          <w:p>
            <w:pPr>
              <w:spacing w:after="0" w:before="20"/>
            </w:pPr>
            <w:r>
              <w:rPr>
                <w:rFonts w:ascii="Arial" w:cs="Arial" w:eastAsia="Arial" w:hAnsi="Arial"/>
                <w:b w:val="false"/>
                <w:bCs w:val="false"/>
                <w:i w:val="false"/>
                <w:iCs w:val="false"/>
                <w:color w:val="666666"/>
                <w:sz w:val="16"/>
                <w:szCs w:val="16"/>
              </w:rPr>
              <w:t xml:space="preserve">SOC 2, CIS, NIST, PCI — pass rate %</w:t>
            </w:r>
          </w:p>
        </w:tc>
        <w:tc>
          <w:tcPr>
            <w:tcW w:type="dxa" w:w="312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New vs. Resolved Findings</w:t>
            </w:r>
          </w:p>
          <w:p>
            <w:pPr>
              <w:spacing w:after="30" w:before="0"/>
            </w:pPr>
            <w:r>
              <w:rPr>
                <w:rFonts w:ascii="Arial" w:cs="Arial" w:eastAsia="Arial" w:hAnsi="Arial"/>
                <w:b w:val="false"/>
                <w:bCs w:val="false"/>
                <w:i/>
                <w:iCs/>
                <w:color w:val="555555"/>
                <w:sz w:val="17"/>
                <w:szCs w:val="17"/>
              </w:rPr>
              <w:t xml:space="preserve">Stacked bar</w:t>
            </w:r>
          </w:p>
          <w:p>
            <w:pPr>
              <w:spacing w:after="0" w:before="20"/>
            </w:pPr>
            <w:r>
              <w:rPr>
                <w:rFonts w:ascii="Arial" w:cs="Arial" w:eastAsia="Arial" w:hAnsi="Arial"/>
                <w:b w:val="false"/>
                <w:bCs w:val="false"/>
                <w:i w:val="false"/>
                <w:iCs w:val="false"/>
                <w:color w:val="666666"/>
                <w:sz w:val="16"/>
                <w:szCs w:val="16"/>
              </w:rPr>
              <w:t xml:space="preserve">Weekly cadence, 60-day window</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3 — Summary tables (2 widgets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Top 10 Unresolved Critical Risks</w:t>
            </w:r>
          </w:p>
          <w:p>
            <w:pPr>
              <w:spacing w:after="30" w:before="0"/>
            </w:pPr>
            <w:r>
              <w:rPr>
                <w:rFonts w:ascii="Arial" w:cs="Arial" w:eastAsia="Arial" w:hAnsi="Arial"/>
                <w:b w:val="false"/>
                <w:bCs w:val="false"/>
                <w:i/>
                <w:iCs/>
                <w:color w:val="555555"/>
                <w:sz w:val="17"/>
                <w:szCs w:val="17"/>
              </w:rPr>
              <w:t xml:space="preserve">Ranked list</w:t>
            </w:r>
          </w:p>
          <w:p>
            <w:pPr>
              <w:spacing w:after="0" w:before="20"/>
            </w:pPr>
            <w:r>
              <w:rPr>
                <w:rFonts w:ascii="Arial" w:cs="Arial" w:eastAsia="Arial" w:hAnsi="Arial"/>
                <w:b w:val="false"/>
                <w:bCs w:val="false"/>
                <w:i w:val="false"/>
                <w:iCs w:val="false"/>
                <w:color w:val="666666"/>
                <w:sz w:val="16"/>
                <w:szCs w:val="16"/>
              </w:rPr>
              <w:t xml:space="preserve">Title, affected asset, age, owner</w:t>
            </w:r>
          </w:p>
        </w:tc>
        <w:tc>
          <w:tcPr>
            <w:tcW w:type="dxa" w:w="4680"/>
            <w:tcBorders>
              <w:top w:val="single" w:color="A0B0C0" w:sz="1"/>
              <w:left w:val="single" w:color="A0B0C0" w:sz="1"/>
              <w:bottom w:val="single" w:color="A0B0C0" w:sz="1"/>
              <w:right w:val="single" w:color="A0B0C0" w:sz="1"/>
            </w:tcBorders>
            <w:shd w:fill="EDE8F9"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Compliance Gap by Business Unit</w:t>
            </w:r>
          </w:p>
          <w:p>
            <w:pPr>
              <w:spacing w:after="30" w:before="0"/>
            </w:pPr>
            <w:r>
              <w:rPr>
                <w:rFonts w:ascii="Arial" w:cs="Arial" w:eastAsia="Arial" w:hAnsi="Arial"/>
                <w:b w:val="false"/>
                <w:bCs w:val="false"/>
                <w:i/>
                <w:iCs/>
                <w:color w:val="555555"/>
                <w:sz w:val="17"/>
                <w:szCs w:val="17"/>
              </w:rPr>
              <w:t xml:space="preserve">Heatmap table</w:t>
            </w:r>
          </w:p>
          <w:p>
            <w:pPr>
              <w:spacing w:after="0" w:before="20"/>
            </w:pPr>
            <w:r>
              <w:rPr>
                <w:rFonts w:ascii="Arial" w:cs="Arial" w:eastAsia="Arial" w:hAnsi="Arial"/>
                <w:b w:val="false"/>
                <w:bCs w:val="false"/>
                <w:i w:val="false"/>
                <w:iCs w:val="false"/>
                <w:color w:val="666666"/>
                <w:sz w:val="16"/>
                <w:szCs w:val="16"/>
              </w:rPr>
              <w:t xml:space="preserve">BU vs. framework, red/amber/green</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5A3DA6"/>
          <w:sz w:val="24"/>
          <w:szCs w:val="24"/>
        </w:rPr>
        <w:t xml:space="preserve">Widget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80"/>
        <w:gridCol w:w="3280"/>
      </w:tblGrid>
      <w:tr>
        <w:trPr>
          <w:tblHeader/>
        </w:trPr>
        <w:tc>
          <w:tcPr>
            <w:tcW w:type="dxa" w:w="2000"/>
            <w:tcBorders>
              <w:top w:val="single" w:color="D0D3D8" w:sz="1"/>
              <w:left w:val="single" w:color="D0D3D8" w:sz="1"/>
              <w:bottom w:val="single" w:color="D0D3D8" w:sz="1"/>
              <w:right w:val="single" w:color="D0D3D8" w:sz="1"/>
            </w:tcBorders>
            <w:shd w:fill="5A3DA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Widget name</w:t>
            </w:r>
          </w:p>
        </w:tc>
        <w:tc>
          <w:tcPr>
            <w:tcW w:type="dxa" w:w="1400"/>
            <w:tcBorders>
              <w:top w:val="single" w:color="D0D3D8" w:sz="1"/>
              <w:left w:val="single" w:color="D0D3D8" w:sz="1"/>
              <w:bottom w:val="single" w:color="D0D3D8" w:sz="1"/>
              <w:right w:val="single" w:color="D0D3D8" w:sz="1"/>
            </w:tcBorders>
            <w:shd w:fill="5A3DA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Type</w:t>
            </w:r>
          </w:p>
        </w:tc>
        <w:tc>
          <w:tcPr>
            <w:tcW w:type="dxa" w:w="2680"/>
            <w:tcBorders>
              <w:top w:val="single" w:color="D0D3D8" w:sz="1"/>
              <w:left w:val="single" w:color="D0D3D8" w:sz="1"/>
              <w:bottom w:val="single" w:color="D0D3D8" w:sz="1"/>
              <w:right w:val="single" w:color="D0D3D8" w:sz="1"/>
            </w:tcBorders>
            <w:shd w:fill="5A3DA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Metric / data</w:t>
            </w:r>
          </w:p>
        </w:tc>
        <w:tc>
          <w:tcPr>
            <w:tcW w:type="dxa" w:w="3280"/>
            <w:tcBorders>
              <w:top w:val="single" w:color="D0D3D8" w:sz="1"/>
              <w:left w:val="single" w:color="D0D3D8" w:sz="1"/>
              <w:bottom w:val="single" w:color="D0D3D8" w:sz="1"/>
              <w:right w:val="single" w:color="D0D3D8" w:sz="1"/>
            </w:tcBorders>
            <w:shd w:fill="5A3DA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filters</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Overall Risk Score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Scorecard</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Orca risk score (0–100), aggregated across all assets and findings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Env: All | Business unit: All | Time: Current</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Critical Issues</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Count of open alerts with severity = Critical</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Severity: Critical | Status: Open | Env: Production</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Compliance Score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Scorecard</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Average pass rate % across SOC 2, CIS, NIST 800-53, PCI DSS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Framework: All active | Assets: All prod</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Assets at Risk</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Assets with at least one High or Critical finding / total assets</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Severity: High, Critical | Env: Production</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Crown Jewel Exposure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Crown jewels reachable via a critical attack path</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Tag: crown-jewel | Attack path: active</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MTTR (Critical)</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Scorecard</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Average days from Critical alert open to resolved, rolling 30 days</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Severity: Critical | Status: Resolved | Window: 30d</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Risk Score Over Time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Line chart</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Daily org-wide Orca risk score, 90-day window, segmented by Critical / High / Medium</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Time: 90d | Env: All | Severity: All</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Compliance by Framework</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Bar chart</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 of controls passing per active compliance framework</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Framework: SOC2, CIS, NIST, PCI, ISO27001 | Assets: Prod</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New vs. Resolved</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Stacked bar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Weekly count of net-new findings vs. remediated findings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Time: 60d, weekly buckets | Severity: High, Critical</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Top 10 Critical Risks</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Ranked list</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Highest-scoring open findings: title, risk score, asset, team owner, days open</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Severity: Critical | Status: Open | Sort: risk score desc</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Compliance Gap by BU</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Heatmap</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Framework pass rate per business unit; RAG-colored (red &lt;70%, amber 70–89%, green ≥90%)</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Group by: business-unit tag | Framework: All active</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5A3DA6"/>
          <w:sz w:val="24"/>
          <w:szCs w:val="24"/>
        </w:rPr>
        <w:t xml:space="preserve">Filter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3D8" w:sz="1"/>
              <w:left w:val="single" w:color="D0D3D8" w:sz="1"/>
              <w:bottom w:val="single" w:color="D0D3D8" w:sz="1"/>
              <w:right w:val="single" w:color="D0D3D8" w:sz="1"/>
            </w:tcBorders>
            <w:shd w:fill="5A3DA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Filter</w:t>
            </w:r>
          </w:p>
        </w:tc>
        <w:tc>
          <w:tcPr>
            <w:tcW w:type="dxa" w:w="3000"/>
            <w:tcBorders>
              <w:top w:val="single" w:color="D0D3D8" w:sz="1"/>
              <w:left w:val="single" w:color="D0D3D8" w:sz="1"/>
              <w:bottom w:val="single" w:color="D0D3D8" w:sz="1"/>
              <w:right w:val="single" w:color="D0D3D8" w:sz="1"/>
            </w:tcBorders>
            <w:shd w:fill="5A3DA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values</w:t>
            </w:r>
          </w:p>
        </w:tc>
        <w:tc>
          <w:tcPr>
            <w:tcW w:type="dxa" w:w="4160"/>
            <w:tcBorders>
              <w:top w:val="single" w:color="D0D3D8" w:sz="1"/>
              <w:left w:val="single" w:color="D0D3D8" w:sz="1"/>
              <w:bottom w:val="single" w:color="D0D3D8" w:sz="1"/>
              <w:right w:val="single" w:color="D0D3D8" w:sz="1"/>
            </w:tcBorders>
            <w:shd w:fill="5A3DA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Environment</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Production (default); toggle to All for board reporting</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Limit exec view to production risk — dev/staging noise excluded by default</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Time range</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30 days default; 90-day for trend charts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Gives executives both point-in-time and trend context</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Severity</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Critical and High (default); Medium available via toggle</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Focuses exec attention on actionable, material risk</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Business unit</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per BU for board divisional reporting</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Enables BU-level accountability and targeted board updates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Compliance framework</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active frameworks (default); filterable per framework</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Allows framework-specific compliance reporting (e.g. PCI for payments team)</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Crown jewel only</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Off (default); toggle on for high-stakes reviews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Surfaces only material risk to highest-value assets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Status</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Open (default); toggle to include In-Progress</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Prevent false comfort from counting in-progress items as resolved</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5A3DA6"/>
          <w:sz w:val="24"/>
          <w:szCs w:val="24"/>
        </w:rPr>
        <w:t xml:space="preserve">Recommended review cadence</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Weekly: CISO reviews risk score delta and critical issue count</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Monthly: Full dashboard review with VP Engineering — MTTR, compliance trends</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Quarterly: Board export — PDF snapshot of compliance heatmap and 90-day risk trend</w:t>
      </w:r>
    </w:p>
    <w:p>
      <w:r>
        <w:br w:type="page"/>
      </w:r>
    </w:p>
    <w:p>
      <w:pPr>
        <w:pBdr>
          <w:left w:val="single" w:color="0B4F8C" w:sz="20"/>
        </w:pBdr>
        <w:spacing w:after="100" w:before="280"/>
        <w:ind w:left="260"/>
      </w:pPr>
      <w:r>
        <w:rPr>
          <w:rFonts w:ascii="Arial" w:cs="Arial" w:eastAsia="Arial" w:hAnsi="Arial"/>
          <w:b/>
          <w:bCs/>
          <w:i w:val="false"/>
          <w:iCs w:val="false"/>
          <w:color w:val="0B4F8C"/>
          <w:sz w:val="30"/>
          <w:szCs w:val="30"/>
        </w:rPr>
        <w:t xml:space="preserve">Dashboard 2 — Security team</w:t>
      </w:r>
    </w:p>
    <w:p>
      <w:pPr>
        <w:spacing w:after="140" w:before="60"/>
      </w:pPr>
      <w:r>
        <w:rPr>
          <w:rFonts w:ascii="Arial" w:cs="Arial" w:eastAsia="Arial" w:hAnsi="Arial"/>
          <w:b w:val="false"/>
          <w:bCs w:val="false"/>
          <w:i/>
          <w:iCs/>
          <w:color w:val="666666"/>
          <w:sz w:val="21"/>
          <w:szCs w:val="21"/>
        </w:rPr>
        <w:t xml:space="preserve">Audience: Security architects, GRC analysts, cloud security engineers | Refresh: Every 4 hours</w:t>
      </w:r>
    </w:p>
    <w:p>
      <w:pPr>
        <w:spacing w:after="120" w:before="0"/>
        <w:jc w:val="left"/>
      </w:pPr>
      <w:r>
        <w:rPr>
          <w:rFonts w:ascii="Arial" w:cs="Arial" w:eastAsia="Arial" w:hAnsi="Arial"/>
          <w:b w:val="false"/>
          <w:bCs w:val="false"/>
          <w:i w:val="false"/>
          <w:iCs w:val="false"/>
          <w:color w:val="4A4A4A"/>
          <w:sz w:val="20"/>
          <w:szCs w:val="20"/>
        </w:rPr>
        <w:t xml:space="preserve">The Security team dashboard provides full-spectrum cloud posture visibility. It combines CSPM findings, attack path analysis, identity risk, data exposure, and compliance gaps into a single operational view. This is the primary working dashboard for the security org and is designed for daily use. Widgets are actionable — clicking a finding opens Orca's detail pane and links to the Jira ticket queue.</w:t>
      </w:r>
    </w:p>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B4F8C"/>
          <w:sz w:val="24"/>
          <w:szCs w:val="24"/>
        </w:rPr>
        <w:t xml:space="preserve">Layout overview</w:t>
      </w:r>
    </w:p>
    <w:p>
      <w:pPr>
        <w:spacing w:after="120" w:before="0"/>
        <w:jc w:val="left"/>
      </w:pPr>
      <w:r>
        <w:rPr>
          <w:rFonts w:ascii="Arial" w:cs="Arial" w:eastAsia="Arial" w:hAnsi="Arial"/>
          <w:b w:val="false"/>
          <w:bCs w:val="false"/>
          <w:i w:val="false"/>
          <w:iCs w:val="false"/>
          <w:color w:val="4A4A4A"/>
          <w:sz w:val="20"/>
          <w:szCs w:val="20"/>
        </w:rPr>
        <w:t xml:space="preserve">4-row grid. Row 1: risk KPIs. Row 2: attack surface and identity charts. Row 3: compliance and data exposure. Row 4: findings tables.</w:t>
      </w:r>
    </w:p>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1 — Risk KPIs (4 scorecards)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Open Critical Findings</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With Δ since last refresh</w:t>
            </w:r>
          </w:p>
        </w:tc>
        <w:tc>
          <w:tcPr>
            <w:tcW w:type="dxa" w:w="234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Attack Paths Active</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Live paths to crown jewels</w:t>
            </w:r>
          </w:p>
        </w:tc>
        <w:tc>
          <w:tcPr>
            <w:tcW w:type="dxa" w:w="234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Identities Overprivileged</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CIEM: excess permissions</w:t>
            </w:r>
          </w:p>
        </w:tc>
        <w:tc>
          <w:tcPr>
            <w:tcW w:type="dxa" w:w="234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Data Stores Exposed</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Public or unencrypted data</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2 — Attack surface and identity (3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Attack Path Graph</w:t>
            </w:r>
          </w:p>
          <w:p>
            <w:pPr>
              <w:spacing w:after="30" w:before="0"/>
            </w:pPr>
            <w:r>
              <w:rPr>
                <w:rFonts w:ascii="Arial" w:cs="Arial" w:eastAsia="Arial" w:hAnsi="Arial"/>
                <w:b w:val="false"/>
                <w:bCs w:val="false"/>
                <w:i/>
                <w:iCs/>
                <w:color w:val="555555"/>
                <w:sz w:val="17"/>
                <w:szCs w:val="17"/>
              </w:rPr>
              <w:t xml:space="preserve">Network graph</w:t>
            </w:r>
          </w:p>
          <w:p>
            <w:pPr>
              <w:spacing w:after="0" w:before="20"/>
            </w:pPr>
            <w:r>
              <w:rPr>
                <w:rFonts w:ascii="Arial" w:cs="Arial" w:eastAsia="Arial" w:hAnsi="Arial"/>
                <w:b w:val="false"/>
                <w:bCs w:val="false"/>
                <w:i w:val="false"/>
                <w:iCs w:val="false"/>
                <w:color w:val="666666"/>
                <w:sz w:val="16"/>
                <w:szCs w:val="16"/>
              </w:rPr>
              <w:t xml:space="preserve">Top 10 paths, severity-colored nodes</w:t>
            </w:r>
          </w:p>
        </w:tc>
        <w:tc>
          <w:tcPr>
            <w:tcW w:type="dxa" w:w="312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Findings by Category</w:t>
            </w:r>
          </w:p>
          <w:p>
            <w:pPr>
              <w:spacing w:after="30" w:before="0"/>
            </w:pPr>
            <w:r>
              <w:rPr>
                <w:rFonts w:ascii="Arial" w:cs="Arial" w:eastAsia="Arial" w:hAnsi="Arial"/>
                <w:b w:val="false"/>
                <w:bCs w:val="false"/>
                <w:i/>
                <w:iCs/>
                <w:color w:val="555555"/>
                <w:sz w:val="17"/>
                <w:szCs w:val="17"/>
              </w:rPr>
              <w:t xml:space="preserve">Donut chart</w:t>
            </w:r>
          </w:p>
          <w:p>
            <w:pPr>
              <w:spacing w:after="0" w:before="20"/>
            </w:pPr>
            <w:r>
              <w:rPr>
                <w:rFonts w:ascii="Arial" w:cs="Arial" w:eastAsia="Arial" w:hAnsi="Arial"/>
                <w:b w:val="false"/>
                <w:bCs w:val="false"/>
                <w:i w:val="false"/>
                <w:iCs w:val="false"/>
                <w:color w:val="666666"/>
                <w:sz w:val="16"/>
                <w:szCs w:val="16"/>
              </w:rPr>
              <w:t xml:space="preserve">CSPM, vuln, IAM, network, data</w:t>
            </w:r>
          </w:p>
        </w:tc>
        <w:tc>
          <w:tcPr>
            <w:tcW w:type="dxa" w:w="312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Identity Risk Breakdown</w:t>
            </w:r>
          </w:p>
          <w:p>
            <w:pPr>
              <w:spacing w:after="30" w:before="0"/>
            </w:pPr>
            <w:r>
              <w:rPr>
                <w:rFonts w:ascii="Arial" w:cs="Arial" w:eastAsia="Arial" w:hAnsi="Arial"/>
                <w:b w:val="false"/>
                <w:bCs w:val="false"/>
                <w:i/>
                <w:iCs/>
                <w:color w:val="555555"/>
                <w:sz w:val="17"/>
                <w:szCs w:val="17"/>
              </w:rPr>
              <w:t xml:space="preserve">Bar chart</w:t>
            </w:r>
          </w:p>
          <w:p>
            <w:pPr>
              <w:spacing w:after="0" w:before="20"/>
            </w:pPr>
            <w:r>
              <w:rPr>
                <w:rFonts w:ascii="Arial" w:cs="Arial" w:eastAsia="Arial" w:hAnsi="Arial"/>
                <w:b w:val="false"/>
                <w:bCs w:val="false"/>
                <w:i w:val="false"/>
                <w:iCs w:val="false"/>
                <w:color w:val="666666"/>
                <w:sz w:val="16"/>
                <w:szCs w:val="16"/>
              </w:rPr>
              <w:t xml:space="preserve">Unused roles, excess perms by cloud</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3 — Compliance and data (2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Control Pass Rate by Framework</w:t>
            </w:r>
          </w:p>
          <w:p>
            <w:pPr>
              <w:spacing w:after="30" w:before="0"/>
            </w:pPr>
            <w:r>
              <w:rPr>
                <w:rFonts w:ascii="Arial" w:cs="Arial" w:eastAsia="Arial" w:hAnsi="Arial"/>
                <w:b w:val="false"/>
                <w:bCs w:val="false"/>
                <w:i/>
                <w:iCs/>
                <w:color w:val="555555"/>
                <w:sz w:val="17"/>
                <w:szCs w:val="17"/>
              </w:rPr>
              <w:t xml:space="preserve">Grouped bar</w:t>
            </w:r>
          </w:p>
          <w:p>
            <w:pPr>
              <w:spacing w:after="0" w:before="20"/>
            </w:pPr>
            <w:r>
              <w:rPr>
                <w:rFonts w:ascii="Arial" w:cs="Arial" w:eastAsia="Arial" w:hAnsi="Arial"/>
                <w:b w:val="false"/>
                <w:bCs w:val="false"/>
                <w:i w:val="false"/>
                <w:iCs w:val="false"/>
                <w:color w:val="666666"/>
                <w:sz w:val="16"/>
                <w:szCs w:val="16"/>
              </w:rPr>
              <w:t xml:space="preserve">SOC2, CIS, NIST, PCI, ISO27001</w:t>
            </w:r>
          </w:p>
        </w:tc>
        <w:tc>
          <w:tcPr>
            <w:tcW w:type="dxa" w:w="468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Sensitive Data Exposure Map</w:t>
            </w:r>
          </w:p>
          <w:p>
            <w:pPr>
              <w:spacing w:after="30" w:before="0"/>
            </w:pPr>
            <w:r>
              <w:rPr>
                <w:rFonts w:ascii="Arial" w:cs="Arial" w:eastAsia="Arial" w:hAnsi="Arial"/>
                <w:b w:val="false"/>
                <w:bCs w:val="false"/>
                <w:i/>
                <w:iCs/>
                <w:color w:val="555555"/>
                <w:sz w:val="17"/>
                <w:szCs w:val="17"/>
              </w:rPr>
              <w:t xml:space="preserve">Table + heat</w:t>
            </w:r>
          </w:p>
          <w:p>
            <w:pPr>
              <w:spacing w:after="0" w:before="20"/>
            </w:pPr>
            <w:r>
              <w:rPr>
                <w:rFonts w:ascii="Arial" w:cs="Arial" w:eastAsia="Arial" w:hAnsi="Arial"/>
                <w:b w:val="false"/>
                <w:bCs w:val="false"/>
                <w:i w:val="false"/>
                <w:iCs w:val="false"/>
                <w:color w:val="666666"/>
                <w:sz w:val="16"/>
                <w:szCs w:val="16"/>
              </w:rPr>
              <w:t xml:space="preserve">Data type, store, exposure level</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4 — Findings tables (2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Critical &amp; High Open Findings</w:t>
            </w:r>
          </w:p>
          <w:p>
            <w:pPr>
              <w:spacing w:after="30" w:before="0"/>
            </w:pPr>
            <w:r>
              <w:rPr>
                <w:rFonts w:ascii="Arial" w:cs="Arial" w:eastAsia="Arial" w:hAnsi="Arial"/>
                <w:b w:val="false"/>
                <w:bCs w:val="false"/>
                <w:i/>
                <w:iCs/>
                <w:color w:val="555555"/>
                <w:sz w:val="17"/>
                <w:szCs w:val="17"/>
              </w:rPr>
              <w:t xml:space="preserve">Sortable table</w:t>
            </w:r>
          </w:p>
          <w:p>
            <w:pPr>
              <w:spacing w:after="0" w:before="20"/>
            </w:pPr>
            <w:r>
              <w:rPr>
                <w:rFonts w:ascii="Arial" w:cs="Arial" w:eastAsia="Arial" w:hAnsi="Arial"/>
                <w:b w:val="false"/>
                <w:bCs w:val="false"/>
                <w:i w:val="false"/>
                <w:iCs w:val="false"/>
                <w:color w:val="666666"/>
                <w:sz w:val="16"/>
                <w:szCs w:val="16"/>
              </w:rPr>
              <w:t xml:space="preserve">Asset, category, age, owner, ticket</w:t>
            </w:r>
          </w:p>
        </w:tc>
        <w:tc>
          <w:tcPr>
            <w:tcW w:type="dxa" w:w="4680"/>
            <w:tcBorders>
              <w:top w:val="single" w:color="A0B0C0" w:sz="1"/>
              <w:left w:val="single" w:color="A0B0C0" w:sz="1"/>
              <w:bottom w:val="single" w:color="A0B0C0" w:sz="1"/>
              <w:right w:val="single" w:color="A0B0C0" w:sz="1"/>
            </w:tcBorders>
            <w:shd w:fill="E1ECF7"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Policy Violations by Rule</w:t>
            </w:r>
          </w:p>
          <w:p>
            <w:pPr>
              <w:spacing w:after="30" w:before="0"/>
            </w:pPr>
            <w:r>
              <w:rPr>
                <w:rFonts w:ascii="Arial" w:cs="Arial" w:eastAsia="Arial" w:hAnsi="Arial"/>
                <w:b w:val="false"/>
                <w:bCs w:val="false"/>
                <w:i/>
                <w:iCs/>
                <w:color w:val="555555"/>
                <w:sz w:val="17"/>
                <w:szCs w:val="17"/>
              </w:rPr>
              <w:t xml:space="preserve">Ranked list</w:t>
            </w:r>
          </w:p>
          <w:p>
            <w:pPr>
              <w:spacing w:after="0" w:before="20"/>
            </w:pPr>
            <w:r>
              <w:rPr>
                <w:rFonts w:ascii="Arial" w:cs="Arial" w:eastAsia="Arial" w:hAnsi="Arial"/>
                <w:b w:val="false"/>
                <w:bCs w:val="false"/>
                <w:i w:val="false"/>
                <w:iCs w:val="false"/>
                <w:color w:val="666666"/>
                <w:sz w:val="16"/>
                <w:szCs w:val="16"/>
              </w:rPr>
              <w:t xml:space="preserve">Most-violated Orca policies, count</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B4F8C"/>
          <w:sz w:val="24"/>
          <w:szCs w:val="24"/>
        </w:rPr>
        <w:t xml:space="preserve">Widget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80"/>
        <w:gridCol w:w="3280"/>
      </w:tblGrid>
      <w:tr>
        <w:trPr>
          <w:tblHeader/>
        </w:trPr>
        <w:tc>
          <w:tcPr>
            <w:tcW w:type="dxa" w:w="200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Widget name</w:t>
            </w:r>
          </w:p>
        </w:tc>
        <w:tc>
          <w:tcPr>
            <w:tcW w:type="dxa" w:w="140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Type</w:t>
            </w:r>
          </w:p>
        </w:tc>
        <w:tc>
          <w:tcPr>
            <w:tcW w:type="dxa" w:w="268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Metric / data</w:t>
            </w:r>
          </w:p>
        </w:tc>
        <w:tc>
          <w:tcPr>
            <w:tcW w:type="dxa" w:w="328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filters</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Open Critical Findings</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Count of severity=Critical, status=Open findings across all assets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Severity: Critical | Status: Open | Env: Prod</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Attack Paths Active</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Distinct active attack paths with at least one crown jewel as destination</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Destination: crown-jewel | Status: Active</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Identities Overprivileged</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IAM entities with unused high-privilege permissions for &gt;30 days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Category: IAM | Risk: High, Critical | Unused: &gt;30d</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Data Stores Exposed</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S3/Blob/GCS buckets or databases that are publicly accessible or unencrypted</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Category: Data | Exposure: Public, Unencrypted | Env: Prod</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Attack Path Graph</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Network graph</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Visual attack path map: internet entry → lateral movement → target asset</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Top 10 by severity | Crown jewel reachability</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Findings by Category</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Donut chart</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Open findings grouped by Orca category: CSPM, Vulnerability, IAM, Network, Data</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Status: Open | Severity: High, Critical</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Identity Risk Breakdown</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Bar chart</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IAM risk findings per cloud account, segmented by unused roles, excess perms, stale keys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Category: IAM | Cloud: AWS, Azure, GCP</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Control Pass Rate</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Grouped bar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Controls passing (%) per active compliance framework, grouped by account/region</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Framework: SOC2, CIS, NIST, PCI, ISO27001 | Env: Prod</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Sensitive Data Exposure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Heatmap table</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Data store × exposure level (Public, Internal, Encrypted); categorized by PII/PCI/PHI type</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Category: Data | Classification: PII, PCI, PHI</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Critical &amp; High Findings</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Sortable table</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Finding title, affected asset, category, severity, age (days), team tag, Jira link</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Severity: Critical, High | Status: Open | Sort: age desc</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Policy Violations by Rule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Ranked list</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Orca policy violations ranked by occurrence count, with trend vs. prior 7 days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Status: Open | Sort: count desc | Limit: 20</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B4F8C"/>
          <w:sz w:val="24"/>
          <w:szCs w:val="24"/>
        </w:rPr>
        <w:t xml:space="preserve">Filter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Filter</w:t>
            </w:r>
          </w:p>
        </w:tc>
        <w:tc>
          <w:tcPr>
            <w:tcW w:type="dxa" w:w="300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values</w:t>
            </w:r>
          </w:p>
        </w:tc>
        <w:tc>
          <w:tcPr>
            <w:tcW w:type="dxa" w:w="4160"/>
            <w:tcBorders>
              <w:top w:val="single" w:color="D0D3D8" w:sz="1"/>
              <w:left w:val="single" w:color="D0D3D8" w:sz="1"/>
              <w:bottom w:val="single" w:color="D0D3D8" w:sz="1"/>
              <w:right w:val="single" w:color="D0D3D8" w:sz="1"/>
            </w:tcBorders>
            <w:shd w:fill="0B4F8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Environment</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Production (default); switch to All for full estate view</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Keep daily view focused on production risk</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Cloud provider</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AWS / Azure / GCP individually</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Isolate findings by cloud for account-specific remediation</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Category</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CSPM / IAM / Network / Data / Vuln</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Enables security architects to focus on specific risk domain</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Compliance framework</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active; filter per framework for GRC audit cycles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Supports GRC team during audit preparation for specific standard</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Asset group</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prod assets (default); filterable to 'data-stores', 'network-perimeter', 'auth-systems'</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Scope findings to highest-priority asset categories</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Tag: team owner</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specific team for escalation reviews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Identify which team owns the finding for remediation assignment</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Finding age</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ages (default); filter to &gt;7d, &gt;30d for SLA tracking</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Surface stale findings that have missed remediation SLAs</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Attack path type</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'internet-exposed', 'lateral-movement'</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Prioritize external attack surface vs. internal pivot risk</w:t>
            </w:r>
          </w:p>
        </w:tc>
      </w:tr>
    </w:tbl>
    <w:p>
      <w:r>
        <w:br w:type="page"/>
      </w:r>
    </w:p>
    <w:p>
      <w:pPr>
        <w:pBdr>
          <w:left w:val="single" w:color="B52B2B" w:sz="20"/>
        </w:pBdr>
        <w:spacing w:after="100" w:before="280"/>
        <w:ind w:left="260"/>
      </w:pPr>
      <w:r>
        <w:rPr>
          <w:rFonts w:ascii="Arial" w:cs="Arial" w:eastAsia="Arial" w:hAnsi="Arial"/>
          <w:b/>
          <w:bCs/>
          <w:i w:val="false"/>
          <w:iCs w:val="false"/>
          <w:color w:val="B52B2B"/>
          <w:sz w:val="30"/>
          <w:szCs w:val="30"/>
        </w:rPr>
        <w:t xml:space="preserve">Dashboard 3 — SOC (Security operations center)</w:t>
      </w:r>
    </w:p>
    <w:p>
      <w:pPr>
        <w:spacing w:after="140" w:before="60"/>
      </w:pPr>
      <w:r>
        <w:rPr>
          <w:rFonts w:ascii="Arial" w:cs="Arial" w:eastAsia="Arial" w:hAnsi="Arial"/>
          <w:b w:val="false"/>
          <w:bCs w:val="false"/>
          <w:i/>
          <w:iCs/>
          <w:color w:val="666666"/>
          <w:sz w:val="21"/>
          <w:szCs w:val="21"/>
        </w:rPr>
        <w:t xml:space="preserve">Audience: Security analysts, incident responders, on-call engineers | Refresh: Real-time / 5 minutes</w:t>
      </w:r>
    </w:p>
    <w:p>
      <w:pPr>
        <w:spacing w:after="120" w:before="0"/>
        <w:jc w:val="left"/>
      </w:pPr>
      <w:r>
        <w:rPr>
          <w:rFonts w:ascii="Arial" w:cs="Arial" w:eastAsia="Arial" w:hAnsi="Arial"/>
          <w:b w:val="false"/>
          <w:bCs w:val="false"/>
          <w:i w:val="false"/>
          <w:iCs w:val="false"/>
          <w:color w:val="4A4A4A"/>
          <w:sz w:val="20"/>
          <w:szCs w:val="20"/>
        </w:rPr>
        <w:t xml:space="preserve">The SOC dashboard is the operational triage center. It is optimized for speed — analysts need to identify, assess, and begin responding to active threats within minutes of opening the dashboard. Every widget is actionable with direct links to alert detail, affected asset, and the assigned Jira ticket. The dashboard auto-refreshes every 5 minutes and has audio/browser alert support for Critical-severity events.</w:t>
      </w:r>
    </w:p>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B52B2B"/>
          <w:sz w:val="24"/>
          <w:szCs w:val="24"/>
        </w:rPr>
        <w:t xml:space="preserve">Layout overview</w:t>
      </w:r>
    </w:p>
    <w:p>
      <w:pPr>
        <w:spacing w:after="120" w:before="0"/>
        <w:jc w:val="left"/>
      </w:pPr>
      <w:r>
        <w:rPr>
          <w:rFonts w:ascii="Arial" w:cs="Arial" w:eastAsia="Arial" w:hAnsi="Arial"/>
          <w:b w:val="false"/>
          <w:bCs w:val="false"/>
          <w:i w:val="false"/>
          <w:iCs w:val="false"/>
          <w:color w:val="4A4A4A"/>
          <w:sz w:val="20"/>
          <w:szCs w:val="20"/>
        </w:rPr>
        <w:t xml:space="preserve">3-row grid optimized for triage. Row 1: live status counters. Row 2: alert timeline and heat map. Row 3: active triage queue and recent CDR events.</w:t>
      </w:r>
    </w:p>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1 — Live status counters (5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Active Critical Alerts</w:t>
            </w:r>
          </w:p>
          <w:p>
            <w:pPr>
              <w:spacing w:after="30" w:before="0"/>
            </w:pPr>
            <w:r>
              <w:rPr>
                <w:rFonts w:ascii="Arial" w:cs="Arial" w:eastAsia="Arial" w:hAnsi="Arial"/>
                <w:b w:val="false"/>
                <w:bCs w:val="false"/>
                <w:i/>
                <w:iCs/>
                <w:color w:val="555555"/>
                <w:sz w:val="17"/>
                <w:szCs w:val="17"/>
              </w:rPr>
              <w:t xml:space="preserve">Live counter</w:t>
            </w:r>
          </w:p>
          <w:p>
            <w:pPr>
              <w:spacing w:after="0" w:before="20"/>
            </w:pPr>
            <w:r>
              <w:rPr>
                <w:rFonts w:ascii="Arial" w:cs="Arial" w:eastAsia="Arial" w:hAnsi="Arial"/>
                <w:b w:val="false"/>
                <w:bCs w:val="false"/>
                <w:i w:val="false"/>
                <w:iCs w:val="false"/>
                <w:color w:val="666666"/>
                <w:sz w:val="16"/>
                <w:szCs w:val="16"/>
              </w:rPr>
              <w:t xml:space="preserve">Flashes red on new critical</w:t>
            </w:r>
          </w:p>
        </w:tc>
        <w:tc>
          <w:tcPr>
            <w:tcW w:type="dxa" w:w="1872"/>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Alerts Last 24h</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Total, with severity breakdown</w:t>
            </w:r>
          </w:p>
        </w:tc>
        <w:tc>
          <w:tcPr>
            <w:tcW w:type="dxa" w:w="1872"/>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Unassigned Alerts</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Requires analyst action</w:t>
            </w:r>
          </w:p>
        </w:tc>
        <w:tc>
          <w:tcPr>
            <w:tcW w:type="dxa" w:w="1872"/>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CDR Events Today</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Runtime detections from Orca CDR</w:t>
            </w:r>
          </w:p>
        </w:tc>
        <w:tc>
          <w:tcPr>
            <w:tcW w:type="dxa" w:w="1872"/>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Mean Time to Triage</w:t>
            </w:r>
          </w:p>
          <w:p>
            <w:pPr>
              <w:spacing w:after="30" w:before="0"/>
            </w:pPr>
            <w:r>
              <w:rPr>
                <w:rFonts w:ascii="Arial" w:cs="Arial" w:eastAsia="Arial" w:hAnsi="Arial"/>
                <w:b w:val="false"/>
                <w:bCs w:val="false"/>
                <w:i/>
                <w:iCs/>
                <w:color w:val="555555"/>
                <w:sz w:val="17"/>
                <w:szCs w:val="17"/>
              </w:rPr>
              <w:t xml:space="preserve">Scorecard</w:t>
            </w:r>
          </w:p>
          <w:p>
            <w:pPr>
              <w:spacing w:after="0" w:before="20"/>
            </w:pPr>
            <w:r>
              <w:rPr>
                <w:rFonts w:ascii="Arial" w:cs="Arial" w:eastAsia="Arial" w:hAnsi="Arial"/>
                <w:b w:val="false"/>
                <w:bCs w:val="false"/>
                <w:i w:val="false"/>
                <w:iCs w:val="false"/>
                <w:color w:val="666666"/>
                <w:sz w:val="16"/>
                <w:szCs w:val="16"/>
              </w:rPr>
              <w:t xml:space="preserve">Avg minutes, current shift</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2 — Timeline and heat map (2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Alert Volume Timeline</w:t>
            </w:r>
          </w:p>
          <w:p>
            <w:pPr>
              <w:spacing w:after="30" w:before="0"/>
            </w:pPr>
            <w:r>
              <w:rPr>
                <w:rFonts w:ascii="Arial" w:cs="Arial" w:eastAsia="Arial" w:hAnsi="Arial"/>
                <w:b w:val="false"/>
                <w:bCs w:val="false"/>
                <w:i/>
                <w:iCs/>
                <w:color w:val="555555"/>
                <w:sz w:val="17"/>
                <w:szCs w:val="17"/>
              </w:rPr>
              <w:t xml:space="preserve">Area chart</w:t>
            </w:r>
          </w:p>
          <w:p>
            <w:pPr>
              <w:spacing w:after="0" w:before="20"/>
            </w:pPr>
            <w:r>
              <w:rPr>
                <w:rFonts w:ascii="Arial" w:cs="Arial" w:eastAsia="Arial" w:hAnsi="Arial"/>
                <w:b w:val="false"/>
                <w:bCs w:val="false"/>
                <w:i w:val="false"/>
                <w:iCs w:val="false"/>
                <w:color w:val="666666"/>
                <w:sz w:val="16"/>
                <w:szCs w:val="16"/>
              </w:rPr>
              <w:t xml:space="preserve">Hourly alert count, 48h window, severity-stacked</w:t>
            </w:r>
          </w:p>
        </w:tc>
        <w:tc>
          <w:tcPr>
            <w:tcW w:type="dxa" w:w="4680"/>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Findings Heat Map</w:t>
            </w:r>
          </w:p>
          <w:p>
            <w:pPr>
              <w:spacing w:after="30" w:before="0"/>
            </w:pPr>
            <w:r>
              <w:rPr>
                <w:rFonts w:ascii="Arial" w:cs="Arial" w:eastAsia="Arial" w:hAnsi="Arial"/>
                <w:b w:val="false"/>
                <w:bCs w:val="false"/>
                <w:i/>
                <w:iCs/>
                <w:color w:val="555555"/>
                <w:sz w:val="17"/>
                <w:szCs w:val="17"/>
              </w:rPr>
              <w:t xml:space="preserve">Heat map</w:t>
            </w:r>
          </w:p>
          <w:p>
            <w:pPr>
              <w:spacing w:after="0" w:before="20"/>
            </w:pPr>
            <w:r>
              <w:rPr>
                <w:rFonts w:ascii="Arial" w:cs="Arial" w:eastAsia="Arial" w:hAnsi="Arial"/>
                <w:b w:val="false"/>
                <w:bCs w:val="false"/>
                <w:i w:val="false"/>
                <w:iCs w:val="false"/>
                <w:color w:val="666666"/>
                <w:sz w:val="16"/>
                <w:szCs w:val="16"/>
              </w:rPr>
              <w:t xml:space="preserve">Alert density by cloud account × category</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3 — Triage queue and CDR events (2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Active Alert Triage Queue</w:t>
            </w:r>
          </w:p>
          <w:p>
            <w:pPr>
              <w:spacing w:after="30" w:before="0"/>
            </w:pPr>
            <w:r>
              <w:rPr>
                <w:rFonts w:ascii="Arial" w:cs="Arial" w:eastAsia="Arial" w:hAnsi="Arial"/>
                <w:b w:val="false"/>
                <w:bCs w:val="false"/>
                <w:i/>
                <w:iCs/>
                <w:color w:val="555555"/>
                <w:sz w:val="17"/>
                <w:szCs w:val="17"/>
              </w:rPr>
              <w:t xml:space="preserve">Live table</w:t>
            </w:r>
          </w:p>
          <w:p>
            <w:pPr>
              <w:spacing w:after="0" w:before="20"/>
            </w:pPr>
            <w:r>
              <w:rPr>
                <w:rFonts w:ascii="Arial" w:cs="Arial" w:eastAsia="Arial" w:hAnsi="Arial"/>
                <w:b w:val="false"/>
                <w:bCs w:val="false"/>
                <w:i w:val="false"/>
                <w:iCs w:val="false"/>
                <w:color w:val="666666"/>
                <w:sz w:val="16"/>
                <w:szCs w:val="16"/>
              </w:rPr>
              <w:t xml:space="preserve">Sorted by severity + age; click to assign</w:t>
            </w:r>
          </w:p>
        </w:tc>
        <w:tc>
          <w:tcPr>
            <w:tcW w:type="dxa" w:w="4680"/>
            <w:tcBorders>
              <w:top w:val="single" w:color="A0B0C0" w:sz="1"/>
              <w:left w:val="single" w:color="A0B0C0" w:sz="1"/>
              <w:bottom w:val="single" w:color="A0B0C0" w:sz="1"/>
              <w:right w:val="single" w:color="A0B0C0" w:sz="1"/>
            </w:tcBorders>
            <w:shd w:fill="FCEAEA"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Recent CDR Events</w:t>
            </w:r>
          </w:p>
          <w:p>
            <w:pPr>
              <w:spacing w:after="30" w:before="0"/>
            </w:pPr>
            <w:r>
              <w:rPr>
                <w:rFonts w:ascii="Arial" w:cs="Arial" w:eastAsia="Arial" w:hAnsi="Arial"/>
                <w:b w:val="false"/>
                <w:bCs w:val="false"/>
                <w:i/>
                <w:iCs/>
                <w:color w:val="555555"/>
                <w:sz w:val="17"/>
                <w:szCs w:val="17"/>
              </w:rPr>
              <w:t xml:space="preserve">Live feed</w:t>
            </w:r>
          </w:p>
          <w:p>
            <w:pPr>
              <w:spacing w:after="0" w:before="20"/>
            </w:pPr>
            <w:r>
              <w:rPr>
                <w:rFonts w:ascii="Arial" w:cs="Arial" w:eastAsia="Arial" w:hAnsi="Arial"/>
                <w:b w:val="false"/>
                <w:bCs w:val="false"/>
                <w:i w:val="false"/>
                <w:iCs w:val="false"/>
                <w:color w:val="666666"/>
                <w:sz w:val="16"/>
                <w:szCs w:val="16"/>
              </w:rPr>
              <w:t xml:space="preserve">Runtime detections, last 24h, with MITRE ATT&amp;CK tags</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B52B2B"/>
          <w:sz w:val="24"/>
          <w:szCs w:val="24"/>
        </w:rPr>
        <w:t xml:space="preserve">Widget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80"/>
        <w:gridCol w:w="3280"/>
      </w:tblGrid>
      <w:tr>
        <w:trPr>
          <w:tblHeader/>
        </w:trPr>
        <w:tc>
          <w:tcPr>
            <w:tcW w:type="dxa" w:w="2000"/>
            <w:tcBorders>
              <w:top w:val="single" w:color="D0D3D8" w:sz="1"/>
              <w:left w:val="single" w:color="D0D3D8" w:sz="1"/>
              <w:bottom w:val="single" w:color="D0D3D8" w:sz="1"/>
              <w:right w:val="single" w:color="D0D3D8" w:sz="1"/>
            </w:tcBorders>
            <w:shd w:fill="B52B2B"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Widget name</w:t>
            </w:r>
          </w:p>
        </w:tc>
        <w:tc>
          <w:tcPr>
            <w:tcW w:type="dxa" w:w="1400"/>
            <w:tcBorders>
              <w:top w:val="single" w:color="D0D3D8" w:sz="1"/>
              <w:left w:val="single" w:color="D0D3D8" w:sz="1"/>
              <w:bottom w:val="single" w:color="D0D3D8" w:sz="1"/>
              <w:right w:val="single" w:color="D0D3D8" w:sz="1"/>
            </w:tcBorders>
            <w:shd w:fill="B52B2B"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Type</w:t>
            </w:r>
          </w:p>
        </w:tc>
        <w:tc>
          <w:tcPr>
            <w:tcW w:type="dxa" w:w="2680"/>
            <w:tcBorders>
              <w:top w:val="single" w:color="D0D3D8" w:sz="1"/>
              <w:left w:val="single" w:color="D0D3D8" w:sz="1"/>
              <w:bottom w:val="single" w:color="D0D3D8" w:sz="1"/>
              <w:right w:val="single" w:color="D0D3D8" w:sz="1"/>
            </w:tcBorders>
            <w:shd w:fill="B52B2B"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Metric / data</w:t>
            </w:r>
          </w:p>
        </w:tc>
        <w:tc>
          <w:tcPr>
            <w:tcW w:type="dxa" w:w="3280"/>
            <w:tcBorders>
              <w:top w:val="single" w:color="D0D3D8" w:sz="1"/>
              <w:left w:val="single" w:color="D0D3D8" w:sz="1"/>
              <w:bottom w:val="single" w:color="D0D3D8" w:sz="1"/>
              <w:right w:val="single" w:color="D0D3D8" w:sz="1"/>
            </w:tcBorders>
            <w:shd w:fill="B52B2B"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filters</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Active Critical Alerts</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Live 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Real-time count of unacknowledged Critical-severity Orca alerts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Severity: Critical | Status: Open | Ack: No</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Alerts Last 24h</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Total alerts generated in last 24 hours, segmented by Critical / High / Medium</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Time: Last 24h | Status: All</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Unassigned Alerts</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Open alerts with no analyst assigned via Orca or Jira integration</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Status: Open | Assignee: None | Severity: Critical, High</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CDR Events Today</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Count of cloud detection and response (CDR) events fired today</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Type: CDR | Time: Today</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Mean Time to Triage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Scorecard</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Average time from alert creation to first analyst action (acknowledge or assign)</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Severity: Critical, High | Time: Current shift (8h)</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Alert Volume Timeline</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Area chart</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Hourly alert count over 48 hours, stacked by severity tier</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Time: 48h, 1h buckets | Severity: All | Env: Prod</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Findings Heat Map</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Heat map</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Alert count matrix: cloud account (rows) × alert category (columns), color-coded by density</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Time: Last 24h | Status: Open</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Alert Triage Queue</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Live table</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Open alerts: title, severity, asset, age, MITRE tactic, assignee, Jira ticket</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Status: Open | Sort: severity then age | Env: Prod | Limit: 50</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Recent CDR Events</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Live feed</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CDR detections: event type, asset, cloud account, MITRE ATT&amp;CK tactic/technique, timestamp</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Type: CDR | Time: Last 24h | Sort: timestamp desc</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B52B2B"/>
          <w:sz w:val="24"/>
          <w:szCs w:val="24"/>
        </w:rPr>
        <w:t xml:space="preserve">Filter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3D8" w:sz="1"/>
              <w:left w:val="single" w:color="D0D3D8" w:sz="1"/>
              <w:bottom w:val="single" w:color="D0D3D8" w:sz="1"/>
              <w:right w:val="single" w:color="D0D3D8" w:sz="1"/>
            </w:tcBorders>
            <w:shd w:fill="B52B2B"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Filter</w:t>
            </w:r>
          </w:p>
        </w:tc>
        <w:tc>
          <w:tcPr>
            <w:tcW w:type="dxa" w:w="3000"/>
            <w:tcBorders>
              <w:top w:val="single" w:color="D0D3D8" w:sz="1"/>
              <w:left w:val="single" w:color="D0D3D8" w:sz="1"/>
              <w:bottom w:val="single" w:color="D0D3D8" w:sz="1"/>
              <w:right w:val="single" w:color="D0D3D8" w:sz="1"/>
            </w:tcBorders>
            <w:shd w:fill="B52B2B"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values</w:t>
            </w:r>
          </w:p>
        </w:tc>
        <w:tc>
          <w:tcPr>
            <w:tcW w:type="dxa" w:w="4160"/>
            <w:tcBorders>
              <w:top w:val="single" w:color="D0D3D8" w:sz="1"/>
              <w:left w:val="single" w:color="D0D3D8" w:sz="1"/>
              <w:bottom w:val="single" w:color="D0D3D8" w:sz="1"/>
              <w:right w:val="single" w:color="D0D3D8" w:sz="1"/>
            </w:tcBorders>
            <w:shd w:fill="B52B2B"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Severity</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Critical + High (default); include Medium during low-volume periods</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Ensure Critical is never buried below Medium noise in the triage queue</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Status</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Open + In-Progress (default); exclude Resolved and Suppressed</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Show only actionable items — resolved alerts handled in retrospective</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Assignee</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'Unassigned only' for new shift handoff</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New shift analysts prioritize unassigned queue first</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Environment</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Production (default); expand to All for staging incidents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Production incidents are highest priority; staging alerts are advisory</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MITRE tactic</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specific tactic during active incident</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During an active incident, SOC can scope CDR feed to relevant MITRE phases</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Cloud account</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filterable per account for account-specific incidents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Isolate blast radius during cloud account-level security events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Alert category</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'CDR', 'Network', 'IAM' for targeted triage</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Allows specialization within the SOC team (e.g., network analyst filters to network)</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Time range</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Last 24h (default); 7-day for trend context</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Current shift focuses on 24h; shift leads use 7d for pattern identification</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B52B2B"/>
          <w:sz w:val="24"/>
          <w:szCs w:val="24"/>
        </w:rPr>
        <w:t xml:space="preserve">SOC operational notes</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Configure Slack integration to post Critical alerts to #soc-critical channel with a direct Orca link</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Set up PagerDuty or Opsgenie routing for Critical CDR events during off-hours</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Use the Orca Jira integration to auto-create tickets for Critical alerts — link ticket ID to the triage queue widget</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MITRE ATT&amp;CK mapping is automatic in Orca CDR — ensure analysts are briefed on tactic/technique taxonomy</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Shift handoff: filter triage queue to 'assigned to me' to review in-progress items before handoff</w:t>
      </w:r>
    </w:p>
    <w:p>
      <w:r>
        <w:br w:type="page"/>
      </w:r>
    </w:p>
    <w:p>
      <w:pPr>
        <w:pBdr>
          <w:left w:val="single" w:color="0E7C6E" w:sz="20"/>
        </w:pBdr>
        <w:spacing w:after="100" w:before="280"/>
        <w:ind w:left="260"/>
      </w:pPr>
      <w:r>
        <w:rPr>
          <w:rFonts w:ascii="Arial" w:cs="Arial" w:eastAsia="Arial" w:hAnsi="Arial"/>
          <w:b/>
          <w:bCs/>
          <w:i w:val="false"/>
          <w:iCs w:val="false"/>
          <w:color w:val="0E7C6E"/>
          <w:sz w:val="30"/>
          <w:szCs w:val="30"/>
        </w:rPr>
        <w:t xml:space="preserve">Dashboard 4 — Cloud engineering</w:t>
      </w:r>
    </w:p>
    <w:p>
      <w:pPr>
        <w:spacing w:after="140" w:before="60"/>
      </w:pPr>
      <w:r>
        <w:rPr>
          <w:rFonts w:ascii="Arial" w:cs="Arial" w:eastAsia="Arial" w:hAnsi="Arial"/>
          <w:b w:val="false"/>
          <w:bCs w:val="false"/>
          <w:i/>
          <w:iCs/>
          <w:color w:val="666666"/>
          <w:sz w:val="21"/>
          <w:szCs w:val="21"/>
        </w:rPr>
        <w:t xml:space="preserve">Audience: Cloud architects, SREs, platform engineers | Refresh: Every 2 hours</w:t>
      </w:r>
    </w:p>
    <w:p>
      <w:pPr>
        <w:spacing w:after="120" w:before="0"/>
        <w:jc w:val="left"/>
      </w:pPr>
      <w:r>
        <w:rPr>
          <w:rFonts w:ascii="Arial" w:cs="Arial" w:eastAsia="Arial" w:hAnsi="Arial"/>
          <w:b w:val="false"/>
          <w:bCs w:val="false"/>
          <w:i w:val="false"/>
          <w:iCs w:val="false"/>
          <w:color w:val="4A4A4A"/>
          <w:sz w:val="20"/>
          <w:szCs w:val="20"/>
        </w:rPr>
        <w:t xml:space="preserve">The Cloud Engineering dashboard provides infrastructure-layer visibility. It focuses on misconfiguration, IaC drift, network exposure, asset inventory hygiene, and cloud-native security controls. Engineers use this dashboard to track their team's remediation backlog, monitor configuration drift after deployments, and ensure accounts meet baseline security standards before changes go to production.</w:t>
      </w:r>
    </w:p>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E7C6E"/>
          <w:sz w:val="24"/>
          <w:szCs w:val="24"/>
        </w:rPr>
        <w:t xml:space="preserve">Layout overview</w:t>
      </w:r>
    </w:p>
    <w:p>
      <w:pPr>
        <w:spacing w:after="120" w:before="0"/>
        <w:jc w:val="left"/>
      </w:pPr>
      <w:r>
        <w:rPr>
          <w:rFonts w:ascii="Arial" w:cs="Arial" w:eastAsia="Arial" w:hAnsi="Arial"/>
          <w:b w:val="false"/>
          <w:bCs w:val="false"/>
          <w:i w:val="false"/>
          <w:iCs w:val="false"/>
          <w:color w:val="4A4A4A"/>
          <w:sz w:val="20"/>
          <w:szCs w:val="20"/>
        </w:rPr>
        <w:t xml:space="preserve">4-row grid. Row 1: infrastructure health KPIs. Row 2: misconfiguration and network exposure. Row 3: asset inventory and IaC drift. Row 4: remediation backlog table.</w:t>
      </w:r>
    </w:p>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1 — Infrastructure health KPIs (4 scorecards)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Misconfigurations (Prod)</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High + Critical, by cloud</w:t>
            </w:r>
          </w:p>
        </w:tc>
        <w:tc>
          <w:tcPr>
            <w:tcW w:type="dxa" w:w="234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Publicly Exposed Assets</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Internet-facing w/ open risk</w:t>
            </w:r>
          </w:p>
        </w:tc>
        <w:tc>
          <w:tcPr>
            <w:tcW w:type="dxa" w:w="234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IaC Drift Detected</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Live infra diverged from IaC</w:t>
            </w:r>
          </w:p>
        </w:tc>
        <w:tc>
          <w:tcPr>
            <w:tcW w:type="dxa" w:w="234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Unpatched Critical CVEs</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CVSS ≥9.0, prod workloads</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2 — Misconfig and network exposure (3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Misconfigs by Service</w:t>
            </w:r>
          </w:p>
          <w:p>
            <w:pPr>
              <w:spacing w:after="30" w:before="0"/>
            </w:pPr>
            <w:r>
              <w:rPr>
                <w:rFonts w:ascii="Arial" w:cs="Arial" w:eastAsia="Arial" w:hAnsi="Arial"/>
                <w:b w:val="false"/>
                <w:bCs w:val="false"/>
                <w:i/>
                <w:iCs/>
                <w:color w:val="555555"/>
                <w:sz w:val="17"/>
                <w:szCs w:val="17"/>
              </w:rPr>
              <w:t xml:space="preserve">Bar chart</w:t>
            </w:r>
          </w:p>
          <w:p>
            <w:pPr>
              <w:spacing w:after="0" w:before="20"/>
            </w:pPr>
            <w:r>
              <w:rPr>
                <w:rFonts w:ascii="Arial" w:cs="Arial" w:eastAsia="Arial" w:hAnsi="Arial"/>
                <w:b w:val="false"/>
                <w:bCs w:val="false"/>
                <w:i w:val="false"/>
                <w:iCs w:val="false"/>
                <w:color w:val="666666"/>
                <w:sz w:val="16"/>
                <w:szCs w:val="16"/>
              </w:rPr>
              <w:t xml:space="preserve">EC2, S3, RDS, IAM, K8s, etc.</w:t>
            </w:r>
          </w:p>
        </w:tc>
        <w:tc>
          <w:tcPr>
            <w:tcW w:type="dxa" w:w="312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Network Exposure Map</w:t>
            </w:r>
          </w:p>
          <w:p>
            <w:pPr>
              <w:spacing w:after="30" w:before="0"/>
            </w:pPr>
            <w:r>
              <w:rPr>
                <w:rFonts w:ascii="Arial" w:cs="Arial" w:eastAsia="Arial" w:hAnsi="Arial"/>
                <w:b w:val="false"/>
                <w:bCs w:val="false"/>
                <w:i/>
                <w:iCs/>
                <w:color w:val="555555"/>
                <w:sz w:val="17"/>
                <w:szCs w:val="17"/>
              </w:rPr>
              <w:t xml:space="preserve">Topology chart</w:t>
            </w:r>
          </w:p>
          <w:p>
            <w:pPr>
              <w:spacing w:after="0" w:before="20"/>
            </w:pPr>
            <w:r>
              <w:rPr>
                <w:rFonts w:ascii="Arial" w:cs="Arial" w:eastAsia="Arial" w:hAnsi="Arial"/>
                <w:b w:val="false"/>
                <w:bCs w:val="false"/>
                <w:i w:val="false"/>
                <w:iCs w:val="false"/>
                <w:color w:val="666666"/>
                <w:sz w:val="16"/>
                <w:szCs w:val="16"/>
              </w:rPr>
              <w:t xml:space="preserve">Internet-exposed assets, port/protocol</w:t>
            </w:r>
          </w:p>
        </w:tc>
        <w:tc>
          <w:tcPr>
            <w:tcW w:type="dxa" w:w="312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Risk by Cloud Account</w:t>
            </w:r>
          </w:p>
          <w:p>
            <w:pPr>
              <w:spacing w:after="30" w:before="0"/>
            </w:pPr>
            <w:r>
              <w:rPr>
                <w:rFonts w:ascii="Arial" w:cs="Arial" w:eastAsia="Arial" w:hAnsi="Arial"/>
                <w:b w:val="false"/>
                <w:bCs w:val="false"/>
                <w:i/>
                <w:iCs/>
                <w:color w:val="555555"/>
                <w:sz w:val="17"/>
                <w:szCs w:val="17"/>
              </w:rPr>
              <w:t xml:space="preserve">Ranked bar</w:t>
            </w:r>
          </w:p>
          <w:p>
            <w:pPr>
              <w:spacing w:after="0" w:before="20"/>
            </w:pPr>
            <w:r>
              <w:rPr>
                <w:rFonts w:ascii="Arial" w:cs="Arial" w:eastAsia="Arial" w:hAnsi="Arial"/>
                <w:b w:val="false"/>
                <w:bCs w:val="false"/>
                <w:i w:val="false"/>
                <w:iCs w:val="false"/>
                <w:color w:val="666666"/>
                <w:sz w:val="16"/>
                <w:szCs w:val="16"/>
              </w:rPr>
              <w:t xml:space="preserve">Orca score per account, sortable</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3 — Asset inventory and IaC (2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Asset Inventory by Type</w:t>
            </w:r>
          </w:p>
          <w:p>
            <w:pPr>
              <w:spacing w:after="30" w:before="0"/>
            </w:pPr>
            <w:r>
              <w:rPr>
                <w:rFonts w:ascii="Arial" w:cs="Arial" w:eastAsia="Arial" w:hAnsi="Arial"/>
                <w:b w:val="false"/>
                <w:bCs w:val="false"/>
                <w:i/>
                <w:iCs/>
                <w:color w:val="555555"/>
                <w:sz w:val="17"/>
                <w:szCs w:val="17"/>
              </w:rPr>
              <w:t xml:space="preserve">Grouped bar</w:t>
            </w:r>
          </w:p>
          <w:p>
            <w:pPr>
              <w:spacing w:after="0" w:before="20"/>
            </w:pPr>
            <w:r>
              <w:rPr>
                <w:rFonts w:ascii="Arial" w:cs="Arial" w:eastAsia="Arial" w:hAnsi="Arial"/>
                <w:b w:val="false"/>
                <w:bCs w:val="false"/>
                <w:i w:val="false"/>
                <w:iCs w:val="false"/>
                <w:color w:val="666666"/>
                <w:sz w:val="16"/>
                <w:szCs w:val="16"/>
              </w:rPr>
              <w:t xml:space="preserve">Compute, storage, DB, network, K8s</w:t>
            </w:r>
          </w:p>
        </w:tc>
        <w:tc>
          <w:tcPr>
            <w:tcW w:type="dxa" w:w="468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IaC Drift by Account</w:t>
            </w:r>
          </w:p>
          <w:p>
            <w:pPr>
              <w:spacing w:after="30" w:before="0"/>
            </w:pPr>
            <w:r>
              <w:rPr>
                <w:rFonts w:ascii="Arial" w:cs="Arial" w:eastAsia="Arial" w:hAnsi="Arial"/>
                <w:b w:val="false"/>
                <w:bCs w:val="false"/>
                <w:i/>
                <w:iCs/>
                <w:color w:val="555555"/>
                <w:sz w:val="17"/>
                <w:szCs w:val="17"/>
              </w:rPr>
              <w:t xml:space="preserve">Table</w:t>
            </w:r>
          </w:p>
          <w:p>
            <w:pPr>
              <w:spacing w:after="0" w:before="20"/>
            </w:pPr>
            <w:r>
              <w:rPr>
                <w:rFonts w:ascii="Arial" w:cs="Arial" w:eastAsia="Arial" w:hAnsi="Arial"/>
                <w:b w:val="false"/>
                <w:bCs w:val="false"/>
                <w:i w:val="false"/>
                <w:iCs w:val="false"/>
                <w:color w:val="666666"/>
                <w:sz w:val="16"/>
                <w:szCs w:val="16"/>
              </w:rPr>
              <w:t xml:space="preserve">Resource, Terraform state, live delta</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4 — Remediation backlog (full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B0C0" w:sz="1"/>
              <w:left w:val="single" w:color="A0B0C0" w:sz="1"/>
              <w:bottom w:val="single" w:color="A0B0C0" w:sz="1"/>
              <w:right w:val="single" w:color="A0B0C0" w:sz="1"/>
            </w:tcBorders>
            <w:shd w:fill="DFF3EF"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Engineering Remediation Backlog</w:t>
            </w:r>
          </w:p>
          <w:p>
            <w:pPr>
              <w:spacing w:after="30" w:before="0"/>
            </w:pPr>
            <w:r>
              <w:rPr>
                <w:rFonts w:ascii="Arial" w:cs="Arial" w:eastAsia="Arial" w:hAnsi="Arial"/>
                <w:b w:val="false"/>
                <w:bCs w:val="false"/>
                <w:i/>
                <w:iCs/>
                <w:color w:val="555555"/>
                <w:sz w:val="17"/>
                <w:szCs w:val="17"/>
              </w:rPr>
              <w:t xml:space="preserve">Sortable table</w:t>
            </w:r>
          </w:p>
          <w:p>
            <w:pPr>
              <w:spacing w:after="0" w:before="20"/>
            </w:pPr>
            <w:r>
              <w:rPr>
                <w:rFonts w:ascii="Arial" w:cs="Arial" w:eastAsia="Arial" w:hAnsi="Arial"/>
                <w:b w:val="false"/>
                <w:bCs w:val="false"/>
                <w:i w:val="false"/>
                <w:iCs w:val="false"/>
                <w:color w:val="666666"/>
                <w:sz w:val="16"/>
                <w:szCs w:val="16"/>
              </w:rPr>
              <w:t xml:space="preserve">Finding, asset, service, owner, Jira ticket, SLA status</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E7C6E"/>
          <w:sz w:val="24"/>
          <w:szCs w:val="24"/>
        </w:rPr>
        <w:t xml:space="preserve">Widget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80"/>
        <w:gridCol w:w="3280"/>
      </w:tblGrid>
      <w:tr>
        <w:trPr>
          <w:tblHeader/>
        </w:trPr>
        <w:tc>
          <w:tcPr>
            <w:tcW w:type="dxa" w:w="2000"/>
            <w:tcBorders>
              <w:top w:val="single" w:color="D0D3D8" w:sz="1"/>
              <w:left w:val="single" w:color="D0D3D8" w:sz="1"/>
              <w:bottom w:val="single" w:color="D0D3D8" w:sz="1"/>
              <w:right w:val="single" w:color="D0D3D8" w:sz="1"/>
            </w:tcBorders>
            <w:shd w:fill="0E7C6E"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Widget name</w:t>
            </w:r>
          </w:p>
        </w:tc>
        <w:tc>
          <w:tcPr>
            <w:tcW w:type="dxa" w:w="1400"/>
            <w:tcBorders>
              <w:top w:val="single" w:color="D0D3D8" w:sz="1"/>
              <w:left w:val="single" w:color="D0D3D8" w:sz="1"/>
              <w:bottom w:val="single" w:color="D0D3D8" w:sz="1"/>
              <w:right w:val="single" w:color="D0D3D8" w:sz="1"/>
            </w:tcBorders>
            <w:shd w:fill="0E7C6E"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Type</w:t>
            </w:r>
          </w:p>
        </w:tc>
        <w:tc>
          <w:tcPr>
            <w:tcW w:type="dxa" w:w="2680"/>
            <w:tcBorders>
              <w:top w:val="single" w:color="D0D3D8" w:sz="1"/>
              <w:left w:val="single" w:color="D0D3D8" w:sz="1"/>
              <w:bottom w:val="single" w:color="D0D3D8" w:sz="1"/>
              <w:right w:val="single" w:color="D0D3D8" w:sz="1"/>
            </w:tcBorders>
            <w:shd w:fill="0E7C6E"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Metric / data</w:t>
            </w:r>
          </w:p>
        </w:tc>
        <w:tc>
          <w:tcPr>
            <w:tcW w:type="dxa" w:w="3280"/>
            <w:tcBorders>
              <w:top w:val="single" w:color="D0D3D8" w:sz="1"/>
              <w:left w:val="single" w:color="D0D3D8" w:sz="1"/>
              <w:bottom w:val="single" w:color="D0D3D8" w:sz="1"/>
              <w:right w:val="single" w:color="D0D3D8" w:sz="1"/>
            </w:tcBorders>
            <w:shd w:fill="0E7C6E"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filters</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Misconfigurations (Prod)</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Count of High/Critical CSPM misconfigurations in production, segmented by cloud provider</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Category: CSPM | Severity: High, Critical | Env: Prod</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Publicly Exposed Assets</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Assets with public IP or DNS + at least one open High or Critical network finding</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Exposure: Public | Severity: High, Critical | Env: Prod</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IaC Drift Detected</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Resources where live configuration diverges from Terraform/CloudFormation state</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Type: IaC-drift | Env: Prod | Status: Active</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Unpatched Critical CVEs</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Workloads with CVSS ≥9.0 CVEs confirmed present via SideScanning, unpatched</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CVSS: ≥9.0 | Status: Unpatched | Env: Prod | Type: Compute</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Misconfigs by Service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Bar chart</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Misconfiguration count per cloud service (EC2, S3, RDS, IAM, EKS, Lambda, etc.)</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Category: CSPM | Severity: High, Critical | Env: Prod | Group: service</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Network Exposure Map</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Topology chart</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Internet-facing resources with open ports, protocols, and associated risk severity</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Exposure: Internet-facing | Severity: All | Env: Prod</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Risk by Cloud Account</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Ranked bar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Orca aggregate risk score per cloud account, descending; click account to drill into findings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Group: account | Severity: All | Env: Prod</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Asset Inventory by Type</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Grouped bar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Total assets per type (Compute, Storage, Database, Network, Container, Serverless)</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Env: All | Group: asset-type</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IaC Drift by Account</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Table</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Resource ID, resource type, IaC tool (Terraform/CF), drift description, last scan time</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Type: IaC-drift | Sort: last-seen desc</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Remediation Backlog</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Sortable table</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Finding, cloud service, environment, severity, team owner tag, Jira ticket, SLA target vs. actual age</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Status: Open | Env: Prod | Tag: cloud-eng | Sort: SLA breach first</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E7C6E"/>
          <w:sz w:val="24"/>
          <w:szCs w:val="24"/>
        </w:rPr>
        <w:t xml:space="preserve">Filter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3D8" w:sz="1"/>
              <w:left w:val="single" w:color="D0D3D8" w:sz="1"/>
              <w:bottom w:val="single" w:color="D0D3D8" w:sz="1"/>
              <w:right w:val="single" w:color="D0D3D8" w:sz="1"/>
            </w:tcBorders>
            <w:shd w:fill="0E7C6E"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Filter</w:t>
            </w:r>
          </w:p>
        </w:tc>
        <w:tc>
          <w:tcPr>
            <w:tcW w:type="dxa" w:w="3000"/>
            <w:tcBorders>
              <w:top w:val="single" w:color="D0D3D8" w:sz="1"/>
              <w:left w:val="single" w:color="D0D3D8" w:sz="1"/>
              <w:bottom w:val="single" w:color="D0D3D8" w:sz="1"/>
              <w:right w:val="single" w:color="D0D3D8" w:sz="1"/>
            </w:tcBorders>
            <w:shd w:fill="0E7C6E"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values</w:t>
            </w:r>
          </w:p>
        </w:tc>
        <w:tc>
          <w:tcPr>
            <w:tcW w:type="dxa" w:w="4160"/>
            <w:tcBorders>
              <w:top w:val="single" w:color="D0D3D8" w:sz="1"/>
              <w:left w:val="single" w:color="D0D3D8" w:sz="1"/>
              <w:bottom w:val="single" w:color="D0D3D8" w:sz="1"/>
              <w:right w:val="single" w:color="D0D3D8" w:sz="1"/>
            </w:tcBorders>
            <w:shd w:fill="0E7C6E"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Environment</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Production (default); 'All' for full estate view</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Engineers prioritize prod remediation before dev/staging</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Cloud provider</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per cloud for account-specific work</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Allows engineers to scope to their primary cloud during sprints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Cloud service</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EC2, S3, RDS, EKS, Lambda individually</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Service owners can scope to their owned services</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Team owner tag</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cloud-eng (default); filterable to sub-team tags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Scopes remediation backlog to the engineer's own team ownership</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IaC tool</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Terraform / CloudFormation / Pulumi</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Aligns IaC drift view to the tool used by that team</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Severity</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High + Critical (default); include Medium for backlog sprints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Focus sprint capacity on highest-risk items first</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Asset type</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Compute, Storage, K8s, Serverless</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Allows SRE specialization — platform engineers filter to K8s</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SLA status</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'Breached' filter for sprint planning</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Identify SLA-breached items that need immediate escalation</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0E7C6E"/>
          <w:sz w:val="24"/>
          <w:szCs w:val="24"/>
        </w:rPr>
        <w:t xml:space="preserve">Cloud engineering integration notes</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Connect Orca to Terraform Cloud or Atlantis to automatically flag IaC drift findings in pull requests</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Tag all cloud resources at provisioning time with: env, team, service, and cost-center — Orca uses these for all grouping</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Use Orca's asset inventory export to cross-reference with your CMDB for asset hygiene reconciliation</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Configure Jira project 'CLOUD-SEC' with Orca auto-ticket creation for High and Critical findings tagged cloud-eng</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Schedule weekly 'security debt sprint' — use remediation backlog filtered to SLA-breached items as the source of truth</w:t>
      </w:r>
    </w:p>
    <w:p>
      <w:r>
        <w:br w:type="page"/>
      </w:r>
    </w:p>
    <w:p>
      <w:pPr>
        <w:pBdr>
          <w:left w:val="single" w:color="1A9E55" w:sz="20"/>
        </w:pBdr>
        <w:spacing w:after="100" w:before="280"/>
        <w:ind w:left="260"/>
      </w:pPr>
      <w:r>
        <w:rPr>
          <w:rFonts w:ascii="Arial" w:cs="Arial" w:eastAsia="Arial" w:hAnsi="Arial"/>
          <w:b/>
          <w:bCs/>
          <w:i w:val="false"/>
          <w:iCs w:val="false"/>
          <w:color w:val="1A9E55"/>
          <w:sz w:val="30"/>
          <w:szCs w:val="30"/>
        </w:rPr>
        <w:t xml:space="preserve">Dashboard 5 — Development &amp; DevOps</w:t>
      </w:r>
    </w:p>
    <w:p>
      <w:pPr>
        <w:spacing w:after="140" w:before="60"/>
      </w:pPr>
      <w:r>
        <w:rPr>
          <w:rFonts w:ascii="Arial" w:cs="Arial" w:eastAsia="Arial" w:hAnsi="Arial"/>
          <w:b w:val="false"/>
          <w:bCs w:val="false"/>
          <w:i/>
          <w:iCs/>
          <w:color w:val="666666"/>
          <w:sz w:val="21"/>
          <w:szCs w:val="21"/>
        </w:rPr>
        <w:t xml:space="preserve">Audience: Developers, DevOps engineers, platform engineers, release managers | Refresh: Every 1 hour</w:t>
      </w:r>
    </w:p>
    <w:p>
      <w:pPr>
        <w:spacing w:after="120" w:before="0"/>
        <w:jc w:val="left"/>
      </w:pPr>
      <w:r>
        <w:rPr>
          <w:rFonts w:ascii="Arial" w:cs="Arial" w:eastAsia="Arial" w:hAnsi="Arial"/>
          <w:b w:val="false"/>
          <w:bCs w:val="false"/>
          <w:i w:val="false"/>
          <w:iCs w:val="false"/>
          <w:color w:val="4A4A4A"/>
          <w:sz w:val="20"/>
          <w:szCs w:val="20"/>
        </w:rPr>
        <w:t xml:space="preserve">The Dev/DevOps dashboard implements the shift-left security model. It brings runtime cloud risk data back into the developer workflow — surfacing container image vulnerabilities, pipeline risk, package-level CVEs, and secrets exposure before code reaches production. The dashboard is designed to be non-blocking: findings are advisory by default, with break-the-build gates configurable per severity level in CI/CD integration settings.</w:t>
      </w:r>
    </w:p>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1A9E55"/>
          <w:sz w:val="24"/>
          <w:szCs w:val="24"/>
        </w:rPr>
        <w:t xml:space="preserve">Layout overview</w:t>
      </w:r>
    </w:p>
    <w:p>
      <w:pPr>
        <w:spacing w:after="120" w:before="0"/>
        <w:jc w:val="left"/>
      </w:pPr>
      <w:r>
        <w:rPr>
          <w:rFonts w:ascii="Arial" w:cs="Arial" w:eastAsia="Arial" w:hAnsi="Arial"/>
          <w:b w:val="false"/>
          <w:bCs w:val="false"/>
          <w:i w:val="false"/>
          <w:iCs w:val="false"/>
          <w:color w:val="4A4A4A"/>
          <w:sz w:val="20"/>
          <w:szCs w:val="20"/>
        </w:rPr>
        <w:t xml:space="preserve">4-row grid. Row 1: developer-focused KPIs. Row 2: vulnerability and secrets charts. Row 3: container registry and pipeline risk. Row 4: actionable findings table per repo/service.</w:t>
      </w:r>
    </w:p>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1 — Developer KPIs (5 scorecards)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Open CVEs (My Services)</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Scoped to team tag</w:t>
            </w:r>
          </w:p>
        </w:tc>
        <w:tc>
          <w:tcPr>
            <w:tcW w:type="dxa" w:w="1872"/>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Critical Image Vulns</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Container images in registry</w:t>
            </w:r>
          </w:p>
        </w:tc>
        <w:tc>
          <w:tcPr>
            <w:tcW w:type="dxa" w:w="1872"/>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Secrets Detected</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Exposed secrets/keys in workloads</w:t>
            </w:r>
          </w:p>
        </w:tc>
        <w:tc>
          <w:tcPr>
            <w:tcW w:type="dxa" w:w="1872"/>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Packages with CVEs</w:t>
            </w:r>
          </w:p>
          <w:p>
            <w:pPr>
              <w:spacing w:after="30" w:before="0"/>
            </w:pPr>
            <w:r>
              <w:rPr>
                <w:rFonts w:ascii="Arial" w:cs="Arial" w:eastAsia="Arial" w:hAnsi="Arial"/>
                <w:b w:val="false"/>
                <w:bCs w:val="false"/>
                <w:i/>
                <w:iCs/>
                <w:color w:val="555555"/>
                <w:sz w:val="17"/>
                <w:szCs w:val="17"/>
              </w:rPr>
              <w:t xml:space="preserve">Counter</w:t>
            </w:r>
          </w:p>
          <w:p>
            <w:pPr>
              <w:spacing w:after="0" w:before="20"/>
            </w:pPr>
            <w:r>
              <w:rPr>
                <w:rFonts w:ascii="Arial" w:cs="Arial" w:eastAsia="Arial" w:hAnsi="Arial"/>
                <w:b w:val="false"/>
                <w:bCs w:val="false"/>
                <w:i w:val="false"/>
                <w:iCs w:val="false"/>
                <w:color w:val="666666"/>
                <w:sz w:val="16"/>
                <w:szCs w:val="16"/>
              </w:rPr>
              <w:t xml:space="preserve">OSS packages, CVSS ≥7.0</w:t>
            </w:r>
          </w:p>
        </w:tc>
        <w:tc>
          <w:tcPr>
            <w:tcW w:type="dxa" w:w="1872"/>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Pipeline Risk Score</w:t>
            </w:r>
          </w:p>
          <w:p>
            <w:pPr>
              <w:spacing w:after="30" w:before="0"/>
            </w:pPr>
            <w:r>
              <w:rPr>
                <w:rFonts w:ascii="Arial" w:cs="Arial" w:eastAsia="Arial" w:hAnsi="Arial"/>
                <w:b w:val="false"/>
                <w:bCs w:val="false"/>
                <w:i/>
                <w:iCs/>
                <w:color w:val="555555"/>
                <w:sz w:val="17"/>
                <w:szCs w:val="17"/>
              </w:rPr>
              <w:t xml:space="preserve">Scorecard</w:t>
            </w:r>
          </w:p>
          <w:p>
            <w:pPr>
              <w:spacing w:after="0" w:before="20"/>
            </w:pPr>
            <w:r>
              <w:rPr>
                <w:rFonts w:ascii="Arial" w:cs="Arial" w:eastAsia="Arial" w:hAnsi="Arial"/>
                <w:b w:val="false"/>
                <w:bCs w:val="false"/>
                <w:i w:val="false"/>
                <w:iCs w:val="false"/>
                <w:color w:val="666666"/>
                <w:sz w:val="16"/>
                <w:szCs w:val="16"/>
              </w:rPr>
              <w:t xml:space="preserve">Orca score for CI/CD-deployed assets</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2 — Vulnerability and secrets (3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CVE Distribution by Severity</w:t>
            </w:r>
          </w:p>
          <w:p>
            <w:pPr>
              <w:spacing w:after="30" w:before="0"/>
            </w:pPr>
            <w:r>
              <w:rPr>
                <w:rFonts w:ascii="Arial" w:cs="Arial" w:eastAsia="Arial" w:hAnsi="Arial"/>
                <w:b w:val="false"/>
                <w:bCs w:val="false"/>
                <w:i/>
                <w:iCs/>
                <w:color w:val="555555"/>
                <w:sz w:val="17"/>
                <w:szCs w:val="17"/>
              </w:rPr>
              <w:t xml:space="preserve">Donut chart</w:t>
            </w:r>
          </w:p>
          <w:p>
            <w:pPr>
              <w:spacing w:after="0" w:before="20"/>
            </w:pPr>
            <w:r>
              <w:rPr>
                <w:rFonts w:ascii="Arial" w:cs="Arial" w:eastAsia="Arial" w:hAnsi="Arial"/>
                <w:b w:val="false"/>
                <w:bCs w:val="false"/>
                <w:i w:val="false"/>
                <w:iCs w:val="false"/>
                <w:color w:val="666666"/>
                <w:sz w:val="16"/>
                <w:szCs w:val="16"/>
              </w:rPr>
              <w:t xml:space="preserve">Critical/High/Medium/Low by count</w:t>
            </w:r>
          </w:p>
        </w:tc>
        <w:tc>
          <w:tcPr>
            <w:tcW w:type="dxa" w:w="3120"/>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Top 10 Vulnerable Packages</w:t>
            </w:r>
          </w:p>
          <w:p>
            <w:pPr>
              <w:spacing w:after="30" w:before="0"/>
            </w:pPr>
            <w:r>
              <w:rPr>
                <w:rFonts w:ascii="Arial" w:cs="Arial" w:eastAsia="Arial" w:hAnsi="Arial"/>
                <w:b w:val="false"/>
                <w:bCs w:val="false"/>
                <w:i/>
                <w:iCs/>
                <w:color w:val="555555"/>
                <w:sz w:val="17"/>
                <w:szCs w:val="17"/>
              </w:rPr>
              <w:t xml:space="preserve">Ranked list</w:t>
            </w:r>
          </w:p>
          <w:p>
            <w:pPr>
              <w:spacing w:after="0" w:before="20"/>
            </w:pPr>
            <w:r>
              <w:rPr>
                <w:rFonts w:ascii="Arial" w:cs="Arial" w:eastAsia="Arial" w:hAnsi="Arial"/>
                <w:b w:val="false"/>
                <w:bCs w:val="false"/>
                <w:i w:val="false"/>
                <w:iCs w:val="false"/>
                <w:color w:val="666666"/>
                <w:sz w:val="16"/>
                <w:szCs w:val="16"/>
              </w:rPr>
              <w:t xml:space="preserve">Package name, version, CVE count</w:t>
            </w:r>
          </w:p>
        </w:tc>
        <w:tc>
          <w:tcPr>
            <w:tcW w:type="dxa" w:w="3120"/>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Secrets by Type</w:t>
            </w:r>
          </w:p>
          <w:p>
            <w:pPr>
              <w:spacing w:after="30" w:before="0"/>
            </w:pPr>
            <w:r>
              <w:rPr>
                <w:rFonts w:ascii="Arial" w:cs="Arial" w:eastAsia="Arial" w:hAnsi="Arial"/>
                <w:b w:val="false"/>
                <w:bCs w:val="false"/>
                <w:i/>
                <w:iCs/>
                <w:color w:val="555555"/>
                <w:sz w:val="17"/>
                <w:szCs w:val="17"/>
              </w:rPr>
              <w:t xml:space="preserve">Bar chart</w:t>
            </w:r>
          </w:p>
          <w:p>
            <w:pPr>
              <w:spacing w:after="0" w:before="20"/>
            </w:pPr>
            <w:r>
              <w:rPr>
                <w:rFonts w:ascii="Arial" w:cs="Arial" w:eastAsia="Arial" w:hAnsi="Arial"/>
                <w:b w:val="false"/>
                <w:bCs w:val="false"/>
                <w:i w:val="false"/>
                <w:iCs w:val="false"/>
                <w:color w:val="666666"/>
                <w:sz w:val="16"/>
                <w:szCs w:val="16"/>
              </w:rPr>
              <w:t xml:space="preserve">AWS keys, API tokens, certs, passwords</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3 — Container and pipeline (2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Container Image Risk Heatmap</w:t>
            </w:r>
          </w:p>
          <w:p>
            <w:pPr>
              <w:spacing w:after="30" w:before="0"/>
            </w:pPr>
            <w:r>
              <w:rPr>
                <w:rFonts w:ascii="Arial" w:cs="Arial" w:eastAsia="Arial" w:hAnsi="Arial"/>
                <w:b w:val="false"/>
                <w:bCs w:val="false"/>
                <w:i/>
                <w:iCs/>
                <w:color w:val="555555"/>
                <w:sz w:val="17"/>
                <w:szCs w:val="17"/>
              </w:rPr>
              <w:t xml:space="preserve">Heat map</w:t>
            </w:r>
          </w:p>
          <w:p>
            <w:pPr>
              <w:spacing w:after="0" w:before="20"/>
            </w:pPr>
            <w:r>
              <w:rPr>
                <w:rFonts w:ascii="Arial" w:cs="Arial" w:eastAsia="Arial" w:hAnsi="Arial"/>
                <w:b w:val="false"/>
                <w:bCs w:val="false"/>
                <w:i w:val="false"/>
                <w:iCs w:val="false"/>
                <w:color w:val="666666"/>
                <w:sz w:val="16"/>
                <w:szCs w:val="16"/>
              </w:rPr>
              <w:t xml:space="preserve">Image × registry, risk-colored</w:t>
            </w:r>
          </w:p>
        </w:tc>
        <w:tc>
          <w:tcPr>
            <w:tcW w:type="dxa" w:w="4680"/>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Findings by Repo / Service</w:t>
            </w:r>
          </w:p>
          <w:p>
            <w:pPr>
              <w:spacing w:after="30" w:before="0"/>
            </w:pPr>
            <w:r>
              <w:rPr>
                <w:rFonts w:ascii="Arial" w:cs="Arial" w:eastAsia="Arial" w:hAnsi="Arial"/>
                <w:b w:val="false"/>
                <w:bCs w:val="false"/>
                <w:i/>
                <w:iCs/>
                <w:color w:val="555555"/>
                <w:sz w:val="17"/>
                <w:szCs w:val="17"/>
              </w:rPr>
              <w:t xml:space="preserve">Ranked bar</w:t>
            </w:r>
          </w:p>
          <w:p>
            <w:pPr>
              <w:spacing w:after="0" w:before="20"/>
            </w:pPr>
            <w:r>
              <w:rPr>
                <w:rFonts w:ascii="Arial" w:cs="Arial" w:eastAsia="Arial" w:hAnsi="Arial"/>
                <w:b w:val="false"/>
                <w:bCs w:val="false"/>
                <w:i w:val="false"/>
                <w:iCs w:val="false"/>
                <w:color w:val="666666"/>
                <w:sz w:val="16"/>
                <w:szCs w:val="16"/>
              </w:rPr>
              <w:t xml:space="preserve">Open vulns per service, team-tagged</w:t>
            </w:r>
          </w:p>
        </w:tc>
      </w:tr>
    </w:tbl>
    <w:p>
      <w:pPr>
        <w:spacing w:after="80" w:before="0"/>
      </w:pPr>
      <w:r>
        <w:rPr>
          <w:rFonts w:ascii="Arial" w:cs="Arial" w:eastAsia="Arial" w:hAnsi="Arial"/>
          <w:b w:val="false"/>
          <w:bCs w:val="false"/>
          <w:i w:val="false"/>
          <w:iCs w:val="false"/>
          <w:color w:val="4A4A4A"/>
          <w:sz w:val="20"/>
          <w:szCs w:val="20"/>
        </w:rPr>
        <w:t xml:space="preserve"/>
      </w:r>
    </w:p>
    <w:p>
      <w:pPr>
        <w:spacing w:after="80" w:before="160"/>
      </w:pPr>
      <w:r>
        <w:rPr>
          <w:rFonts w:ascii="Arial" w:cs="Arial" w:eastAsia="Arial" w:hAnsi="Arial"/>
          <w:b/>
          <w:bCs/>
          <w:i w:val="false"/>
          <w:iCs w:val="false"/>
          <w:color w:val="4A4A4A"/>
          <w:sz w:val="21"/>
          <w:szCs w:val="21"/>
        </w:rPr>
        <w:t xml:space="preserve">Row 4 — Shift-left findings table (full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B0C0" w:sz="1"/>
              <w:left w:val="single" w:color="A0B0C0" w:sz="1"/>
              <w:bottom w:val="single" w:color="A0B0C0" w:sz="1"/>
              <w:right w:val="single" w:color="A0B0C0" w:sz="1"/>
            </w:tcBorders>
            <w:shd w:fill="E6F5ED" w:val="clear"/>
            <w:tcMar>
              <w:top w:type="dxa" w:w="100"/>
              <w:left w:type="dxa" w:w="130"/>
              <w:bottom w:type="dxa" w:w="100"/>
              <w:right w:type="dxa" w:w="130"/>
            </w:tcMar>
          </w:tcPr>
          <w:p>
            <w:pPr>
              <w:spacing w:after="30" w:before="0"/>
            </w:pPr>
            <w:r>
              <w:rPr>
                <w:rFonts w:ascii="Arial" w:cs="Arial" w:eastAsia="Arial" w:hAnsi="Arial"/>
                <w:b/>
                <w:bCs/>
                <w:i w:val="false"/>
                <w:iCs w:val="false"/>
                <w:color w:val="0A3D6E"/>
                <w:sz w:val="19"/>
                <w:szCs w:val="19"/>
              </w:rPr>
              <w:t xml:space="preserve">Developer Remediation Queue</w:t>
            </w:r>
          </w:p>
          <w:p>
            <w:pPr>
              <w:spacing w:after="30" w:before="0"/>
            </w:pPr>
            <w:r>
              <w:rPr>
                <w:rFonts w:ascii="Arial" w:cs="Arial" w:eastAsia="Arial" w:hAnsi="Arial"/>
                <w:b w:val="false"/>
                <w:bCs w:val="false"/>
                <w:i/>
                <w:iCs/>
                <w:color w:val="555555"/>
                <w:sz w:val="17"/>
                <w:szCs w:val="17"/>
              </w:rPr>
              <w:t xml:space="preserve">Sortable table</w:t>
            </w:r>
          </w:p>
          <w:p>
            <w:pPr>
              <w:spacing w:after="0" w:before="20"/>
            </w:pPr>
            <w:r>
              <w:rPr>
                <w:rFonts w:ascii="Arial" w:cs="Arial" w:eastAsia="Arial" w:hAnsi="Arial"/>
                <w:b w:val="false"/>
                <w:bCs w:val="false"/>
                <w:i w:val="false"/>
                <w:iCs w:val="false"/>
                <w:color w:val="666666"/>
                <w:sz w:val="16"/>
                <w:szCs w:val="16"/>
              </w:rPr>
              <w:t xml:space="preserve">CVE, package, image/asset, repo, CVSS, fix available, Jira ticket</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1A9E55"/>
          <w:sz w:val="24"/>
          <w:szCs w:val="24"/>
        </w:rPr>
        <w:t xml:space="preserve">Widget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80"/>
        <w:gridCol w:w="3280"/>
      </w:tblGrid>
      <w:tr>
        <w:trPr>
          <w:tblHeader/>
        </w:trPr>
        <w:tc>
          <w:tcPr>
            <w:tcW w:type="dxa" w:w="2000"/>
            <w:tcBorders>
              <w:top w:val="single" w:color="D0D3D8" w:sz="1"/>
              <w:left w:val="single" w:color="D0D3D8" w:sz="1"/>
              <w:bottom w:val="single" w:color="D0D3D8" w:sz="1"/>
              <w:right w:val="single" w:color="D0D3D8" w:sz="1"/>
            </w:tcBorders>
            <w:shd w:fill="1A9E55"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Widget name</w:t>
            </w:r>
          </w:p>
        </w:tc>
        <w:tc>
          <w:tcPr>
            <w:tcW w:type="dxa" w:w="1400"/>
            <w:tcBorders>
              <w:top w:val="single" w:color="D0D3D8" w:sz="1"/>
              <w:left w:val="single" w:color="D0D3D8" w:sz="1"/>
              <w:bottom w:val="single" w:color="D0D3D8" w:sz="1"/>
              <w:right w:val="single" w:color="D0D3D8" w:sz="1"/>
            </w:tcBorders>
            <w:shd w:fill="1A9E55"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Type</w:t>
            </w:r>
          </w:p>
        </w:tc>
        <w:tc>
          <w:tcPr>
            <w:tcW w:type="dxa" w:w="2680"/>
            <w:tcBorders>
              <w:top w:val="single" w:color="D0D3D8" w:sz="1"/>
              <w:left w:val="single" w:color="D0D3D8" w:sz="1"/>
              <w:bottom w:val="single" w:color="D0D3D8" w:sz="1"/>
              <w:right w:val="single" w:color="D0D3D8" w:sz="1"/>
            </w:tcBorders>
            <w:shd w:fill="1A9E55"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Metric / data</w:t>
            </w:r>
          </w:p>
        </w:tc>
        <w:tc>
          <w:tcPr>
            <w:tcW w:type="dxa" w:w="3280"/>
            <w:tcBorders>
              <w:top w:val="single" w:color="D0D3D8" w:sz="1"/>
              <w:left w:val="single" w:color="D0D3D8" w:sz="1"/>
              <w:bottom w:val="single" w:color="D0D3D8" w:sz="1"/>
              <w:right w:val="single" w:color="D0D3D8" w:sz="1"/>
            </w:tcBorders>
            <w:shd w:fill="1A9E55"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filters</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Open CVEs (My Services)</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CVEs present in workloads tagged to this team, status=Open</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Tag: team={team-name} | Status: Open | Severity: Critical, High</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Critical Image Vulns</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Container images in registry with at least one Critical CVE present</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Asset type: Container image | Severity: Critical | Status: Unpatched</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Secrets Detected</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Secrets, API keys, or credentials exposed in workload file systems or env vars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Category: Secrets | Status: Open | Env: Prod, Staging</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Packages with CVEs</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Counter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Distinct OS and language packages with CVSS ≥7.0 CVEs confirmed via SideScanning</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Type: Package | CVSS: ≥7.0 | Status: Open</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Pipeline Risk Score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Scorecard</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Aggregate Orca risk score for assets deployed via CI/CD pipelines in last 30 days</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Source: CI/CD | Env: Prod | Time: Last 30d</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CVE Distribution</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Donut chart</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Open CVE count by severity tier (Critical / High / Medium / Low) for team assets</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Tag: team | Status: Open | Group: severity</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Top 10 Vulnerable Packages</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Ranked list</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Top 10 packages by CVE count: package name, version, CVE count, fix available</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Status: Open | Sort: CVE count desc | Limit: 10</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Secrets by Type</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Bar chart</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Secret findings grouped by type: AWS access keys, GitHub tokens, TLS certs, passwords</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Category: Secrets | Group: secret-type | Env: All</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Image Risk Heat Map</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Heat map</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Container images (rows) × container registry (cols), colored by max severity in image</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Asset: Container | Group: image × registry | Severity: All</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Findings by Repo/Service</w:t>
            </w:r>
          </w:p>
        </w:tc>
        <w:tc>
          <w:tcPr>
            <w:tcW w:type="dxa" w:w="14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Ranked bar</w:t>
            </w:r>
          </w:p>
        </w:tc>
        <w:tc>
          <w:tcPr>
            <w:tcW w:type="dxa" w:w="26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Open vulnerability count per repo or service tag, sorted by total open CVE count</w:t>
            </w:r>
          </w:p>
        </w:tc>
        <w:tc>
          <w:tcPr>
            <w:tcW w:type="dxa" w:w="32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Group: repo/service tag | Status: Open | Severity: High, Critical</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Developer Remediation Queue</w:t>
            </w:r>
          </w:p>
        </w:tc>
        <w:tc>
          <w:tcPr>
            <w:tcW w:type="dxa" w:w="14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iCs/>
                <w:color w:val="555555"/>
                <w:sz w:val="18"/>
                <w:szCs w:val="18"/>
              </w:rPr>
              <w:t xml:space="preserve">Sortable table</w:t>
            </w:r>
          </w:p>
        </w:tc>
        <w:tc>
          <w:tcPr>
            <w:tcW w:type="dxa" w:w="26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CVE ID, affected package, image or asset, linked repo, CVSS score, fix version available, Jira ticket</w:t>
            </w:r>
          </w:p>
        </w:tc>
        <w:tc>
          <w:tcPr>
            <w:tcW w:type="dxa" w:w="32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Tag: team | Status: Open | Sort: CVSS desc | Fix available: Any</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1A9E55"/>
          <w:sz w:val="24"/>
          <w:szCs w:val="24"/>
        </w:rPr>
        <w:t xml:space="preserve">Filter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3D8" w:sz="1"/>
              <w:left w:val="single" w:color="D0D3D8" w:sz="1"/>
              <w:bottom w:val="single" w:color="D0D3D8" w:sz="1"/>
              <w:right w:val="single" w:color="D0D3D8" w:sz="1"/>
            </w:tcBorders>
            <w:shd w:fill="1A9E55"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Filter</w:t>
            </w:r>
          </w:p>
        </w:tc>
        <w:tc>
          <w:tcPr>
            <w:tcW w:type="dxa" w:w="3000"/>
            <w:tcBorders>
              <w:top w:val="single" w:color="D0D3D8" w:sz="1"/>
              <w:left w:val="single" w:color="D0D3D8" w:sz="1"/>
              <w:bottom w:val="single" w:color="D0D3D8" w:sz="1"/>
              <w:right w:val="single" w:color="D0D3D8" w:sz="1"/>
            </w:tcBorders>
            <w:shd w:fill="1A9E55"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Default values</w:t>
            </w:r>
          </w:p>
        </w:tc>
        <w:tc>
          <w:tcPr>
            <w:tcW w:type="dxa" w:w="4160"/>
            <w:tcBorders>
              <w:top w:val="single" w:color="D0D3D8" w:sz="1"/>
              <w:left w:val="single" w:color="D0D3D8" w:sz="1"/>
              <w:bottom w:val="single" w:color="D0D3D8" w:sz="1"/>
              <w:right w:val="single" w:color="D0D3D8" w:sz="1"/>
            </w:tcBorders>
            <w:shd w:fill="1A9E55"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Purpose</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Team tag</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{team-name} (default per user login); 'All' for platform leads</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Developers see only their own services by default — reduces noise dramatically</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Environment</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Prod + Staging (default); Dev available via toggle</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Dev team cares about staging risk ahead of release; prod for retrospective</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Severity</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Critical + High (default); Medium for sprint backlog reviews</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Prevents alert fatigue — Medium visible but not default priority</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Asset type</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Container + VM (default); filter to Container-only for image work</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Container-focused engineers can narrow to image findings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Fix available</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Any (default); 'Fix available = Yes' for sprint planning</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Sprint planning: only include items where a fix version exists</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CVE CVSS score</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≥7.0 (default); raise to ≥9.0 for critical-only views</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Aligns developer effort to exploitable CVEs with known fix paths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Secrets category</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(default); filter to AWS keys, GitHub tokens for targeted cleanup</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Allows targeted secret rotation campaigns by secret type</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Repo / service</w:t>
            </w:r>
          </w:p>
        </w:tc>
        <w:tc>
          <w:tcPr>
            <w:tcW w:type="dxa" w:w="3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All team services (default); single repo for PR-level review</w:t>
            </w:r>
          </w:p>
        </w:tc>
        <w:tc>
          <w:tcPr>
            <w:tcW w:type="dxa" w:w="41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Used in PR review workflows to scope to the single repo being deployed</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CI/CD deployed</w:t>
            </w:r>
          </w:p>
        </w:tc>
        <w:tc>
          <w:tcPr>
            <w:tcW w:type="dxa" w:w="3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Off (default); enable to see only pipeline-deployed assets</w:t>
            </w:r>
          </w:p>
        </w:tc>
        <w:tc>
          <w:tcPr>
            <w:tcW w:type="dxa" w:w="41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DevOps engineers use this to review risk introduced by their pipeline</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1A9E55"/>
          <w:sz w:val="24"/>
          <w:szCs w:val="24"/>
        </w:rPr>
        <w:t xml:space="preserve">DevOps integration configuration</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GitHub / GitLab: connect Orca to repositories to enable image scanning in CI/CD — results surface in the Image Risk Heat Map</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CI/CD gates: configure Orca to fail builds on Critical CVEs in container images (configurable per pipeline stage in Orca settings)</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Developer Jira project 'DEV-SEC': auto-create tickets for Critical CVEs with fix-available=Yes, assigned to the repo owner tag</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Slack: post per-team CVE digest to #dev-security-{team} channels every Monday morning — link to filtered Orca dashboard</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Container registry: connect AWS ECR, Azure ACR, or GCR to Orca for continuous image scanning — no agent required</w:t>
      </w:r>
    </w:p>
    <w:p>
      <w:pPr>
        <w:pStyle w:val="ListParagraph"/>
        <w:numPr>
          <w:ilvl w:val="0"/>
          <w:numId w:val="2"/>
        </w:numPr>
        <w:spacing w:after="40" w:before="40"/>
      </w:pPr>
      <w:r>
        <w:rPr>
          <w:rFonts w:ascii="Arial" w:cs="Arial" w:eastAsia="Arial" w:hAnsi="Arial"/>
          <w:b w:val="false"/>
          <w:bCs w:val="false"/>
          <w:i w:val="false"/>
          <w:iCs w:val="false"/>
          <w:color w:val="4A4A4A"/>
          <w:sz w:val="20"/>
          <w:szCs w:val="20"/>
        </w:rPr>
        <w:t xml:space="preserve">Shift-left training: schedule a 1-hour workshop per dev team on reading Orca findings and using the developer remediation queue</w:t>
      </w:r>
    </w:p>
    <w:p>
      <w:r>
        <w:br w:type="page"/>
      </w:r>
    </w:p>
    <w:p>
      <w:pPr>
        <w:pBdr>
          <w:left w:val="single" w:color="4A4A4A" w:sz="20"/>
        </w:pBdr>
        <w:spacing w:after="100" w:before="280"/>
        <w:ind w:left="260"/>
      </w:pPr>
      <w:r>
        <w:rPr>
          <w:rFonts w:ascii="Arial" w:cs="Arial" w:eastAsia="Arial" w:hAnsi="Arial"/>
          <w:b/>
          <w:bCs/>
          <w:i w:val="false"/>
          <w:iCs w:val="false"/>
          <w:color w:val="4A4A4A"/>
          <w:sz w:val="30"/>
          <w:szCs w:val="30"/>
        </w:rPr>
        <w:t xml:space="preserve">Appendix — Quick reference</w:t>
      </w:r>
    </w:p>
    <w:p>
      <w:pPr>
        <w:spacing w:after="140" w:before="60"/>
      </w:pPr>
      <w:r>
        <w:rPr>
          <w:rFonts w:ascii="Arial" w:cs="Arial" w:eastAsia="Arial" w:hAnsi="Arial"/>
          <w:b w:val="false"/>
          <w:bCs w:val="false"/>
          <w:i/>
          <w:iCs/>
          <w:color w:val="666666"/>
          <w:sz w:val="21"/>
          <w:szCs w:val="21"/>
        </w:rPr>
        <w:t xml:space="preserve">Tag taxonomy, alert SLA policy, and RBAC role mapping</w:t>
      </w:r>
    </w:p>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4A4A4A"/>
          <w:sz w:val="24"/>
          <w:szCs w:val="24"/>
        </w:rPr>
        <w:t xml:space="preserve">Required tag taxonomy (all cloud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Tag key</w:t>
            </w:r>
          </w:p>
        </w:tc>
        <w:tc>
          <w:tcPr>
            <w:tcW w:type="dxa" w:w="220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Example values</w:t>
            </w:r>
          </w:p>
        </w:tc>
        <w:tc>
          <w:tcPr>
            <w:tcW w:type="dxa" w:w="496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Used by dashboards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env</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prod, staging, dev</w:t>
            </w:r>
          </w:p>
        </w:tc>
        <w:tc>
          <w:tcPr>
            <w:tcW w:type="dxa" w:w="49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 dashboards — primary scope filter</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team</w:t>
            </w:r>
          </w:p>
        </w:tc>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cloud-eng, soc, payments-dev, auth-dev</w:t>
            </w:r>
          </w:p>
        </w:tc>
        <w:tc>
          <w:tcPr>
            <w:tcW w:type="dxa" w:w="49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Dev, Cloud Eng — owner scoping</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service</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api-gateway, auth-service, data-lake</w:t>
            </w:r>
          </w:p>
        </w:tc>
        <w:tc>
          <w:tcPr>
            <w:tcW w:type="dxa" w:w="49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Dev/DevOps — findings by service</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data-class</w:t>
            </w:r>
          </w:p>
        </w:tc>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pii, pci, phi, internal, public</w:t>
            </w:r>
          </w:p>
        </w:tc>
        <w:tc>
          <w:tcPr>
            <w:tcW w:type="dxa" w:w="49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Security, Executive — data exposure widgets</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crown-jewel</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true / false</w:t>
            </w:r>
          </w:p>
        </w:tc>
        <w:tc>
          <w:tcPr>
            <w:tcW w:type="dxa" w:w="49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Security, Executive — crown jewel exposure widgets</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business-unit</w:t>
            </w:r>
          </w:p>
        </w:tc>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payments, identity, platform, data</w:t>
            </w:r>
          </w:p>
        </w:tc>
        <w:tc>
          <w:tcPr>
            <w:tcW w:type="dxa" w:w="49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Executive — BU compliance heatmap</w:t>
            </w:r>
          </w:p>
        </w:tc>
      </w:tr>
      <w:tr>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cost-center</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cc-1234, cc-5678</w:t>
            </w:r>
          </w:p>
        </w:tc>
        <w:tc>
          <w:tcPr>
            <w:tcW w:type="dxa" w:w="49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Cloud Eng — cost-risk correlation</w:t>
            </w:r>
          </w:p>
        </w:tc>
      </w:tr>
      <w:tr>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iac-managed</w:t>
            </w:r>
          </w:p>
        </w:tc>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terraform, cloudformation, pulumi</w:t>
            </w:r>
          </w:p>
        </w:tc>
        <w:tc>
          <w:tcPr>
            <w:tcW w:type="dxa" w:w="49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Cloud Eng — IaC drift tracking</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4A4A4A"/>
          <w:sz w:val="24"/>
          <w:szCs w:val="24"/>
        </w:rPr>
        <w:t xml:space="preserve">Alert SLA policy by severity and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rPr>
          <w:tblHeader/>
        </w:trPr>
        <w:tc>
          <w:tcPr>
            <w:tcW w:type="dxa" w:w="180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Severity</w:t>
            </w:r>
          </w:p>
        </w:tc>
        <w:tc>
          <w:tcPr>
            <w:tcW w:type="dxa" w:w="180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Executive</w:t>
            </w:r>
          </w:p>
        </w:tc>
        <w:tc>
          <w:tcPr>
            <w:tcW w:type="dxa" w:w="180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Security</w:t>
            </w:r>
          </w:p>
        </w:tc>
        <w:tc>
          <w:tcPr>
            <w:tcW w:type="dxa" w:w="198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SOC</w:t>
            </w:r>
          </w:p>
        </w:tc>
        <w:tc>
          <w:tcPr>
            <w:tcW w:type="dxa" w:w="198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Cloud Eng / Dev</w:t>
            </w:r>
          </w:p>
        </w:tc>
      </w:tr>
      <w:tr>
        <w:tc>
          <w:tcPr>
            <w:tcW w:type="dxa" w:w="1800"/>
            <w:tcBorders>
              <w:top w:val="single" w:color="D0D3D8" w:sz="1"/>
              <w:left w:val="single" w:color="D0D3D8" w:sz="1"/>
              <w:bottom w:val="single" w:color="D0D3D8" w:sz="1"/>
              <w:right w:val="single" w:color="D0D3D8" w:sz="1"/>
            </w:tcBorders>
            <w:shd w:fill="FCEAE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7A1B1B"/>
                <w:sz w:val="18"/>
                <w:szCs w:val="18"/>
              </w:rPr>
              <w:t xml:space="preserve">Critical</w:t>
            </w:r>
          </w:p>
        </w:tc>
        <w:tc>
          <w:tcPr>
            <w:tcW w:type="dxa" w:w="18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Notify within 2h</w:t>
            </w:r>
          </w:p>
        </w:tc>
        <w:tc>
          <w:tcPr>
            <w:tcW w:type="dxa" w:w="18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Remediate within 24h</w:t>
            </w:r>
          </w:p>
        </w:tc>
        <w:tc>
          <w:tcPr>
            <w:tcW w:type="dxa" w:w="19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Triage within 4h</w:t>
            </w:r>
          </w:p>
        </w:tc>
        <w:tc>
          <w:tcPr>
            <w:tcW w:type="dxa" w:w="19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Remediate within 48h</w:t>
            </w:r>
          </w:p>
        </w:tc>
      </w:tr>
      <w:tr>
        <w:tc>
          <w:tcPr>
            <w:tcW w:type="dxa" w:w="1800"/>
            <w:tcBorders>
              <w:top w:val="single" w:color="D0D3D8" w:sz="1"/>
              <w:left w:val="single" w:color="D0D3D8" w:sz="1"/>
              <w:bottom w:val="single" w:color="D0D3D8" w:sz="1"/>
              <w:right w:val="single" w:color="D0D3D8" w:sz="1"/>
            </w:tcBorders>
            <w:shd w:fill="FDF3DC"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7A4E07"/>
                <w:sz w:val="18"/>
                <w:szCs w:val="18"/>
              </w:rPr>
              <w:t xml:space="preserve">High</w:t>
            </w:r>
          </w:p>
        </w:tc>
        <w:tc>
          <w:tcPr>
            <w:tcW w:type="dxa" w:w="18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Weekly summary</w:t>
            </w:r>
          </w:p>
        </w:tc>
        <w:tc>
          <w:tcPr>
            <w:tcW w:type="dxa" w:w="18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Remediate within 7d</w:t>
            </w:r>
          </w:p>
        </w:tc>
        <w:tc>
          <w:tcPr>
            <w:tcW w:type="dxa" w:w="19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Triage within 24h</w:t>
            </w:r>
          </w:p>
        </w:tc>
        <w:tc>
          <w:tcPr>
            <w:tcW w:type="dxa" w:w="19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Remediate within 14d</w:t>
            </w:r>
          </w:p>
        </w:tc>
      </w:tr>
      <w:tr>
        <w:tc>
          <w:tcPr>
            <w:tcW w:type="dxa" w:w="18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Medium</w:t>
            </w:r>
          </w:p>
        </w:tc>
        <w:tc>
          <w:tcPr>
            <w:tcW w:type="dxa" w:w="18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Monthly summary</w:t>
            </w:r>
          </w:p>
        </w:tc>
        <w:tc>
          <w:tcPr>
            <w:tcW w:type="dxa" w:w="18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Remediate within 30d</w:t>
            </w:r>
          </w:p>
        </w:tc>
        <w:tc>
          <w:tcPr>
            <w:tcW w:type="dxa" w:w="19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Review weekly</w:t>
            </w:r>
          </w:p>
        </w:tc>
        <w:tc>
          <w:tcPr>
            <w:tcW w:type="dxa" w:w="198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Sprint-based (30d)</w:t>
            </w:r>
          </w:p>
        </w:tc>
      </w:tr>
      <w:tr>
        <w:tc>
          <w:tcPr>
            <w:tcW w:type="dxa" w:w="18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Low</w:t>
            </w:r>
          </w:p>
        </w:tc>
        <w:tc>
          <w:tcPr>
            <w:tcW w:type="dxa" w:w="18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Quarterly report</w:t>
            </w:r>
          </w:p>
        </w:tc>
        <w:tc>
          <w:tcPr>
            <w:tcW w:type="dxa" w:w="18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Track in backlog</w:t>
            </w:r>
          </w:p>
        </w:tc>
        <w:tc>
          <w:tcPr>
            <w:tcW w:type="dxa" w:w="19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Monthly review</w:t>
            </w:r>
          </w:p>
        </w:tc>
        <w:tc>
          <w:tcPr>
            <w:tcW w:type="dxa" w:w="198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Backlog (90d)</w:t>
            </w:r>
          </w:p>
        </w:tc>
      </w:tr>
    </w:tbl>
    <w:p>
      <w:pPr>
        <w:spacing w:after="80" w:before="0"/>
      </w:pPr>
      <w:r>
        <w:rPr>
          <w:rFonts w:ascii="Arial" w:cs="Arial" w:eastAsia="Arial" w:hAnsi="Arial"/>
          <w:b w:val="false"/>
          <w:bCs w:val="false"/>
          <w:i w:val="false"/>
          <w:iCs w:val="false"/>
          <w:color w:val="4A4A4A"/>
          <w:sz w:val="20"/>
          <w:szCs w:val="20"/>
        </w:rPr>
        <w:t xml:space="preserve"/>
      </w:r>
    </w:p>
    <w:p>
      <w:pPr>
        <w:spacing w:after="100" w:before="220"/>
      </w:pPr>
      <w:r>
        <w:rPr>
          <w:rFonts w:ascii="Arial" w:cs="Arial" w:eastAsia="Arial" w:hAnsi="Arial"/>
          <w:b/>
          <w:bCs/>
          <w:i w:val="false"/>
          <w:iCs w:val="false"/>
          <w:color w:val="4A4A4A"/>
          <w:sz w:val="24"/>
          <w:szCs w:val="24"/>
        </w:rPr>
        <w:t xml:space="preserve">RBAC role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Team</w:t>
            </w:r>
          </w:p>
        </w:tc>
        <w:tc>
          <w:tcPr>
            <w:tcW w:type="dxa" w:w="220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Orca role</w:t>
            </w:r>
          </w:p>
        </w:tc>
        <w:tc>
          <w:tcPr>
            <w:tcW w:type="dxa" w:w="256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Asset scope</w:t>
            </w:r>
          </w:p>
        </w:tc>
        <w:tc>
          <w:tcPr>
            <w:tcW w:type="dxa" w:w="2600"/>
            <w:tcBorders>
              <w:top w:val="single" w:color="D0D3D8" w:sz="1"/>
              <w:left w:val="single" w:color="D0D3D8" w:sz="1"/>
              <w:bottom w:val="single" w:color="D0D3D8" w:sz="1"/>
              <w:right w:val="single" w:color="D0D3D8" w:sz="1"/>
            </w:tcBorders>
            <w:shd w:fill="4A4A4A"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FFFFFF"/>
                <w:sz w:val="19"/>
                <w:szCs w:val="19"/>
              </w:rPr>
              <w:t xml:space="preserve">Permissions</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Executive</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Viewer</w:t>
            </w:r>
          </w:p>
        </w:tc>
        <w:tc>
          <w:tcPr>
            <w:tcW w:type="dxa" w:w="25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 production assets</w:t>
            </w:r>
          </w:p>
        </w:tc>
        <w:tc>
          <w:tcPr>
            <w:tcW w:type="dxa" w:w="26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Read-only; dashboard export enabled</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Security team</w:t>
            </w:r>
          </w:p>
        </w:tc>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Security Admin</w:t>
            </w:r>
          </w:p>
        </w:tc>
        <w:tc>
          <w:tcPr>
            <w:tcW w:type="dxa" w:w="25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 accounts, all environments</w:t>
            </w:r>
          </w:p>
        </w:tc>
        <w:tc>
          <w:tcPr>
            <w:tcW w:type="dxa" w:w="26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Full CSPM/CIEM/DSPM; policy management</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SOC</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Alert Responder</w:t>
            </w:r>
          </w:p>
        </w:tc>
        <w:tc>
          <w:tcPr>
            <w:tcW w:type="dxa" w:w="25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All production assets</w:t>
            </w:r>
          </w:p>
        </w:tc>
        <w:tc>
          <w:tcPr>
            <w:tcW w:type="dxa" w:w="26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Alert triage, acknowledge, assign; CDR view</w:t>
            </w:r>
          </w:p>
        </w:tc>
      </w:tr>
      <w:tr>
        <w:tc>
          <w:tcPr>
            <w:tcW w:type="dxa" w:w="20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Cloud Engineering</w:t>
            </w:r>
          </w:p>
        </w:tc>
        <w:tc>
          <w:tcPr>
            <w:tcW w:type="dxa" w:w="22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Cloud Viewer + Remediation</w:t>
            </w:r>
          </w:p>
        </w:tc>
        <w:tc>
          <w:tcPr>
            <w:tcW w:type="dxa" w:w="256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Own team asset group</w:t>
            </w:r>
          </w:p>
        </w:tc>
        <w:tc>
          <w:tcPr>
            <w:tcW w:type="dxa" w:w="2600"/>
            <w:tcBorders>
              <w:top w:val="single" w:color="D0D3D8" w:sz="1"/>
              <w:left w:val="single" w:color="D0D3D8" w:sz="1"/>
              <w:bottom w:val="single" w:color="D0D3D8" w:sz="1"/>
              <w:right w:val="single" w:color="D0D3D8" w:sz="1"/>
            </w:tcBorders>
            <w:shd w:fill="F4F5F6"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View findings; create/close tickets; no policy edit</w:t>
            </w:r>
          </w:p>
        </w:tc>
      </w:tr>
      <w:tr>
        <w:tc>
          <w:tcPr>
            <w:tcW w:type="dxa" w:w="20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bCs/>
                <w:i w:val="false"/>
                <w:iCs w:val="false"/>
                <w:color w:val="4A4A4A"/>
                <w:sz w:val="18"/>
                <w:szCs w:val="18"/>
              </w:rPr>
              <w:t xml:space="preserve">Dev / DevOps</w:t>
            </w:r>
          </w:p>
        </w:tc>
        <w:tc>
          <w:tcPr>
            <w:tcW w:type="dxa" w:w="22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555555"/>
                <w:sz w:val="18"/>
                <w:szCs w:val="18"/>
              </w:rPr>
              <w:t xml:space="preserve">Developer</w:t>
            </w:r>
          </w:p>
        </w:tc>
        <w:tc>
          <w:tcPr>
            <w:tcW w:type="dxa" w:w="256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Team-tagged services only</w:t>
            </w:r>
          </w:p>
        </w:tc>
        <w:tc>
          <w:tcPr>
            <w:tcW w:type="dxa" w:w="2600"/>
            <w:tcBorders>
              <w:top w:val="single" w:color="D0D3D8" w:sz="1"/>
              <w:left w:val="single" w:color="D0D3D8" w:sz="1"/>
              <w:bottom w:val="single" w:color="D0D3D8" w:sz="1"/>
              <w:right w:val="single" w:color="D0D3D8" w:sz="1"/>
            </w:tcBorders>
            <w:shd w:fill="FFFFFF" w:val="clear"/>
            <w:tcMar>
              <w:top w:type="dxa" w:w="90"/>
              <w:left w:type="dxa" w:w="130"/>
              <w:bottom w:type="dxa" w:w="90"/>
              <w:right w:type="dxa" w:w="130"/>
            </w:tcMar>
            <w:vAlign w:val="center"/>
          </w:tcPr>
          <w:p>
            <w:pPr>
              <w:spacing w:after="40" w:before="40"/>
              <w:jc w:val="left"/>
            </w:pPr>
            <w:r>
              <w:rPr>
                <w:rFonts w:ascii="Arial" w:cs="Arial" w:eastAsia="Arial" w:hAnsi="Arial"/>
                <w:b w:val="false"/>
                <w:bCs w:val="false"/>
                <w:i w:val="false"/>
                <w:iCs w:val="false"/>
                <w:color w:val="4A4A4A"/>
                <w:sz w:val="18"/>
                <w:szCs w:val="18"/>
              </w:rPr>
              <w:t xml:space="preserve">View findings for own services; no cross-team access</w:t>
            </w:r>
          </w:p>
        </w:tc>
      </w:tr>
    </w:tbl>
    <w:p>
      <w:pPr>
        <w:spacing w:after="160" w:before="0"/>
      </w:pPr>
      <w:r>
        <w:rPr>
          <w:rFonts w:ascii="Arial" w:cs="Arial" w:eastAsia="Arial" w:hAnsi="Arial"/>
          <w:b w:val="false"/>
          <w:bCs w:val="false"/>
          <w:i w:val="false"/>
          <w:iCs w:val="false"/>
          <w:color w:val="4A4A4A"/>
          <w:sz w:val="20"/>
          <w:szCs w:val="20"/>
        </w:rPr>
        <w:t xml:space="preserve"/>
      </w:r>
    </w:p>
    <w:p>
      <w:pPr>
        <w:pBdr>
          <w:bottom w:val="single" w:color="D0D3D8" w:sz="4"/>
        </w:pBdr>
        <w:spacing w:after="200" w:before="200"/>
      </w:pPr>
      <w:r>
        <w:rPr>
          <w:rFonts w:ascii="Arial" w:cs="Arial" w:eastAsia="Arial" w:hAnsi="Arial"/>
          <w:b w:val="false"/>
          <w:bCs w:val="false"/>
          <w:i w:val="false"/>
          <w:iCs w:val="false"/>
          <w:color w:val="4A4A4A"/>
          <w:sz w:val="20"/>
          <w:szCs w:val="20"/>
        </w:rPr>
        <w:t xml:space="preserve"/>
      </w:r>
    </w:p>
    <w:p>
      <w:pPr>
        <w:spacing w:after="0" w:before="80"/>
      </w:pPr>
      <w:r>
        <w:rPr>
          <w:rFonts w:ascii="Arial" w:cs="Arial" w:eastAsia="Arial" w:hAnsi="Arial"/>
          <w:b w:val="false"/>
          <w:bCs w:val="false"/>
          <w:i/>
          <w:iCs/>
          <w:color w:val="999999"/>
          <w:sz w:val="17"/>
          <w:szCs w:val="17"/>
        </w:rPr>
        <w:t xml:space="preserve">Orca Security Enterprise Dashboard Onboarding — v1.0 — May 2026 — Internal use only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20" w:hanging="260"/>
      </w:pPr>
    </w:lvl>
  </w:abstractNum>
  <w:abstractNum w:abstractNumId="3" w15:restartNumberingAfterBreak="0">
    <w:multiLevelType w:val="hybridMultilevel"/>
    <w:lvl w:ilvl="0" w15:tentative="1">
      <w:start w:val="1"/>
      <w:numFmt w:val="bullet"/>
      <w:lvlText w:val="–"/>
      <w:lvlJc w:val="left"/>
      <w:pPr>
        <w:spacing w:after="30" w:before="30"/>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11111"/>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2026-05-07T02:42:47.241Z</dcterms:created>
  <dcterms:modified xsi:type="dcterms:W3CDTF">2026-05-07T02:42:47.261Z</dcterms:modified>
</cp:coreProperties>
</file>

<file path=docProps/custom.xml><?xml version="1.0" encoding="utf-8"?>
<Properties xmlns="http://schemas.openxmlformats.org/officeDocument/2006/custom-properties" xmlns:vt="http://schemas.openxmlformats.org/officeDocument/2006/docPropsVTypes"/>
</file>