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p>
    <w:p>
      <w:pPr>
        <w:spacing w:after="0"/>
        <w:jc w:val="center"/>
      </w:pPr>
      <w:r>
        <w:rPr>
          <w:rFonts w:ascii="Arial" w:cs="Arial" w:eastAsia="Arial" w:hAnsi="Arial"/>
          <w:b/>
          <w:bCs/>
          <w:i w:val="false"/>
          <w:iCs w:val="false"/>
          <w:color w:val="1B3A5C"/>
          <w:sz w:val="52"/>
          <w:szCs w:val="52"/>
        </w:rPr>
        <w:t xml:space="preserve">ORCA SECURITY</w:t>
      </w:r>
    </w:p>
    <w:p>
      <w:pPr>
        <w:spacing w:after="0" w:before="120"/>
        <w:jc w:val="center"/>
      </w:pPr>
      <w:r>
        <w:rPr>
          <w:rFonts w:ascii="Arial" w:cs="Arial" w:eastAsia="Arial" w:hAnsi="Arial"/>
          <w:b w:val="false"/>
          <w:bCs w:val="false"/>
          <w:i w:val="false"/>
          <w:iCs w:val="false"/>
          <w:color w:val="2E75B6"/>
          <w:sz w:val="40"/>
          <w:szCs w:val="40"/>
        </w:rPr>
        <w:t xml:space="preserve">Vulnerability Remediation</w:t>
      </w:r>
    </w:p>
    <w:p>
      <w:pPr>
        <w:spacing w:after="0" w:before="60"/>
        <w:jc w:val="center"/>
      </w:pPr>
      <w:r>
        <w:rPr>
          <w:rFonts w:ascii="Arial" w:cs="Arial" w:eastAsia="Arial" w:hAnsi="Arial"/>
          <w:b w:val="false"/>
          <w:bCs w:val="false"/>
          <w:i w:val="false"/>
          <w:iCs w:val="false"/>
          <w:color w:val="2E75B6"/>
          <w:sz w:val="40"/>
          <w:szCs w:val="40"/>
        </w:rPr>
        <w:t xml:space="preserve">Procedure Plan</w:t>
      </w:r>
    </w:p>
    <w:p>
      <w:pPr>
        <w:spacing w:after="0" w:before="160"/>
      </w:pPr>
    </w:p>
    <w:p>
      <w:pPr>
        <w:pBdr>
          <w:top w:val="single" w:color="2E75B6" w:sz="6" w:space="8"/>
          <w:bottom w:val="single" w:color="2E75B6" w:sz="6" w:space="8"/>
        </w:pBdr>
        <w:spacing w:after="200" w:before="200"/>
        <w:jc w:val="center"/>
      </w:pPr>
      <w:r>
        <w:rPr>
          <w:rFonts w:ascii="Arial" w:cs="Arial" w:eastAsia="Arial" w:hAnsi="Arial"/>
          <w:b/>
          <w:bCs/>
          <w:i w:val="false"/>
          <w:iCs w:val="false"/>
          <w:color w:val="1B3A5C"/>
          <w:sz w:val="28"/>
          <w:szCs w:val="28"/>
        </w:rPr>
        <w:t xml:space="preserve">30-Day SLA — Critical &amp; High Vulnerabilities</w:t>
      </w:r>
    </w:p>
    <w:p>
      <w:pPr>
        <w:spacing w:after="0" w:before="320"/>
      </w:pPr>
    </w:p>
    <w:p>
      <w:pPr>
        <w:jc w:val="center"/>
      </w:pPr>
      <w:r>
        <w:rPr>
          <w:rFonts w:ascii="Arial" w:cs="Arial" w:eastAsia="Arial" w:hAnsi="Arial"/>
          <w:b w:val="false"/>
          <w:bCs w:val="false"/>
          <w:i/>
          <w:iCs/>
          <w:color w:val="666666"/>
          <w:sz w:val="20"/>
          <w:szCs w:val="20"/>
        </w:rPr>
        <w:t xml:space="preserve">Classification: Internal — Confidential</w:t>
      </w:r>
    </w:p>
    <w:p>
      <w:pPr>
        <w:spacing w:before="80"/>
        <w:jc w:val="center"/>
      </w:pPr>
      <w:r>
        <w:rPr>
          <w:rFonts w:ascii="Arial" w:cs="Arial" w:eastAsia="Arial" w:hAnsi="Arial"/>
          <w:b w:val="false"/>
          <w:bCs w:val="false"/>
          <w:i w:val="false"/>
          <w:iCs w:val="false"/>
          <w:color w:val="666666"/>
          <w:sz w:val="20"/>
          <w:szCs w:val="20"/>
        </w:rPr>
        <w:t xml:space="preserve">Version 1.0 — May 2026</w:t>
      </w:r>
    </w:p>
    <w:p>
      <w:pPr>
        <w:spacing w:before="80"/>
        <w:jc w:val="center"/>
      </w:pPr>
      <w:r>
        <w:rPr>
          <w:rFonts w:ascii="Arial" w:cs="Arial" w:eastAsia="Arial" w:hAnsi="Arial"/>
          <w:b w:val="false"/>
          <w:bCs w:val="false"/>
          <w:i w:val="false"/>
          <w:iCs w:val="false"/>
          <w:color w:val="666666"/>
          <w:sz w:val="20"/>
          <w:szCs w:val="20"/>
        </w:rPr>
        <w:t xml:space="preserve">Prepared by: Cloud Security Engineering</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i w:val="false"/>
          <w:iCs w:val="false"/>
          <w:color w:val="1B3A5C"/>
          <w:sz w:val="32"/>
          <w:szCs w:val="32"/>
        </w:rPr>
        <w:t xml:space="preserve">1. Purpose &amp; Scope</w:t>
      </w:r>
    </w:p>
    <w:p>
      <w:pPr>
        <w:spacing w:after="60" w:before="60"/>
        <w:jc w:val="left"/>
      </w:pPr>
      <w:r>
        <w:rPr>
          <w:rFonts w:ascii="Arial" w:cs="Arial" w:eastAsia="Arial" w:hAnsi="Arial"/>
          <w:b w:val="false"/>
          <w:bCs w:val="false"/>
          <w:i w:val="false"/>
          <w:iCs w:val="false"/>
          <w:color w:val="333333"/>
          <w:sz w:val="22"/>
          <w:szCs w:val="22"/>
        </w:rPr>
        <w:t xml:space="preserve">This document establishes the standard operating procedure for remediating Critical and High severity vulnerabilities detected by Orca Security across the organization’s cloud estate. It defines a uniform 30-calendar-day remediation SLA for both severity tiers, assigns accountability across teams, and establishes escalation paths for SLA breaches. Medium and Low severity findings are excluded from this SLA and are managed through the organization’s standard vulnerability backlog process.</w:t>
      </w:r>
    </w:p>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procedure applies to all cloud-hosted assets monitored by Orca Security, including but not limited to: compute instances (EC2, Azure VMs, GCP Compute), container workloads (ECS, EKS, AKS), serverless functions, managed databases, storage buckets, IAM configurations, and network resources. Only alerts classified as Critical or High by Orca’s composite risk score enter this SLA workflow.</w:t>
      </w:r>
    </w:p>
    <w:p>
      <w:pPr>
        <w:pStyle w:val="Heading1"/>
        <w:spacing w:after="120" w:before="360"/>
      </w:pPr>
      <w:r>
        <w:rPr>
          <w:rFonts w:ascii="Arial" w:cs="Arial" w:eastAsia="Arial" w:hAnsi="Arial"/>
          <w:b/>
          <w:bCs/>
          <w:i w:val="false"/>
          <w:iCs w:val="false"/>
          <w:color w:val="1B3A5C"/>
          <w:sz w:val="32"/>
          <w:szCs w:val="32"/>
        </w:rPr>
        <w:t xml:space="preserve">2. SLA Severity Tiers</w:t>
      </w:r>
    </w:p>
    <w:p>
      <w:pPr>
        <w:spacing w:after="60" w:before="60"/>
        <w:jc w:val="left"/>
      </w:pPr>
      <w:r>
        <w:rPr>
          <w:rFonts w:ascii="Arial" w:cs="Arial" w:eastAsia="Arial" w:hAnsi="Arial"/>
          <w:b w:val="false"/>
          <w:bCs w:val="false"/>
          <w:i w:val="false"/>
          <w:iCs w:val="false"/>
          <w:color w:val="333333"/>
          <w:sz w:val="22"/>
          <w:szCs w:val="22"/>
        </w:rPr>
        <w:t xml:space="preserve">This procedure governs two severity tiers: Critical and High. Classification is determined by Orca’s composite risk score, which factors in CVSS base score, exploit maturity (EPSS), network reachability, lateral-movement paths, and crown-jewel proximity. Both tiers share a uniform 30-calendar-day remediation SLA. The tiers are differentiated by acknowledgment windows, escalation urgency, and exception approval requirements. Medium and Low findings are tracked in the vulnerability backlog but do not fall under this SLA.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1600"/>
        <w:gridCol w:w="1600"/>
        <w:gridCol w:w="14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Criteria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Remediation SLA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Ack Window</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Indicator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CVSS 9.0–10.0 / Active exploit (CISA KEV or EPSS ≥ 0.7) / Internet-facing with crown-jewel blast radius / Confirmed lateral-movement path to sensitive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30 calendar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4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8"/>
                <w:szCs w:val="28"/>
              </w:rPr>
              <w:t xml:space="preserv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CVSS 7.0–8.9 / Known exploit exists (EPSS ≥ 0.4) / Reachable from untrusted network / Lateral-movement path to non-crown-jewel assets / Overprivileged identity on production workload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30 calendar days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24 hours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67E22"/>
                <w:sz w:val="28"/>
                <w:szCs w:val="28"/>
              </w:rPr>
              <w:t xml:space="preserve">●</w:t>
            </w:r>
          </w:p>
        </w:tc>
      </w:tr>
    </w:tbl>
    <w:p>
      <w:pPr>
        <w:spacing w:after="0" w:before="80"/>
      </w:pPr>
    </w:p>
    <w:p>
      <w:pPr>
        <w:spacing w:after="60" w:before="60"/>
        <w:jc w:val="left"/>
      </w:pPr>
      <w:r>
        <w:rPr>
          <w:rFonts w:ascii="Arial" w:cs="Arial" w:eastAsia="Arial" w:hAnsi="Arial"/>
          <w:b/>
          <w:bCs/>
          <w:i w:val="false"/>
          <w:iCs w:val="false"/>
          <w:color w:val="333333"/>
          <w:sz w:val="20"/>
          <w:szCs w:val="20"/>
        </w:rPr>
        <w:t xml:space="preserve">Note: </w:t>
      </w:r>
      <w:r>
        <w:rPr>
          <w:rFonts w:ascii="Arial" w:cs="Arial" w:eastAsia="Arial" w:hAnsi="Arial"/>
          <w:b w:val="false"/>
          <w:bCs w:val="false"/>
          <w:i w:val="false"/>
          <w:iCs w:val="false"/>
          <w:color w:val="333333"/>
          <w:sz w:val="20"/>
          <w:szCs w:val="20"/>
        </w:rPr>
        <w:t xml:space="preserve">Both Critical and High vulnerabilities share a uniform 30-calendar-day remediation SLA. The key differentiator is the acknowledgment window: Critical findings must be triaged within 4 hours; High findings within 24 hours. Critical findings also carry stricter escalation timelines and exception limits. Findings classified as Medium or Low by Orca are not governed by this SLA and are managed through the standard vulnerability backlog with quarterly review.</w:t>
      </w:r>
    </w:p>
    <w:p>
      <w:pPr>
        <w:pStyle w:val="Heading1"/>
        <w:spacing w:after="120" w:before="360"/>
      </w:pPr>
      <w:r>
        <w:rPr>
          <w:rFonts w:ascii="Arial" w:cs="Arial" w:eastAsia="Arial" w:hAnsi="Arial"/>
          <w:b/>
          <w:bCs/>
          <w:i w:val="false"/>
          <w:iCs w:val="false"/>
          <w:color w:val="1B3A5C"/>
          <w:sz w:val="32"/>
          <w:szCs w:val="32"/>
        </w:rPr>
        <w:t xml:space="preserve">3. Remediation Workflow</w:t>
      </w:r>
    </w:p>
    <w:p>
      <w:pPr>
        <w:spacing w:after="60" w:before="60"/>
        <w:jc w:val="left"/>
      </w:pPr>
      <w:r>
        <w:rPr>
          <w:rFonts w:ascii="Arial" w:cs="Arial" w:eastAsia="Arial" w:hAnsi="Arial"/>
          <w:b w:val="false"/>
          <w:bCs w:val="false"/>
          <w:i w:val="false"/>
          <w:iCs w:val="false"/>
          <w:color w:val="333333"/>
          <w:sz w:val="22"/>
          <w:szCs w:val="22"/>
        </w:rPr>
        <w:t xml:space="preserve">The end-to-end remediation lifecycle for Critical and High vulnerabilities consists of seven phases, from initial detection through closure or exception handling. Only findings with an Orca risk score ≥ 7.0 enter this workflow.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Phase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Detection &amp; Ingestion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Orca Security scans cloud assets (agentless) and publishes vulnerability alerts to the Orca dashboard. Alerts include CVSS score, attack path context, blast radius, and affected asset metadata.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Triage &amp; Severity Classification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The Security Operations team reviews each alert within the acknowledgment window (4 hours for Critical, 24 hours for High). Orca’s risk score (combining CVSS, reachability, crown-jewel proximity, and exploit maturity) is used to confirm the severity tier. Both tiers enter the 30-day remediation SLA. Alerts scoring below 7.0 are routed to the vulnerability backlog outside this SLA.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Assignment &amp; Ticket Creation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An auto-rule in Orca (or the SOC analyst) creates a Jira/ServiceNow ticket tagged with severity, affected asset, owner team, and SLA deadline. The ticket is routed to the responsible Cloud Engineering or DevOps team based on Orca’s asset “owner” tag.</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Remediation Execution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The assigned team applies the fix: patch, configuration change, image rebuild, IAM adjustment, or compensating control. All changes follow the organization’s change management process (RFC/CR for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Verification &amp; Rescan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After remediation, the team triggers an Orca rescan (or waits for the next scheduled scan cycle ≤ 24 hrs). The original alert must transition to “Resolved” or “Closed” status in Orca.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Closure &amp; Documentation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The Jira/ServiceNow ticket is closed with root-cause notes, remediation action taken, and time-to-remediate logged. Any lessons learned feed back into the tagging strategy and detection tuning.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If remediation cannot be completed within the 30-day SLA, the team must file a Risk Exception Request (RER) before the deadline. Critical exceptions require CISO/VP approval; High exceptions require Director approval. A compensating control must be active before the exception is granted.</w:t>
            </w:r>
          </w:p>
        </w:tc>
      </w:tr>
    </w:tbl>
    <w:p>
      <w:pPr>
        <w:pStyle w:val="Heading1"/>
        <w:spacing w:after="120" w:before="360"/>
      </w:pPr>
      <w:r>
        <w:rPr>
          <w:rFonts w:ascii="Arial" w:cs="Arial" w:eastAsia="Arial" w:hAnsi="Arial"/>
          <w:b/>
          <w:bCs/>
          <w:i w:val="false"/>
          <w:iCs w:val="false"/>
          <w:color w:val="1B3A5C"/>
          <w:sz w:val="32"/>
          <w:szCs w:val="32"/>
        </w:rPr>
        <w:t xml:space="preserve">4. Orca Platform Configuration</w:t>
      </w:r>
    </w:p>
    <w:p>
      <w:pPr>
        <w:spacing w:after="60" w:before="60"/>
        <w:jc w:val="left"/>
      </w:pPr>
      <w:r>
        <w:rPr>
          <w:rFonts w:ascii="Arial" w:cs="Arial" w:eastAsia="Arial" w:hAnsi="Arial"/>
          <w:b w:val="false"/>
          <w:bCs w:val="false"/>
          <w:i w:val="false"/>
          <w:iCs w:val="false"/>
          <w:color w:val="333333"/>
          <w:sz w:val="22"/>
          <w:szCs w:val="22"/>
        </w:rPr>
        <w:t xml:space="preserve">The following Orca Security platform configurations support the Critical and High vulnerability 30-day SLA framework and must be in place before the procedure is active.</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4.1 Alert Routing Rules</w:t>
      </w:r>
    </w:p>
    <w:p>
      <w:pPr>
        <w:pStyle w:val="ListParagraph"/>
        <w:numPr>
          <w:ilvl w:val="0"/>
          <w:numId w:val="2"/>
        </w:numPr>
      </w:pPr>
      <w:r>
        <w:rPr>
          <w:rFonts w:ascii="Arial" w:cs="Arial" w:eastAsia="Arial" w:hAnsi="Arial"/>
          <w:b w:val="false"/>
          <w:bCs w:val="false"/>
          <w:i w:val="false"/>
          <w:iCs w:val="false"/>
          <w:color w:val="333333"/>
          <w:sz w:val="20"/>
          <w:szCs w:val="20"/>
        </w:rPr>
        <w:t xml:space="preserve">Configure Orca auto-ticket rules to create Jira/ServiceNow tickets only for Critical and High alerts, pre-populated with severity, asset owner tag, affected resource ARN/ID, and SLA deadline date (detection date + 30 calendar days).</w:t>
      </w:r>
    </w:p>
    <w:p>
      <w:pPr>
        <w:pStyle w:val="ListParagraph"/>
        <w:numPr>
          <w:ilvl w:val="0"/>
          <w:numId w:val="2"/>
        </w:numPr>
      </w:pPr>
      <w:r>
        <w:rPr>
          <w:rFonts w:ascii="Arial" w:cs="Arial" w:eastAsia="Arial" w:hAnsi="Arial"/>
          <w:b w:val="false"/>
          <w:bCs w:val="false"/>
          <w:i w:val="false"/>
          <w:iCs w:val="false"/>
          <w:color w:val="333333"/>
          <w:sz w:val="20"/>
          <w:szCs w:val="20"/>
        </w:rPr>
        <w:t xml:space="preserve">Map Orca risk score ranges to the two SLA tiers: Score 9.0–10.0 → Critical, 7.0–8.9 → High. Both tiers share the 30-day remediation SLA. Scores below 7.0 are excluded from this SLA workflow.</w:t>
      </w:r>
    </w:p>
    <w:p>
      <w:pPr>
        <w:pStyle w:val="ListParagraph"/>
        <w:numPr>
          <w:ilvl w:val="0"/>
          <w:numId w:val="2"/>
        </w:numPr>
      </w:pPr>
      <w:r>
        <w:rPr>
          <w:rFonts w:ascii="Arial" w:cs="Arial" w:eastAsia="Arial" w:hAnsi="Arial"/>
          <w:b w:val="false"/>
          <w:bCs w:val="false"/>
          <w:i w:val="false"/>
          <w:iCs w:val="false"/>
          <w:color w:val="333333"/>
          <w:sz w:val="20"/>
          <w:szCs w:val="20"/>
        </w:rPr>
        <w:t xml:space="preserve">Enable deduplication rules to prevent multiple tickets for the same CVE on the same asset.</w:t>
      </w:r>
    </w:p>
    <w:p>
      <w:pPr>
        <w:pStyle w:val="ListParagraph"/>
        <w:numPr>
          <w:ilvl w:val="0"/>
          <w:numId w:val="2"/>
        </w:numPr>
      </w:pPr>
      <w:r>
        <w:rPr>
          <w:rFonts w:ascii="Arial" w:cs="Arial" w:eastAsia="Arial" w:hAnsi="Arial"/>
          <w:b w:val="false"/>
          <w:bCs w:val="false"/>
          <w:i w:val="false"/>
          <w:iCs w:val="false"/>
          <w:color w:val="333333"/>
          <w:sz w:val="20"/>
          <w:szCs w:val="20"/>
        </w:rPr>
        <w:t xml:space="preserve">Configure auto-close rules: if Orca’s next scan confirms remediation, auto-transition the ticket to “Resolved.”</w:t>
      </w:r>
    </w:p>
    <w:p>
      <w:pPr>
        <w:pStyle w:val="Heading2"/>
        <w:spacing w:after="120" w:before="240"/>
      </w:pPr>
      <w:r>
        <w:rPr>
          <w:rFonts w:ascii="Arial" w:cs="Arial" w:eastAsia="Arial" w:hAnsi="Arial"/>
          <w:b/>
          <w:bCs/>
          <w:i w:val="false"/>
          <w:iCs w:val="false"/>
          <w:color w:val="1B3A5C"/>
          <w:sz w:val="28"/>
          <w:szCs w:val="28"/>
        </w:rPr>
        <w:t xml:space="preserve">4.2 Tagging Prerequisites</w:t>
      </w:r>
    </w:p>
    <w:p>
      <w:pPr>
        <w:pStyle w:val="ListParagraph"/>
        <w:numPr>
          <w:ilvl w:val="0"/>
          <w:numId w:val="2"/>
        </w:numPr>
      </w:pPr>
      <w:r>
        <w:rPr>
          <w:rFonts w:ascii="Arial" w:cs="Arial" w:eastAsia="Arial" w:hAnsi="Arial"/>
          <w:b w:val="false"/>
          <w:bCs w:val="false"/>
          <w:i w:val="false"/>
          <w:iCs w:val="false"/>
          <w:color w:val="333333"/>
          <w:sz w:val="20"/>
          <w:szCs w:val="20"/>
        </w:rPr>
        <w:t xml:space="preserve">All cloud assets must carry the following tags at minimum: owner (team), environment (prod/staging/dev), data-classification (public/internal/confidential/restricted), crown-jewel (true/false).</w:t>
      </w:r>
    </w:p>
    <w:p>
      <w:pPr>
        <w:pStyle w:val="ListParagraph"/>
        <w:numPr>
          <w:ilvl w:val="0"/>
          <w:numId w:val="2"/>
        </w:numPr>
      </w:pPr>
      <w:r>
        <w:rPr>
          <w:rFonts w:ascii="Arial" w:cs="Arial" w:eastAsia="Arial" w:hAnsi="Arial"/>
          <w:b w:val="false"/>
          <w:bCs w:val="false"/>
          <w:i w:val="false"/>
          <w:iCs w:val="false"/>
          <w:color w:val="333333"/>
          <w:sz w:val="20"/>
          <w:szCs w:val="20"/>
        </w:rPr>
        <w:t xml:space="preserve">Orca’s asset inventory must be configured to ingest these tags for accurate routing and blast-radius scoring.</w:t>
      </w:r>
    </w:p>
    <w:p>
      <w:pPr>
        <w:pStyle w:val="ListParagraph"/>
        <w:numPr>
          <w:ilvl w:val="0"/>
          <w:numId w:val="2"/>
        </w:numPr>
      </w:pPr>
      <w:r>
        <w:rPr>
          <w:rFonts w:ascii="Arial" w:cs="Arial" w:eastAsia="Arial" w:hAnsi="Arial"/>
          <w:b w:val="false"/>
          <w:bCs w:val="false"/>
          <w:i w:val="false"/>
          <w:iCs w:val="false"/>
          <w:color w:val="333333"/>
          <w:sz w:val="20"/>
          <w:szCs w:val="20"/>
        </w:rPr>
        <w:t xml:space="preserve">Untagged assets with a risk score ≥ 7.0 default to High severity (30-day SLA) and route to the Cloud Engineering team for triage. Untagged assets below 7.0 enter the backlog.</w:t>
      </w:r>
    </w:p>
    <w:p>
      <w:pPr>
        <w:pStyle w:val="Heading2"/>
        <w:spacing w:after="120" w:before="240"/>
      </w:pPr>
      <w:r>
        <w:rPr>
          <w:rFonts w:ascii="Arial" w:cs="Arial" w:eastAsia="Arial" w:hAnsi="Arial"/>
          <w:b/>
          <w:bCs/>
          <w:i w:val="false"/>
          <w:iCs w:val="false"/>
          <w:color w:val="1B3A5C"/>
          <w:sz w:val="28"/>
          <w:szCs w:val="28"/>
        </w:rPr>
        <w:t xml:space="preserve">4.3 Scan Cadence</w:t>
      </w:r>
    </w:p>
    <w:p>
      <w:pPr>
        <w:pStyle w:val="ListParagraph"/>
        <w:numPr>
          <w:ilvl w:val="0"/>
          <w:numId w:val="2"/>
        </w:numPr>
      </w:pPr>
      <w:r>
        <w:rPr>
          <w:rFonts w:ascii="Arial" w:cs="Arial" w:eastAsia="Arial" w:hAnsi="Arial"/>
          <w:b w:val="false"/>
          <w:bCs w:val="false"/>
          <w:i w:val="false"/>
          <w:iCs w:val="false"/>
          <w:color w:val="333333"/>
          <w:sz w:val="20"/>
          <w:szCs w:val="20"/>
        </w:rPr>
        <w:t xml:space="preserve">Full asset scan: every 24 hours (Orca default agentless SideScanning).</w:t>
      </w:r>
    </w:p>
    <w:p>
      <w:pPr>
        <w:pStyle w:val="ListParagraph"/>
        <w:numPr>
          <w:ilvl w:val="0"/>
          <w:numId w:val="2"/>
        </w:numPr>
      </w:pPr>
      <w:r>
        <w:rPr>
          <w:rFonts w:ascii="Arial" w:cs="Arial" w:eastAsia="Arial" w:hAnsi="Arial"/>
          <w:b w:val="false"/>
          <w:bCs w:val="false"/>
          <w:i w:val="false"/>
          <w:iCs w:val="false"/>
          <w:color w:val="333333"/>
          <w:sz w:val="20"/>
          <w:szCs w:val="20"/>
        </w:rPr>
        <w:t xml:space="preserve">On-demand rescan: available via Orca API or dashboard for post-remediation verification.</w:t>
      </w:r>
    </w:p>
    <w:p>
      <w:pPr>
        <w:pStyle w:val="ListParagraph"/>
        <w:numPr>
          <w:ilvl w:val="0"/>
          <w:numId w:val="2"/>
        </w:numPr>
      </w:pPr>
      <w:r>
        <w:rPr>
          <w:rFonts w:ascii="Arial" w:cs="Arial" w:eastAsia="Arial" w:hAnsi="Arial"/>
          <w:b w:val="false"/>
          <w:bCs w:val="false"/>
          <w:i w:val="false"/>
          <w:iCs w:val="false"/>
          <w:color w:val="333333"/>
          <w:sz w:val="20"/>
          <w:szCs w:val="20"/>
        </w:rPr>
        <w:t xml:space="preserve">Container image scan: triggered on ECR/ACR push events via Orca shift-left integration.</w:t>
      </w:r>
    </w:p>
    <w:p>
      <w:pPr>
        <w:pStyle w:val="Heading2"/>
        <w:spacing w:after="120" w:before="240"/>
      </w:pPr>
      <w:r>
        <w:rPr>
          <w:rFonts w:ascii="Arial" w:cs="Arial" w:eastAsia="Arial" w:hAnsi="Arial"/>
          <w:b/>
          <w:bCs/>
          <w:i w:val="false"/>
          <w:iCs w:val="false"/>
          <w:color w:val="1B3A5C"/>
          <w:sz w:val="28"/>
          <w:szCs w:val="28"/>
        </w:rPr>
        <w:t xml:space="preserve">4.4 Integration Requirements</w:t>
      </w:r>
    </w:p>
    <w:p>
      <w:pPr>
        <w:pStyle w:val="ListParagraph"/>
        <w:numPr>
          <w:ilvl w:val="0"/>
          <w:numId w:val="2"/>
        </w:numPr>
      </w:pPr>
      <w:r>
        <w:rPr>
          <w:rFonts w:ascii="Arial" w:cs="Arial" w:eastAsia="Arial" w:hAnsi="Arial"/>
          <w:b w:val="false"/>
          <w:bCs w:val="false"/>
          <w:i w:val="false"/>
          <w:iCs w:val="false"/>
          <w:color w:val="333333"/>
          <w:sz w:val="20"/>
          <w:szCs w:val="20"/>
        </w:rPr>
        <w:t xml:space="preserve">Jira or ServiceNow: bidirectional sync for ticket status (Orca ↔ ITSM).</w:t>
      </w:r>
    </w:p>
    <w:p>
      <w:pPr>
        <w:pStyle w:val="ListParagraph"/>
        <w:numPr>
          <w:ilvl w:val="0"/>
          <w:numId w:val="2"/>
        </w:numPr>
      </w:pPr>
      <w:r>
        <w:rPr>
          <w:rFonts w:ascii="Arial" w:cs="Arial" w:eastAsia="Arial" w:hAnsi="Arial"/>
          <w:b w:val="false"/>
          <w:bCs w:val="false"/>
          <w:i w:val="false"/>
          <w:iCs w:val="false"/>
          <w:color w:val="333333"/>
          <w:sz w:val="20"/>
          <w:szCs w:val="20"/>
        </w:rPr>
        <w:t xml:space="preserve">Slack/Teams: alert notifications to #security-vulns and team-specific channels.</w:t>
      </w:r>
    </w:p>
    <w:p>
      <w:pPr>
        <w:pStyle w:val="ListParagraph"/>
        <w:numPr>
          <w:ilvl w:val="0"/>
          <w:numId w:val="2"/>
        </w:numPr>
      </w:pPr>
      <w:r>
        <w:rPr>
          <w:rFonts w:ascii="Arial" w:cs="Arial" w:eastAsia="Arial" w:hAnsi="Arial"/>
          <w:b w:val="false"/>
          <w:bCs w:val="false"/>
          <w:i w:val="false"/>
          <w:iCs w:val="false"/>
          <w:color w:val="333333"/>
          <w:sz w:val="20"/>
          <w:szCs w:val="20"/>
        </w:rPr>
        <w:t xml:space="preserve">PagerDuty/OpsGenie: Critical-severity alerts (risk score ≥ 9.0) page on-call SRE and Security immediately.</w:t>
      </w:r>
    </w:p>
    <w:p>
      <w:pPr>
        <w:pStyle w:val="ListParagraph"/>
        <w:numPr>
          <w:ilvl w:val="0"/>
          <w:numId w:val="2"/>
        </w:numPr>
      </w:pPr>
      <w:r>
        <w:rPr>
          <w:rFonts w:ascii="Arial" w:cs="Arial" w:eastAsia="Arial" w:hAnsi="Arial"/>
          <w:b w:val="false"/>
          <w:bCs w:val="false"/>
          <w:i w:val="false"/>
          <w:iCs w:val="false"/>
          <w:color w:val="333333"/>
          <w:sz w:val="20"/>
          <w:szCs w:val="20"/>
        </w:rPr>
        <w:t xml:space="preserve">SIEM (Splunk/Sentinel): forward Orca CDR events for correlation.</w:t>
      </w:r>
    </w:p>
    <w:p>
      <w:pPr>
        <w:pStyle w:val="Heading1"/>
        <w:spacing w:after="120" w:before="360"/>
      </w:pPr>
      <w:r>
        <w:rPr>
          <w:rFonts w:ascii="Arial" w:cs="Arial" w:eastAsia="Arial" w:hAnsi="Arial"/>
          <w:b/>
          <w:bCs/>
          <w:i w:val="false"/>
          <w:iCs w:val="false"/>
          <w:color w:val="1B3A5C"/>
          <w:sz w:val="32"/>
          <w:szCs w:val="32"/>
        </w:rPr>
        <w:t xml:space="preserve">5. RACI Matrix</w:t>
      </w:r>
    </w:p>
    <w:p>
      <w:pPr>
        <w:spacing w:after="60" w:before="60"/>
        <w:jc w:val="left"/>
      </w:pPr>
      <w:r>
        <w:rPr>
          <w:rFonts w:ascii="Arial" w:cs="Arial" w:eastAsia="Arial" w:hAnsi="Arial"/>
          <w:b w:val="false"/>
          <w:bCs w:val="false"/>
          <w:i w:val="false"/>
          <w:iCs w:val="false"/>
          <w:color w:val="333333"/>
          <w:sz w:val="22"/>
          <w:szCs w:val="22"/>
        </w:rPr>
        <w:t xml:space="preserve">The following RACI (Responsible, Accountable, Consulted, Informed) matrix defines ownership across the Critical and High vulnerability remediation lifecycle.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1560"/>
        <w:gridCol w:w="1500"/>
        <w:gridCol w:w="12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Activity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CISO / VP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Cloud Eng</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SecOps / SOC</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DevOps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GRC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Vulnerability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Triage &amp; Classification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Ticket Creation &amp; Routing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Remediation Execution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Verification &amp; Rescan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SLA Reporting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r>
    </w:tbl>
    <w:p>
      <w:pPr>
        <w:spacing w:after="0" w:before="80"/>
      </w:pPr>
    </w:p>
    <w:p>
      <w:pPr>
        <w:spacing w:after="60" w:before="60"/>
        <w:jc w:val="left"/>
      </w:pPr>
      <w:r>
        <w:rPr>
          <w:rFonts w:ascii="Arial" w:cs="Arial" w:eastAsia="Arial" w:hAnsi="Arial"/>
          <w:b/>
          <w:bCs/>
          <w:i w:val="false"/>
          <w:iCs w:val="false"/>
          <w:color w:val="333333"/>
          <w:sz w:val="20"/>
          <w:szCs w:val="20"/>
        </w:rPr>
        <w:t xml:space="preserve">R</w:t>
      </w:r>
      <w:r>
        <w:rPr>
          <w:rFonts w:ascii="Arial" w:cs="Arial" w:eastAsia="Arial" w:hAnsi="Arial"/>
          <w:b w:val="false"/>
          <w:bCs w:val="false"/>
          <w:i w:val="false"/>
          <w:iCs w:val="false"/>
          <w:color w:val="333333"/>
          <w:sz w:val="20"/>
          <w:szCs w:val="20"/>
        </w:rPr>
        <w:t xml:space="preserve"> = Responsible  |  </w:t>
      </w:r>
      <w:r>
        <w:rPr>
          <w:rFonts w:ascii="Arial" w:cs="Arial" w:eastAsia="Arial" w:hAnsi="Arial"/>
          <w:b/>
          <w:bCs/>
          <w:i w:val="false"/>
          <w:iCs w:val="false"/>
          <w:color w:val="333333"/>
          <w:sz w:val="20"/>
          <w:szCs w:val="20"/>
        </w:rPr>
        <w:t xml:space="preserve">A</w:t>
      </w:r>
      <w:r>
        <w:rPr>
          <w:rFonts w:ascii="Arial" w:cs="Arial" w:eastAsia="Arial" w:hAnsi="Arial"/>
          <w:b w:val="false"/>
          <w:bCs w:val="false"/>
          <w:i w:val="false"/>
          <w:iCs w:val="false"/>
          <w:color w:val="333333"/>
          <w:sz w:val="20"/>
          <w:szCs w:val="20"/>
        </w:rPr>
        <w:t xml:space="preserve"> = Accountable  |  </w:t>
      </w:r>
      <w:r>
        <w:rPr>
          <w:rFonts w:ascii="Arial" w:cs="Arial" w:eastAsia="Arial" w:hAnsi="Arial"/>
          <w:b/>
          <w:bCs/>
          <w:i w:val="false"/>
          <w:iCs w:val="false"/>
          <w:color w:val="333333"/>
          <w:sz w:val="20"/>
          <w:szCs w:val="20"/>
        </w:rPr>
        <w:t xml:space="preserve">C</w:t>
      </w:r>
      <w:r>
        <w:rPr>
          <w:rFonts w:ascii="Arial" w:cs="Arial" w:eastAsia="Arial" w:hAnsi="Arial"/>
          <w:b w:val="false"/>
          <w:bCs w:val="false"/>
          <w:i w:val="false"/>
          <w:iCs w:val="false"/>
          <w:color w:val="333333"/>
          <w:sz w:val="20"/>
          <w:szCs w:val="20"/>
        </w:rPr>
        <w:t xml:space="preserve"> = Consulted  |  </w:t>
      </w:r>
      <w:r>
        <w:rPr>
          <w:rFonts w:ascii="Arial" w:cs="Arial" w:eastAsia="Arial" w:hAnsi="Arial"/>
          <w:b/>
          <w:bCs/>
          <w:i w:val="false"/>
          <w:iCs w:val="false"/>
          <w:color w:val="333333"/>
          <w:sz w:val="20"/>
          <w:szCs w:val="20"/>
        </w:rPr>
        <w:t xml:space="preserve">I</w:t>
      </w:r>
      <w:r>
        <w:rPr>
          <w:rFonts w:ascii="Arial" w:cs="Arial" w:eastAsia="Arial" w:hAnsi="Arial"/>
          <w:b w:val="false"/>
          <w:bCs w:val="false"/>
          <w:i w:val="false"/>
          <w:iCs w:val="false"/>
          <w:color w:val="333333"/>
          <w:sz w:val="20"/>
          <w:szCs w:val="20"/>
        </w:rPr>
        <w:t xml:space="preserve"> = Informed</w:t>
      </w:r>
    </w:p>
    <w:p>
      <w:pPr>
        <w:pStyle w:val="Heading1"/>
        <w:spacing w:after="120" w:before="360"/>
      </w:pPr>
      <w:r>
        <w:rPr>
          <w:rFonts w:ascii="Arial" w:cs="Arial" w:eastAsia="Arial" w:hAnsi="Arial"/>
          <w:b/>
          <w:bCs/>
          <w:i w:val="false"/>
          <w:iCs w:val="false"/>
          <w:color w:val="1B3A5C"/>
          <w:sz w:val="32"/>
          <w:szCs w:val="32"/>
        </w:rPr>
        <w:t xml:space="preserve">6. Escalation Matrix</w:t>
      </w:r>
    </w:p>
    <w:p>
      <w:pPr>
        <w:spacing w:after="60" w:before="60"/>
        <w:jc w:val="left"/>
      </w:pPr>
      <w:r>
        <w:rPr>
          <w:rFonts w:ascii="Arial" w:cs="Arial" w:eastAsia="Arial" w:hAnsi="Arial"/>
          <w:b w:val="false"/>
          <w:bCs w:val="false"/>
          <w:i w:val="false"/>
          <w:iCs w:val="false"/>
          <w:color w:val="333333"/>
          <w:sz w:val="22"/>
          <w:szCs w:val="22"/>
        </w:rPr>
        <w:t xml:space="preserve">Automated and manual escalation triggers ensure SLA compliance for Critical and High vulnerabilities. All escalation thresholds are calculated from the ticket creation timestamp against the shared 30-day SLA window. Critical vulnerabilities carry shorter acknowledgment deadlines and more aggressive escalation given their higher risk 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Trigger Condition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50% of SLA elapsed, no 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Auto-reminder to assignee + team lead via Slack/Teams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Orca automation / SOC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75% of SLA elapsed, still open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Escalation to Engineering Manager + Security Lead; daily standup tracking begins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SOC / Jira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SLA breach (100%)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Director-level escalation; incident logged in GRC tool; mandatory RER within 48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CISO / VP Engineering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Critical vuln, no ack in 4 hrs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War-room escalation; page on-call SRE + Security; bridge call initiated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SOC / PagerDuty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High vuln, no ack in 24 hrs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Escalation to team lead + Engineering Manager; reassignment if no response in 8 hrs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SOC / Jira automation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request submitted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VP review within 48 hours; compensating control must be active before approval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Risk Committee</w:t>
            </w:r>
          </w:p>
        </w:tc>
      </w:tr>
    </w:tbl>
    <w:p>
      <w:pPr>
        <w:pStyle w:val="Heading1"/>
        <w:spacing w:after="120" w:before="360"/>
      </w:pPr>
      <w:r>
        <w:rPr>
          <w:rFonts w:ascii="Arial" w:cs="Arial" w:eastAsia="Arial" w:hAnsi="Arial"/>
          <w:b/>
          <w:bCs/>
          <w:i w:val="false"/>
          <w:iCs w:val="false"/>
          <w:color w:val="1B3A5C"/>
          <w:sz w:val="32"/>
          <w:szCs w:val="32"/>
        </w:rPr>
        <w:t xml:space="preserve">7. Risk Exception Process</w:t>
      </w:r>
    </w:p>
    <w:p>
      <w:pPr>
        <w:spacing w:after="60" w:before="60"/>
        <w:jc w:val="left"/>
      </w:pPr>
      <w:r>
        <w:rPr>
          <w:rFonts w:ascii="Arial" w:cs="Arial" w:eastAsia="Arial" w:hAnsi="Arial"/>
          <w:b w:val="false"/>
          <w:bCs w:val="false"/>
          <w:i w:val="false"/>
          <w:iCs w:val="false"/>
          <w:color w:val="333333"/>
          <w:sz w:val="22"/>
          <w:szCs w:val="22"/>
        </w:rPr>
        <w:t xml:space="preserve">When a Critical or High vulnerability cannot be remediated within the 30-day SLA, a formal Risk Exception Request (RER) must be submitted before the SLA deadline expires. Exceptions are not SLA extensions — they represent an accepted, documented risk with an active compensating control.</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7.1 Exception Request Requirements</w:t>
      </w:r>
    </w:p>
    <w:p>
      <w:pPr>
        <w:pStyle w:val="ListParagraph"/>
        <w:numPr>
          <w:ilvl w:val="0"/>
          <w:numId w:val="3"/>
        </w:numPr>
      </w:pPr>
      <w:r>
        <w:rPr>
          <w:rFonts w:ascii="Arial" w:cs="Arial" w:eastAsia="Arial" w:hAnsi="Arial"/>
          <w:b w:val="false"/>
          <w:bCs w:val="false"/>
          <w:i w:val="false"/>
          <w:iCs w:val="false"/>
          <w:color w:val="333333"/>
          <w:sz w:val="20"/>
          <w:szCs w:val="20"/>
        </w:rPr>
        <w:t xml:space="preserve">Justification: technical reason remediation is not feasible within SLA (vendor dependency, legacy system, production freeze, etc.).</w:t>
      </w:r>
    </w:p>
    <w:p>
      <w:pPr>
        <w:pStyle w:val="ListParagraph"/>
        <w:numPr>
          <w:ilvl w:val="0"/>
          <w:numId w:val="3"/>
        </w:numPr>
      </w:pPr>
      <w:r>
        <w:rPr>
          <w:rFonts w:ascii="Arial" w:cs="Arial" w:eastAsia="Arial" w:hAnsi="Arial"/>
          <w:b w:val="false"/>
          <w:bCs w:val="false"/>
          <w:i w:val="false"/>
          <w:iCs w:val="false"/>
          <w:color w:val="333333"/>
          <w:sz w:val="20"/>
          <w:szCs w:val="20"/>
        </w:rPr>
        <w:t xml:space="preserve">Compensating Control: description of interim risk mitigation (WAF rule, network segmentation, access restriction, enhanced monitoring).</w:t>
      </w:r>
    </w:p>
    <w:p>
      <w:pPr>
        <w:pStyle w:val="ListParagraph"/>
        <w:numPr>
          <w:ilvl w:val="0"/>
          <w:numId w:val="3"/>
        </w:numPr>
      </w:pPr>
      <w:r>
        <w:rPr>
          <w:rFonts w:ascii="Arial" w:cs="Arial" w:eastAsia="Arial" w:hAnsi="Arial"/>
          <w:b w:val="false"/>
          <w:bCs w:val="false"/>
          <w:i w:val="false"/>
          <w:iCs w:val="false"/>
          <w:color w:val="333333"/>
          <w:sz w:val="20"/>
          <w:szCs w:val="20"/>
        </w:rPr>
        <w:t xml:space="preserve">Revised Remediation Date: must not exceed 60 calendar days from original detection date for either Critical or High exceptions.</w:t>
      </w:r>
    </w:p>
    <w:p>
      <w:pPr>
        <w:pStyle w:val="ListParagraph"/>
        <w:numPr>
          <w:ilvl w:val="0"/>
          <w:numId w:val="3"/>
        </w:numPr>
      </w:pPr>
      <w:r>
        <w:rPr>
          <w:rFonts w:ascii="Arial" w:cs="Arial" w:eastAsia="Arial" w:hAnsi="Arial"/>
          <w:b w:val="false"/>
          <w:bCs w:val="false"/>
          <w:i w:val="false"/>
          <w:iCs w:val="false"/>
          <w:color w:val="333333"/>
          <w:sz w:val="20"/>
          <w:szCs w:val="20"/>
        </w:rPr>
        <w:t xml:space="preserve">Blast Radius Assessment: Orca attack-path context showing residual risk with compensating control in place.</w:t>
      </w:r>
    </w:p>
    <w:p>
      <w:pPr>
        <w:pStyle w:val="ListParagraph"/>
        <w:numPr>
          <w:ilvl w:val="0"/>
          <w:numId w:val="3"/>
        </w:numPr>
      </w:pPr>
      <w:r>
        <w:rPr>
          <w:rFonts w:ascii="Arial" w:cs="Arial" w:eastAsia="Arial" w:hAnsi="Arial"/>
          <w:b w:val="false"/>
          <w:bCs w:val="false"/>
          <w:i w:val="false"/>
          <w:iCs w:val="false"/>
          <w:color w:val="333333"/>
          <w:sz w:val="20"/>
          <w:szCs w:val="20"/>
        </w:rPr>
        <w:t xml:space="preserve">Approval: CISO or VP-level approval required for Critical exceptions; Director-level or above for High exceptions.</w:t>
      </w:r>
    </w:p>
    <w:p>
      <w:pPr>
        <w:pStyle w:val="Heading2"/>
        <w:spacing w:after="120" w:before="240"/>
      </w:pPr>
      <w:r>
        <w:rPr>
          <w:rFonts w:ascii="Arial" w:cs="Arial" w:eastAsia="Arial" w:hAnsi="Arial"/>
          <w:b/>
          <w:bCs/>
          <w:i w:val="false"/>
          <w:iCs w:val="false"/>
          <w:color w:val="1B3A5C"/>
          <w:sz w:val="28"/>
          <w:szCs w:val="28"/>
        </w:rPr>
        <w:t xml:space="preserve">7.2 Exception Limits</w:t>
      </w:r>
    </w:p>
    <w:p>
      <w:pPr>
        <w:pStyle w:val="ListParagraph"/>
        <w:numPr>
          <w:ilvl w:val="0"/>
          <w:numId w:val="2"/>
        </w:numPr>
      </w:pPr>
      <w:r>
        <w:rPr>
          <w:rFonts w:ascii="Arial" w:cs="Arial" w:eastAsia="Arial" w:hAnsi="Arial"/>
          <w:b w:val="false"/>
          <w:bCs w:val="false"/>
          <w:i w:val="false"/>
          <w:iCs w:val="false"/>
          <w:color w:val="333333"/>
          <w:sz w:val="20"/>
          <w:szCs w:val="20"/>
        </w:rPr>
        <w:t xml:space="preserve">Critical-severity exceptions: maximum 1 renewal; total remediation must not exceed 60 calendar days from detection.</w:t>
      </w:r>
    </w:p>
    <w:p>
      <w:pPr>
        <w:pStyle w:val="ListParagraph"/>
        <w:numPr>
          <w:ilvl w:val="0"/>
          <w:numId w:val="2"/>
        </w:numPr>
      </w:pPr>
      <w:r>
        <w:rPr>
          <w:rFonts w:ascii="Arial" w:cs="Arial" w:eastAsia="Arial" w:hAnsi="Arial"/>
          <w:b w:val="false"/>
          <w:bCs w:val="false"/>
          <w:i w:val="false"/>
          <w:iCs w:val="false"/>
          <w:color w:val="333333"/>
          <w:sz w:val="20"/>
          <w:szCs w:val="20"/>
        </w:rPr>
        <w:t xml:space="preserve">High-severity exceptions: maximum 1 renewal; total remediation must not exceed 60 calendar days from detection.</w:t>
      </w:r>
    </w:p>
    <w:p>
      <w:pPr>
        <w:pStyle w:val="ListParagraph"/>
        <w:numPr>
          <w:ilvl w:val="0"/>
          <w:numId w:val="2"/>
        </w:numPr>
      </w:pPr>
      <w:r>
        <w:rPr>
          <w:rFonts w:ascii="Arial" w:cs="Arial" w:eastAsia="Arial" w:hAnsi="Arial"/>
          <w:b w:val="false"/>
          <w:bCs w:val="false"/>
          <w:i w:val="false"/>
          <w:iCs w:val="false"/>
          <w:color w:val="333333"/>
          <w:sz w:val="20"/>
          <w:szCs w:val="20"/>
        </w:rPr>
        <w:t xml:space="preserve">No exceptions permitted for vulnerabilities with confirmed active exploitation (CISA KEV catalog) or EPSS score ≥ 0.9.</w:t>
      </w:r>
    </w:p>
    <w:p>
      <w:pPr>
        <w:pStyle w:val="ListParagraph"/>
        <w:numPr>
          <w:ilvl w:val="0"/>
          <w:numId w:val="2"/>
        </w:numPr>
      </w:pPr>
      <w:r>
        <w:rPr>
          <w:rFonts w:ascii="Arial" w:cs="Arial" w:eastAsia="Arial" w:hAnsi="Arial"/>
          <w:b w:val="false"/>
          <w:bCs w:val="false"/>
          <w:i w:val="false"/>
          <w:iCs w:val="false"/>
          <w:color w:val="333333"/>
          <w:sz w:val="20"/>
          <w:szCs w:val="20"/>
        </w:rPr>
        <w:t xml:space="preserve">Total exception inventory may not exceed 5% of total open Critical + High vulnerability count at any point.</w:t>
      </w:r>
    </w:p>
    <w:p>
      <w:pPr>
        <w:pStyle w:val="Heading1"/>
        <w:spacing w:after="120" w:before="360"/>
      </w:pPr>
      <w:r>
        <w:rPr>
          <w:rFonts w:ascii="Arial" w:cs="Arial" w:eastAsia="Arial" w:hAnsi="Arial"/>
          <w:b/>
          <w:bCs/>
          <w:i w:val="false"/>
          <w:iCs w:val="false"/>
          <w:color w:val="1B3A5C"/>
          <w:sz w:val="32"/>
          <w:szCs w:val="32"/>
        </w:rPr>
        <w:t xml:space="preserve">8. Key Performance Indicators</w:t>
      </w:r>
    </w:p>
    <w:p>
      <w:pPr>
        <w:spacing w:after="60" w:before="60"/>
        <w:jc w:val="left"/>
      </w:pPr>
      <w:r>
        <w:rPr>
          <w:rFonts w:ascii="Arial" w:cs="Arial" w:eastAsia="Arial" w:hAnsi="Arial"/>
          <w:b w:val="false"/>
          <w:bCs w:val="false"/>
          <w:i w:val="false"/>
          <w:iCs w:val="false"/>
          <w:color w:val="333333"/>
          <w:sz w:val="22"/>
          <w:szCs w:val="22"/>
        </w:rPr>
        <w:t xml:space="preserve">The following KPIs are tracked weekly by the SOC and reported monthly to the CISO and executive leadership via the Orca Executive Dashboard. All metrics are scoped to Critical and High vulnerabilities under this SLA.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KPI</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Measurement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Mean Time to Remediate (MTTR)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By severity tier (Critical / 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30 calendar days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SLA Compliance Rate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Critical + High tickets closed within SLA</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Critical + High tickets requiring RER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5%</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Reopen Rate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tickets reopened after closure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Acknowledgment Compliance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Critical alerts ack’d ≤ 4 hrs; High ≤ 24 hrs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98%</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Aged Vulnerability Count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Open Critical + High vulns past SLA (rolling snapshot)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Trending to zero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Attack Path Reduction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Count of Orca attack paths with exploitable Critical/High CVEs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Quarter-over-quarter decrease</w:t>
            </w:r>
          </w:p>
        </w:tc>
      </w:tr>
    </w:tbl>
    <w:p>
      <w:pPr>
        <w:pStyle w:val="Heading1"/>
        <w:spacing w:after="120" w:before="360"/>
      </w:pPr>
      <w:r>
        <w:rPr>
          <w:rFonts w:ascii="Arial" w:cs="Arial" w:eastAsia="Arial" w:hAnsi="Arial"/>
          <w:b/>
          <w:bCs/>
          <w:i w:val="false"/>
          <w:iCs w:val="false"/>
          <w:color w:val="1B3A5C"/>
          <w:sz w:val="32"/>
          <w:szCs w:val="32"/>
        </w:rPr>
        <w:t xml:space="preserve">9. Remediation Playbooks by Finding Type</w:t>
      </w:r>
    </w:p>
    <w:p>
      <w:pPr>
        <w:spacing w:after="60" w:before="60"/>
        <w:jc w:val="left"/>
      </w:pPr>
      <w:r>
        <w:rPr>
          <w:rFonts w:ascii="Arial" w:cs="Arial" w:eastAsia="Arial" w:hAnsi="Arial"/>
          <w:b w:val="false"/>
          <w:bCs w:val="false"/>
          <w:i w:val="false"/>
          <w:iCs w:val="false"/>
          <w:color w:val="333333"/>
          <w:sz w:val="22"/>
          <w:szCs w:val="22"/>
        </w:rPr>
        <w:t xml:space="preserve">The following playbooks provide standardized remediation actions for the most common Orca finding categories. These apply to Critical and High findings under the SLA; the same playbooks may be referenced for lower-severity backlog items at the team’s discretion.</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9.1 OS / Package Vulnerabilities (CVE-based)</w:t>
      </w:r>
    </w:p>
    <w:p>
      <w:pPr>
        <w:pStyle w:val="ListParagraph"/>
        <w:numPr>
          <w:ilvl w:val="0"/>
          <w:numId w:val="2"/>
        </w:numPr>
      </w:pPr>
      <w:r>
        <w:rPr>
          <w:rFonts w:ascii="Arial" w:cs="Arial" w:eastAsia="Arial" w:hAnsi="Arial"/>
          <w:b w:val="false"/>
          <w:bCs w:val="false"/>
          <w:i w:val="false"/>
          <w:iCs w:val="false"/>
          <w:color w:val="333333"/>
          <w:sz w:val="20"/>
          <w:szCs w:val="20"/>
        </w:rPr>
        <w:t xml:space="preserve">Apply vendor-provided patch or upgrade package to the fixed version identified in the Orca alert.</w:t>
      </w:r>
    </w:p>
    <w:p>
      <w:pPr>
        <w:pStyle w:val="ListParagraph"/>
        <w:numPr>
          <w:ilvl w:val="0"/>
          <w:numId w:val="2"/>
        </w:numPr>
      </w:pPr>
      <w:r>
        <w:rPr>
          <w:rFonts w:ascii="Arial" w:cs="Arial" w:eastAsia="Arial" w:hAnsi="Arial"/>
          <w:b w:val="false"/>
          <w:bCs w:val="false"/>
          <w:i w:val="false"/>
          <w:iCs w:val="false"/>
          <w:color w:val="333333"/>
          <w:sz w:val="20"/>
          <w:szCs w:val="20"/>
        </w:rPr>
        <w:t xml:space="preserve">For immutable workloads (containers, AMIs): rebuild the image from an updated base, push to registry, and redeploy.</w:t>
      </w:r>
    </w:p>
    <w:p>
      <w:pPr>
        <w:pStyle w:val="ListParagraph"/>
        <w:numPr>
          <w:ilvl w:val="0"/>
          <w:numId w:val="2"/>
        </w:numPr>
      </w:pPr>
      <w:r>
        <w:rPr>
          <w:rFonts w:ascii="Arial" w:cs="Arial" w:eastAsia="Arial" w:hAnsi="Arial"/>
          <w:b w:val="false"/>
          <w:bCs w:val="false"/>
          <w:i w:val="false"/>
          <w:iCs w:val="false"/>
          <w:color w:val="333333"/>
          <w:sz w:val="20"/>
          <w:szCs w:val="20"/>
        </w:rPr>
        <w:t xml:space="preserve">If no patch exists: apply compensating control (network isolation, WAF virtual patch) and file RER.</w:t>
      </w:r>
    </w:p>
    <w:p>
      <w:pPr>
        <w:pStyle w:val="Heading2"/>
        <w:spacing w:after="120" w:before="240"/>
      </w:pPr>
      <w:r>
        <w:rPr>
          <w:rFonts w:ascii="Arial" w:cs="Arial" w:eastAsia="Arial" w:hAnsi="Arial"/>
          <w:b/>
          <w:bCs/>
          <w:i w:val="false"/>
          <w:iCs w:val="false"/>
          <w:color w:val="1B3A5C"/>
          <w:sz w:val="28"/>
          <w:szCs w:val="28"/>
        </w:rPr>
        <w:t xml:space="preserve">9.2 Container Image Vulnerabilities</w:t>
      </w:r>
    </w:p>
    <w:p>
      <w:pPr>
        <w:pStyle w:val="ListParagraph"/>
        <w:numPr>
          <w:ilvl w:val="0"/>
          <w:numId w:val="2"/>
        </w:numPr>
      </w:pPr>
      <w:r>
        <w:rPr>
          <w:rFonts w:ascii="Arial" w:cs="Arial" w:eastAsia="Arial" w:hAnsi="Arial"/>
          <w:b w:val="false"/>
          <w:bCs w:val="false"/>
          <w:i w:val="false"/>
          <w:iCs w:val="false"/>
          <w:color w:val="333333"/>
          <w:sz w:val="20"/>
          <w:szCs w:val="20"/>
        </w:rPr>
        <w:t xml:space="preserve">Update the base image to the latest patched version (e.g., alpine:3.19, ubuntu:24.04).</w:t>
      </w:r>
    </w:p>
    <w:p>
      <w:pPr>
        <w:pStyle w:val="ListParagraph"/>
        <w:numPr>
          <w:ilvl w:val="0"/>
          <w:numId w:val="2"/>
        </w:numPr>
      </w:pPr>
      <w:r>
        <w:rPr>
          <w:rFonts w:ascii="Arial" w:cs="Arial" w:eastAsia="Arial" w:hAnsi="Arial"/>
          <w:b w:val="false"/>
          <w:bCs w:val="false"/>
          <w:i w:val="false"/>
          <w:iCs w:val="false"/>
          <w:color w:val="333333"/>
          <w:sz w:val="20"/>
          <w:szCs w:val="20"/>
        </w:rPr>
        <w:t xml:space="preserve">Pin application dependencies to non-vulnerable versions in requirements.txt / package.json / go.mod.</w:t>
      </w:r>
    </w:p>
    <w:p>
      <w:pPr>
        <w:pStyle w:val="ListParagraph"/>
        <w:numPr>
          <w:ilvl w:val="0"/>
          <w:numId w:val="2"/>
        </w:numPr>
      </w:pPr>
      <w:r>
        <w:rPr>
          <w:rFonts w:ascii="Arial" w:cs="Arial" w:eastAsia="Arial" w:hAnsi="Arial"/>
          <w:b w:val="false"/>
          <w:bCs w:val="false"/>
          <w:i w:val="false"/>
          <w:iCs w:val="false"/>
          <w:color w:val="333333"/>
          <w:sz w:val="20"/>
          <w:szCs w:val="20"/>
        </w:rPr>
        <w:t xml:space="preserve">Enable Orca shift-left scanning in CI/CD to gate deployments with CRITICAL/HIGH CVEs.</w:t>
      </w:r>
    </w:p>
    <w:p>
      <w:pPr>
        <w:pStyle w:val="Heading2"/>
        <w:spacing w:after="120" w:before="240"/>
      </w:pPr>
      <w:r>
        <w:rPr>
          <w:rFonts w:ascii="Arial" w:cs="Arial" w:eastAsia="Arial" w:hAnsi="Arial"/>
          <w:b/>
          <w:bCs/>
          <w:i w:val="false"/>
          <w:iCs w:val="false"/>
          <w:color w:val="1B3A5C"/>
          <w:sz w:val="28"/>
          <w:szCs w:val="28"/>
        </w:rPr>
        <w:t xml:space="preserve">9.3 Cloud Misconfigurations</w:t>
      </w:r>
    </w:p>
    <w:p>
      <w:pPr>
        <w:pStyle w:val="ListParagraph"/>
        <w:numPr>
          <w:ilvl w:val="0"/>
          <w:numId w:val="2"/>
        </w:numPr>
      </w:pPr>
      <w:r>
        <w:rPr>
          <w:rFonts w:ascii="Arial" w:cs="Arial" w:eastAsia="Arial" w:hAnsi="Arial"/>
          <w:b w:val="false"/>
          <w:bCs w:val="false"/>
          <w:i w:val="false"/>
          <w:iCs w:val="false"/>
          <w:color w:val="333333"/>
          <w:sz w:val="20"/>
          <w:szCs w:val="20"/>
        </w:rPr>
        <w:t xml:space="preserve">Apply the Orca-recommended configuration change (e.g., enable encryption at rest, restrict security group ingress, enable logging).</w:t>
      </w:r>
    </w:p>
    <w:p>
      <w:pPr>
        <w:pStyle w:val="ListParagraph"/>
        <w:numPr>
          <w:ilvl w:val="0"/>
          <w:numId w:val="2"/>
        </w:numPr>
      </w:pPr>
      <w:r>
        <w:rPr>
          <w:rFonts w:ascii="Arial" w:cs="Arial" w:eastAsia="Arial" w:hAnsi="Arial"/>
          <w:b w:val="false"/>
          <w:bCs w:val="false"/>
          <w:i w:val="false"/>
          <w:iCs w:val="false"/>
          <w:color w:val="333333"/>
          <w:sz w:val="20"/>
          <w:szCs w:val="20"/>
        </w:rPr>
        <w:t xml:space="preserve">Update IaC templates (Terraform/CloudFormation) to prevent drift and recurrence.</w:t>
      </w:r>
    </w:p>
    <w:p>
      <w:pPr>
        <w:pStyle w:val="ListParagraph"/>
        <w:numPr>
          <w:ilvl w:val="0"/>
          <w:numId w:val="2"/>
        </w:numPr>
      </w:pPr>
      <w:r>
        <w:rPr>
          <w:rFonts w:ascii="Arial" w:cs="Arial" w:eastAsia="Arial" w:hAnsi="Arial"/>
          <w:b w:val="false"/>
          <w:bCs w:val="false"/>
          <w:i w:val="false"/>
          <w:iCs w:val="false"/>
          <w:color w:val="333333"/>
          <w:sz w:val="20"/>
          <w:szCs w:val="20"/>
        </w:rPr>
        <w:t xml:space="preserve">For CIS benchmark failures: reference the specific CIS control ID in the remediation ticket.</w:t>
      </w:r>
    </w:p>
    <w:p>
      <w:pPr>
        <w:pStyle w:val="Heading2"/>
        <w:spacing w:after="120" w:before="240"/>
      </w:pPr>
      <w:r>
        <w:rPr>
          <w:rFonts w:ascii="Arial" w:cs="Arial" w:eastAsia="Arial" w:hAnsi="Arial"/>
          <w:b/>
          <w:bCs/>
          <w:i w:val="false"/>
          <w:iCs w:val="false"/>
          <w:color w:val="1B3A5C"/>
          <w:sz w:val="28"/>
          <w:szCs w:val="28"/>
        </w:rPr>
        <w:t xml:space="preserve">9.4 IAM &amp; Identity Risks</w:t>
      </w:r>
    </w:p>
    <w:p>
      <w:pPr>
        <w:pStyle w:val="ListParagraph"/>
        <w:numPr>
          <w:ilvl w:val="0"/>
          <w:numId w:val="2"/>
        </w:numPr>
      </w:pPr>
      <w:r>
        <w:rPr>
          <w:rFonts w:ascii="Arial" w:cs="Arial" w:eastAsia="Arial" w:hAnsi="Arial"/>
          <w:b w:val="false"/>
          <w:bCs w:val="false"/>
          <w:i w:val="false"/>
          <w:iCs w:val="false"/>
          <w:color w:val="333333"/>
          <w:sz w:val="20"/>
          <w:szCs w:val="20"/>
        </w:rPr>
        <w:t xml:space="preserve">Overprivileged roles: scope IAM policies to least privilege using Orca’s unused-permission analysis.</w:t>
      </w:r>
    </w:p>
    <w:p>
      <w:pPr>
        <w:pStyle w:val="ListParagraph"/>
        <w:numPr>
          <w:ilvl w:val="0"/>
          <w:numId w:val="2"/>
        </w:numPr>
      </w:pPr>
      <w:r>
        <w:rPr>
          <w:rFonts w:ascii="Arial" w:cs="Arial" w:eastAsia="Arial" w:hAnsi="Arial"/>
          <w:b w:val="false"/>
          <w:bCs w:val="false"/>
          <w:i w:val="false"/>
          <w:iCs w:val="false"/>
          <w:color w:val="333333"/>
          <w:sz w:val="20"/>
          <w:szCs w:val="20"/>
        </w:rPr>
        <w:t xml:space="preserve">Stale credentials: rotate or deactivate access keys older than 90 days; enforce MFA on all human identities.</w:t>
      </w:r>
    </w:p>
    <w:p>
      <w:pPr>
        <w:pStyle w:val="ListParagraph"/>
        <w:numPr>
          <w:ilvl w:val="0"/>
          <w:numId w:val="2"/>
        </w:numPr>
      </w:pPr>
      <w:r>
        <w:rPr>
          <w:rFonts w:ascii="Arial" w:cs="Arial" w:eastAsia="Arial" w:hAnsi="Arial"/>
          <w:b w:val="false"/>
          <w:bCs w:val="false"/>
          <w:i w:val="false"/>
          <w:iCs w:val="false"/>
          <w:color w:val="333333"/>
          <w:sz w:val="20"/>
          <w:szCs w:val="20"/>
        </w:rPr>
        <w:t xml:space="preserve">Cross-account trust: review and restrict AssumeRole trust policies flagged by Orca CIEM module.</w:t>
      </w:r>
    </w:p>
    <w:p>
      <w:pPr>
        <w:pStyle w:val="Heading2"/>
        <w:spacing w:after="120" w:before="240"/>
      </w:pPr>
      <w:r>
        <w:rPr>
          <w:rFonts w:ascii="Arial" w:cs="Arial" w:eastAsia="Arial" w:hAnsi="Arial"/>
          <w:b/>
          <w:bCs/>
          <w:i w:val="false"/>
          <w:iCs w:val="false"/>
          <w:color w:val="1B3A5C"/>
          <w:sz w:val="28"/>
          <w:szCs w:val="28"/>
        </w:rPr>
        <w:t xml:space="preserve">9.5 Exposed Secrets &amp; Sensitive Data</w:t>
      </w:r>
    </w:p>
    <w:p>
      <w:pPr>
        <w:pStyle w:val="ListParagraph"/>
        <w:numPr>
          <w:ilvl w:val="0"/>
          <w:numId w:val="2"/>
        </w:numPr>
      </w:pPr>
      <w:r>
        <w:rPr>
          <w:rFonts w:ascii="Arial" w:cs="Arial" w:eastAsia="Arial" w:hAnsi="Arial"/>
          <w:b w:val="false"/>
          <w:bCs w:val="false"/>
          <w:i w:val="false"/>
          <w:iCs w:val="false"/>
          <w:color w:val="333333"/>
          <w:sz w:val="20"/>
          <w:szCs w:val="20"/>
        </w:rPr>
        <w:t xml:space="preserve">Immediately rotate the exposed credential (API key, password, token, certificate).</w:t>
      </w:r>
    </w:p>
    <w:p>
      <w:pPr>
        <w:pStyle w:val="ListParagraph"/>
        <w:numPr>
          <w:ilvl w:val="0"/>
          <w:numId w:val="2"/>
        </w:numPr>
      </w:pPr>
      <w:r>
        <w:rPr>
          <w:rFonts w:ascii="Arial" w:cs="Arial" w:eastAsia="Arial" w:hAnsi="Arial"/>
          <w:b w:val="false"/>
          <w:bCs w:val="false"/>
          <w:i w:val="false"/>
          <w:iCs w:val="false"/>
          <w:color w:val="333333"/>
          <w:sz w:val="20"/>
          <w:szCs w:val="20"/>
        </w:rPr>
        <w:t xml:space="preserve">Migrate secrets to a vault solution (AWS Secrets Manager, HashiCorp Vault, Azure Key Vault).</w:t>
      </w:r>
    </w:p>
    <w:p>
      <w:pPr>
        <w:pStyle w:val="ListParagraph"/>
        <w:numPr>
          <w:ilvl w:val="0"/>
          <w:numId w:val="2"/>
        </w:numPr>
      </w:pPr>
      <w:r>
        <w:rPr>
          <w:rFonts w:ascii="Arial" w:cs="Arial" w:eastAsia="Arial" w:hAnsi="Arial"/>
          <w:b w:val="false"/>
          <w:bCs w:val="false"/>
          <w:i w:val="false"/>
          <w:iCs w:val="false"/>
          <w:color w:val="333333"/>
          <w:sz w:val="20"/>
          <w:szCs w:val="20"/>
        </w:rPr>
        <w:t xml:space="preserve">For sensitive data exposure (PII, PHI, PCI): engage the Data Privacy team and assess breach notification requirements.</w:t>
      </w:r>
    </w:p>
    <w:p>
      <w:pPr>
        <w:pStyle w:val="Heading2"/>
        <w:spacing w:after="120" w:before="240"/>
      </w:pPr>
      <w:r>
        <w:rPr>
          <w:rFonts w:ascii="Arial" w:cs="Arial" w:eastAsia="Arial" w:hAnsi="Arial"/>
          <w:b/>
          <w:bCs/>
          <w:i w:val="false"/>
          <w:iCs w:val="false"/>
          <w:color w:val="1B3A5C"/>
          <w:sz w:val="28"/>
          <w:szCs w:val="28"/>
        </w:rPr>
        <w:t xml:space="preserve">9.6 Lateral Movement &amp; Attack Paths</w:t>
      </w:r>
    </w:p>
    <w:p>
      <w:pPr>
        <w:pStyle w:val="ListParagraph"/>
        <w:numPr>
          <w:ilvl w:val="0"/>
          <w:numId w:val="2"/>
        </w:numPr>
      </w:pPr>
      <w:r>
        <w:rPr>
          <w:rFonts w:ascii="Arial" w:cs="Arial" w:eastAsia="Arial" w:hAnsi="Arial"/>
          <w:b w:val="false"/>
          <w:bCs w:val="false"/>
          <w:i w:val="false"/>
          <w:iCs w:val="false"/>
          <w:color w:val="333333"/>
          <w:sz w:val="20"/>
          <w:szCs w:val="20"/>
        </w:rPr>
        <w:t xml:space="preserve">Break the attack path at the most impactful node: patch the CVE, restrict the network path, or revoke the IAM permission.</w:t>
      </w:r>
    </w:p>
    <w:p>
      <w:pPr>
        <w:pStyle w:val="ListParagraph"/>
        <w:numPr>
          <w:ilvl w:val="0"/>
          <w:numId w:val="2"/>
        </w:numPr>
      </w:pPr>
      <w:r>
        <w:rPr>
          <w:rFonts w:ascii="Arial" w:cs="Arial" w:eastAsia="Arial" w:hAnsi="Arial"/>
          <w:b w:val="false"/>
          <w:bCs w:val="false"/>
          <w:i w:val="false"/>
          <w:iCs w:val="false"/>
          <w:color w:val="333333"/>
          <w:sz w:val="20"/>
          <w:szCs w:val="20"/>
        </w:rPr>
        <w:t xml:space="preserve">Prioritize attack paths that terminate at crown-jewel assets (databases, key management, CI/CD).</w:t>
      </w:r>
    </w:p>
    <w:p>
      <w:pPr>
        <w:pStyle w:val="ListParagraph"/>
        <w:numPr>
          <w:ilvl w:val="0"/>
          <w:numId w:val="2"/>
        </w:numPr>
      </w:pPr>
      <w:r>
        <w:rPr>
          <w:rFonts w:ascii="Arial" w:cs="Arial" w:eastAsia="Arial" w:hAnsi="Arial"/>
          <w:b w:val="false"/>
          <w:bCs w:val="false"/>
          <w:i w:val="false"/>
          <w:iCs w:val="false"/>
          <w:color w:val="333333"/>
          <w:sz w:val="20"/>
          <w:szCs w:val="20"/>
        </w:rPr>
        <w:t xml:space="preserve">Use Orca’s attack path visualization to validate the path is broken after remediation.</w:t>
      </w:r>
    </w:p>
    <w:p>
      <w:pPr>
        <w:pStyle w:val="Heading1"/>
        <w:spacing w:after="120" w:before="360"/>
      </w:pPr>
      <w:r>
        <w:rPr>
          <w:rFonts w:ascii="Arial" w:cs="Arial" w:eastAsia="Arial" w:hAnsi="Arial"/>
          <w:b/>
          <w:bCs/>
          <w:i w:val="false"/>
          <w:iCs w:val="false"/>
          <w:color w:val="1B3A5C"/>
          <w:sz w:val="32"/>
          <w:szCs w:val="32"/>
        </w:rPr>
        <w:t xml:space="preserve">10. Governance &amp; Review</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10.1 Reporting Cadence</w:t>
      </w:r>
    </w:p>
    <w:p>
      <w:pPr>
        <w:pStyle w:val="ListParagraph"/>
        <w:numPr>
          <w:ilvl w:val="0"/>
          <w:numId w:val="2"/>
        </w:numPr>
      </w:pPr>
      <w:r>
        <w:rPr>
          <w:rFonts w:ascii="Arial" w:cs="Arial" w:eastAsia="Arial" w:hAnsi="Arial"/>
          <w:b w:val="false"/>
          <w:bCs w:val="false"/>
          <w:i w:val="false"/>
          <w:iCs w:val="false"/>
          <w:color w:val="333333"/>
          <w:sz w:val="20"/>
          <w:szCs w:val="20"/>
        </w:rPr>
        <w:t xml:space="preserve">Weekly: SOC publishes SLA compliance dashboard to Security and Engineering leads.</w:t>
      </w:r>
    </w:p>
    <w:p>
      <w:pPr>
        <w:pStyle w:val="ListParagraph"/>
        <w:numPr>
          <w:ilvl w:val="0"/>
          <w:numId w:val="2"/>
        </w:numPr>
      </w:pPr>
      <w:r>
        <w:rPr>
          <w:rFonts w:ascii="Arial" w:cs="Arial" w:eastAsia="Arial" w:hAnsi="Arial"/>
          <w:b w:val="false"/>
          <w:bCs w:val="false"/>
          <w:i w:val="false"/>
          <w:iCs w:val="false"/>
          <w:color w:val="333333"/>
          <w:sz w:val="20"/>
          <w:szCs w:val="20"/>
        </w:rPr>
        <w:t xml:space="preserve">Monthly: CISO reviews MTTR trends, exception inventory, and aged-vulnerability backlog with VP Engineering.</w:t>
      </w:r>
    </w:p>
    <w:p>
      <w:pPr>
        <w:pStyle w:val="ListParagraph"/>
        <w:numPr>
          <w:ilvl w:val="0"/>
          <w:numId w:val="2"/>
        </w:numPr>
      </w:pPr>
      <w:r>
        <w:rPr>
          <w:rFonts w:ascii="Arial" w:cs="Arial" w:eastAsia="Arial" w:hAnsi="Arial"/>
          <w:b w:val="false"/>
          <w:bCs w:val="false"/>
          <w:i w:val="false"/>
          <w:iCs w:val="false"/>
          <w:color w:val="333333"/>
          <w:sz w:val="20"/>
          <w:szCs w:val="20"/>
        </w:rPr>
        <w:t xml:space="preserve">Quarterly: Full vulnerability management program review with executive leadership; SLA thresholds re-evaluated.</w:t>
      </w:r>
    </w:p>
    <w:p>
      <w:pPr>
        <w:pStyle w:val="Heading2"/>
        <w:spacing w:after="120" w:before="240"/>
      </w:pPr>
      <w:r>
        <w:rPr>
          <w:rFonts w:ascii="Arial" w:cs="Arial" w:eastAsia="Arial" w:hAnsi="Arial"/>
          <w:b/>
          <w:bCs/>
          <w:i w:val="false"/>
          <w:iCs w:val="false"/>
          <w:color w:val="1B3A5C"/>
          <w:sz w:val="28"/>
          <w:szCs w:val="28"/>
        </w:rPr>
        <w:t xml:space="preserve">10.2 Procedure Review</w:t>
      </w:r>
    </w:p>
    <w:p>
      <w:pPr>
        <w:pStyle w:val="ListParagraph"/>
        <w:numPr>
          <w:ilvl w:val="0"/>
          <w:numId w:val="2"/>
        </w:numPr>
      </w:pPr>
      <w:r>
        <w:rPr>
          <w:rFonts w:ascii="Arial" w:cs="Arial" w:eastAsia="Arial" w:hAnsi="Arial"/>
          <w:b w:val="false"/>
          <w:bCs w:val="false"/>
          <w:i w:val="false"/>
          <w:iCs w:val="false"/>
          <w:color w:val="333333"/>
          <w:sz w:val="20"/>
          <w:szCs w:val="20"/>
        </w:rPr>
        <w:t xml:space="preserve">This procedure is reviewed and updated annually, or upon: major Orca platform updates, significant changes to cloud architecture, post-incident lessons learned, or regulatory/compliance requirement changes.</w:t>
      </w:r>
    </w:p>
    <w:p>
      <w:pPr>
        <w:pStyle w:val="ListParagraph"/>
        <w:numPr>
          <w:ilvl w:val="0"/>
          <w:numId w:val="2"/>
        </w:numPr>
      </w:pPr>
      <w:r>
        <w:rPr>
          <w:rFonts w:ascii="Arial" w:cs="Arial" w:eastAsia="Arial" w:hAnsi="Arial"/>
          <w:b w:val="false"/>
          <w:bCs w:val="false"/>
          <w:i w:val="false"/>
          <w:iCs w:val="false"/>
          <w:color w:val="333333"/>
          <w:sz w:val="20"/>
          <w:szCs w:val="20"/>
        </w:rPr>
        <w:t xml:space="preserve">All revisions require approval from the CISO and VP of Cloud Engineering.</w:t>
      </w:r>
    </w:p>
    <w:p>
      <w:pPr>
        <w:pStyle w:val="Heading2"/>
        <w:spacing w:after="120" w:before="240"/>
      </w:pPr>
      <w:r>
        <w:rPr>
          <w:rFonts w:ascii="Arial" w:cs="Arial" w:eastAsia="Arial" w:hAnsi="Arial"/>
          <w:b/>
          <w:bCs/>
          <w:i w:val="false"/>
          <w:iCs w:val="false"/>
          <w:color w:val="1B3A5C"/>
          <w:sz w:val="28"/>
          <w:szCs w:val="28"/>
        </w:rPr>
        <w:t xml:space="preserve">10.3 Training Requirements</w:t>
      </w:r>
    </w:p>
    <w:p>
      <w:pPr>
        <w:pStyle w:val="ListParagraph"/>
        <w:numPr>
          <w:ilvl w:val="0"/>
          <w:numId w:val="2"/>
        </w:numPr>
      </w:pPr>
      <w:r>
        <w:rPr>
          <w:rFonts w:ascii="Arial" w:cs="Arial" w:eastAsia="Arial" w:hAnsi="Arial"/>
          <w:b w:val="false"/>
          <w:bCs w:val="false"/>
          <w:i w:val="false"/>
          <w:iCs w:val="false"/>
          <w:color w:val="333333"/>
          <w:sz w:val="20"/>
          <w:szCs w:val="20"/>
        </w:rPr>
        <w:t xml:space="preserve">All SOC, Cloud Engineering, and DevOps team members must complete Orca platform training within 30 days of onboarding.</w:t>
      </w:r>
    </w:p>
    <w:p>
      <w:pPr>
        <w:pStyle w:val="ListParagraph"/>
        <w:numPr>
          <w:ilvl w:val="0"/>
          <w:numId w:val="2"/>
        </w:numPr>
      </w:pPr>
      <w:r>
        <w:rPr>
          <w:rFonts w:ascii="Arial" w:cs="Arial" w:eastAsia="Arial" w:hAnsi="Arial"/>
          <w:b w:val="false"/>
          <w:bCs w:val="false"/>
          <w:i w:val="false"/>
          <w:iCs w:val="false"/>
          <w:color w:val="333333"/>
          <w:sz w:val="20"/>
          <w:szCs w:val="20"/>
        </w:rPr>
        <w:t xml:space="preserve">Annual refresher training on this remediation procedure is mandatory for all personnel with vulnerability remediation responsibilities.</w:t>
      </w:r>
    </w:p>
    <w:p>
      <w:pPr>
        <w:spacing w:after="0" w:before="320"/>
      </w:pPr>
    </w:p>
    <w:p>
      <w:pPr>
        <w:pBdr>
          <w:bottom w:val="single" w:color="2E75B6" w:sz="4" w:space="1"/>
        </w:pBdr>
        <w:spacing w:after="120" w:before="120"/>
      </w:pPr>
    </w:p>
    <w:p>
      <w:pPr>
        <w:spacing w:after="60" w:before="60"/>
        <w:jc w:val="left"/>
      </w:pPr>
      <w:r>
        <w:rPr>
          <w:rFonts w:ascii="Arial" w:cs="Arial" w:eastAsia="Arial" w:hAnsi="Arial"/>
          <w:b w:val="false"/>
          <w:bCs w:val="false"/>
          <w:i/>
          <w:iCs/>
          <w:color w:val="999999"/>
          <w:sz w:val="17"/>
          <w:szCs w:val="17"/>
        </w:rPr>
        <w:t xml:space="preserve">Orca Security Vulnerability Remediation Procedure Plan — v1.0 — May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b w:val="false"/>
        <w:bCs w:val="false"/>
        <w:i w:val="false"/>
        <w:iCs w:val="false"/>
        <w:color w:val="666666"/>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val="false"/>
        <w:bCs w:val="false"/>
        <w:i/>
        <w:iCs/>
        <w:color w:val="666666"/>
        <w:sz w:val="16"/>
        <w:szCs w:val="16"/>
      </w:rPr>
      <w:t xml:space="preserve">Orca Security — Vulnerability Remediation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2026-05-11T14:45:55.034Z</dcterms:created>
  <dcterms:modified xsi:type="dcterms:W3CDTF">2026-05-11T14:45:55.035Z</dcterms:modified>
</cp:coreProperties>
</file>

<file path=docProps/custom.xml><?xml version="1.0" encoding="utf-8"?>
<Properties xmlns="http://schemas.openxmlformats.org/officeDocument/2006/custom-properties" xmlns:vt="http://schemas.openxmlformats.org/officeDocument/2006/docPropsVTypes"/>
</file>