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40"/>
      </w:pPr>
    </w:p>
    <w:p>
      <w:pPr>
        <w:spacing w:after="0"/>
        <w:jc w:val="center"/>
      </w:pPr>
      <w:r>
        <w:rPr>
          <w:rFonts w:ascii="Arial" w:cs="Arial" w:eastAsia="Arial" w:hAnsi="Arial"/>
          <w:b/>
          <w:bCs/>
          <w:i w:val="false"/>
          <w:iCs w:val="false"/>
          <w:color w:val="1B3A5C"/>
          <w:sz w:val="52"/>
          <w:szCs w:val="52"/>
        </w:rPr>
        <w:t xml:space="preserve">ORCA SECURITY</w:t>
      </w:r>
    </w:p>
    <w:p>
      <w:pPr>
        <w:spacing w:after="0" w:before="120"/>
        <w:jc w:val="center"/>
      </w:pPr>
      <w:r>
        <w:rPr>
          <w:rFonts w:ascii="Arial" w:cs="Arial" w:eastAsia="Arial" w:hAnsi="Arial"/>
          <w:b w:val="false"/>
          <w:bCs w:val="false"/>
          <w:i w:val="false"/>
          <w:iCs w:val="false"/>
          <w:color w:val="2E75B6"/>
          <w:sz w:val="40"/>
          <w:szCs w:val="40"/>
        </w:rPr>
        <w:t xml:space="preserve">Vulnerability Remediation</w:t>
      </w:r>
    </w:p>
    <w:p>
      <w:pPr>
        <w:spacing w:after="0" w:before="60"/>
        <w:jc w:val="center"/>
      </w:pPr>
      <w:r>
        <w:rPr>
          <w:rFonts w:ascii="Arial" w:cs="Arial" w:eastAsia="Arial" w:hAnsi="Arial"/>
          <w:b w:val="false"/>
          <w:bCs w:val="false"/>
          <w:i w:val="false"/>
          <w:iCs w:val="false"/>
          <w:color w:val="2E75B6"/>
          <w:sz w:val="40"/>
          <w:szCs w:val="40"/>
        </w:rPr>
        <w:t xml:space="preserve">Procedure Plan</w:t>
      </w:r>
    </w:p>
    <w:p>
      <w:pPr>
        <w:spacing w:after="0" w:before="160"/>
      </w:pPr>
    </w:p>
    <w:p>
      <w:pPr>
        <w:pBdr>
          <w:top w:val="single" w:color="2E75B6" w:sz="6" w:space="8"/>
          <w:bottom w:val="single" w:color="2E75B6" w:sz="6" w:space="8"/>
        </w:pBdr>
        <w:spacing w:after="200" w:before="200"/>
        <w:jc w:val="center"/>
      </w:pPr>
      <w:r>
        <w:rPr>
          <w:rFonts w:ascii="Arial" w:cs="Arial" w:eastAsia="Arial" w:hAnsi="Arial"/>
          <w:b/>
          <w:bCs/>
          <w:i w:val="false"/>
          <w:iCs w:val="false"/>
          <w:color w:val="1B3A5C"/>
          <w:sz w:val="28"/>
          <w:szCs w:val="28"/>
        </w:rPr>
        <w:t xml:space="preserve">30-Day SLA Framework</w:t>
      </w:r>
    </w:p>
    <w:p>
      <w:pPr>
        <w:spacing w:after="0" w:before="320"/>
      </w:pPr>
    </w:p>
    <w:p>
      <w:pPr>
        <w:jc w:val="center"/>
      </w:pPr>
      <w:r>
        <w:rPr>
          <w:rFonts w:ascii="Arial" w:cs="Arial" w:eastAsia="Arial" w:hAnsi="Arial"/>
          <w:b w:val="false"/>
          <w:bCs w:val="false"/>
          <w:i/>
          <w:iCs/>
          <w:color w:val="666666"/>
          <w:sz w:val="20"/>
          <w:szCs w:val="20"/>
        </w:rPr>
        <w:t xml:space="preserve">Classification: Internal — Confidential</w:t>
      </w:r>
    </w:p>
    <w:p>
      <w:pPr>
        <w:spacing w:before="80"/>
        <w:jc w:val="center"/>
      </w:pPr>
      <w:r>
        <w:rPr>
          <w:rFonts w:ascii="Arial" w:cs="Arial" w:eastAsia="Arial" w:hAnsi="Arial"/>
          <w:b w:val="false"/>
          <w:bCs w:val="false"/>
          <w:i w:val="false"/>
          <w:iCs w:val="false"/>
          <w:color w:val="666666"/>
          <w:sz w:val="20"/>
          <w:szCs w:val="20"/>
        </w:rPr>
        <w:t xml:space="preserve">Version 1.0 — May 2026</w:t>
      </w:r>
    </w:p>
    <w:p>
      <w:pPr>
        <w:spacing w:before="80"/>
        <w:jc w:val="center"/>
      </w:pPr>
      <w:r>
        <w:rPr>
          <w:rFonts w:ascii="Arial" w:cs="Arial" w:eastAsia="Arial" w:hAnsi="Arial"/>
          <w:b w:val="false"/>
          <w:bCs w:val="false"/>
          <w:i w:val="false"/>
          <w:iCs w:val="false"/>
          <w:color w:val="666666"/>
          <w:sz w:val="20"/>
          <w:szCs w:val="20"/>
        </w:rPr>
        <w:t xml:space="preserve">Prepared by: Cloud Security Engineering</w:t>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i w:val="false"/>
          <w:iCs w:val="false"/>
          <w:color w:val="1B3A5C"/>
          <w:sz w:val="32"/>
          <w:szCs w:val="32"/>
        </w:rPr>
        <w:t xml:space="preserve">1. Purpose &amp; Scope</w:t>
      </w:r>
    </w:p>
    <w:p>
      <w:pPr>
        <w:spacing w:after="60" w:before="60"/>
        <w:jc w:val="left"/>
      </w:pPr>
      <w:r>
        <w:rPr>
          <w:rFonts w:ascii="Arial" w:cs="Arial" w:eastAsia="Arial" w:hAnsi="Arial"/>
          <w:b w:val="false"/>
          <w:bCs w:val="false"/>
          <w:i w:val="false"/>
          <w:iCs w:val="false"/>
          <w:color w:val="333333"/>
          <w:sz w:val="22"/>
          <w:szCs w:val="22"/>
        </w:rPr>
        <w:t xml:space="preserve">This document establishes the standard operating procedure for remediating vulnerabilities detected by Orca Security across the organization’s cloud estate. It defines severity-based Service Level Agreements (SLAs) within a maximum 30-calendar-day remediation window, assigns accountability across teams, and establishes escalation paths for SLA breaches.</w:t>
      </w:r>
    </w:p>
    <w:p>
      <w:pPr>
        <w:spacing w:after="0" w:before="80"/>
      </w:pPr>
    </w:p>
    <w:p>
      <w:pPr>
        <w:spacing w:after="60" w:before="60"/>
        <w:jc w:val="left"/>
      </w:pPr>
      <w:r>
        <w:rPr>
          <w:rFonts w:ascii="Arial" w:cs="Arial" w:eastAsia="Arial" w:hAnsi="Arial"/>
          <w:b w:val="false"/>
          <w:bCs w:val="false"/>
          <w:i w:val="false"/>
          <w:iCs w:val="false"/>
          <w:color w:val="333333"/>
          <w:sz w:val="22"/>
          <w:szCs w:val="22"/>
        </w:rPr>
        <w:t xml:space="preserve">The procedure applies to all cloud-hosted assets monitored by Orca Security, including but not limited to: compute instances (EC2, Azure VMs, GCP Compute), container workloads (ECS, EKS, AKS), serverless functions, managed databases, storage buckets, IAM configurations, and network resources.</w:t>
      </w:r>
    </w:p>
    <w:p>
      <w:pPr>
        <w:pStyle w:val="Heading1"/>
        <w:spacing w:after="120" w:before="360"/>
      </w:pPr>
      <w:r>
        <w:rPr>
          <w:rFonts w:ascii="Arial" w:cs="Arial" w:eastAsia="Arial" w:hAnsi="Arial"/>
          <w:b/>
          <w:bCs/>
          <w:i w:val="false"/>
          <w:iCs w:val="false"/>
          <w:color w:val="1B3A5C"/>
          <w:sz w:val="32"/>
          <w:szCs w:val="32"/>
        </w:rPr>
        <w:t xml:space="preserve">2. SLA Severity Tiers</w:t>
      </w:r>
    </w:p>
    <w:p>
      <w:pPr>
        <w:spacing w:after="60" w:before="60"/>
        <w:jc w:val="left"/>
      </w:pPr>
      <w:r>
        <w:rPr>
          <w:rFonts w:ascii="Arial" w:cs="Arial" w:eastAsia="Arial" w:hAnsi="Arial"/>
          <w:b w:val="false"/>
          <w:bCs w:val="false"/>
          <w:i w:val="false"/>
          <w:iCs w:val="false"/>
          <w:color w:val="333333"/>
          <w:sz w:val="22"/>
          <w:szCs w:val="22"/>
        </w:rPr>
        <w:t xml:space="preserve">All vulnerabilities detected by Orca Security are classified into four severity tiers. The maximum SLA for any vulnerability is 30 calendar days (Low tier). Severity is determined by Orca’s composite risk score, which factors in CVSS base score, exploit maturity (EPSS), network reachability, lateral-movement paths, and crown-jewel proximity.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60"/>
        <w:gridCol w:w="1600"/>
        <w:gridCol w:w="1600"/>
        <w:gridCol w:w="140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Severity</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Criteria</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Remediation SLA</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Ack Window</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Indicator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333333"/>
                <w:sz w:val="20"/>
                <w:szCs w:val="20"/>
              </w:rPr>
              <w:t xml:space="preserve">Critical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CVSS 9.0–10.0 / Active exploit / Internet-facing + crown jewel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333333"/>
                <w:sz w:val="20"/>
                <w:szCs w:val="20"/>
              </w:rPr>
              <w:t xml:space="preserve">72 hours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24 hours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392B"/>
                <w:sz w:val="28"/>
                <w:szCs w:val="28"/>
              </w:rPr>
              <w:t xml:space="preserve">●</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i w:val="false"/>
                <w:iCs w:val="false"/>
                <w:color w:val="333333"/>
                <w:sz w:val="20"/>
                <w:szCs w:val="20"/>
              </w:rPr>
              <w:t xml:space="preserve">High</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CVSS 7.0–8.9 / Known exploit exists / Lateral-movement path</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i w:val="false"/>
                <w:iCs w:val="false"/>
                <w:color w:val="333333"/>
                <w:sz w:val="20"/>
                <w:szCs w:val="20"/>
              </w:rPr>
              <w:t xml:space="preserve">7 calendar days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48 hours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E67E22"/>
                <w:sz w:val="28"/>
                <w:szCs w:val="28"/>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333333"/>
                <w:sz w:val="20"/>
                <w:szCs w:val="20"/>
              </w:rPr>
              <w:t xml:space="preserve">Medium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CVSS 4.0–6.9 / Internal-only exposure / No known exploit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333333"/>
                <w:sz w:val="20"/>
                <w:szCs w:val="20"/>
              </w:rPr>
              <w:t xml:space="preserve">21 calendar 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72 hours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F1C40F"/>
                <w:sz w:val="28"/>
                <w:szCs w:val="28"/>
              </w:rPr>
              <w:t xml:space="preserve">●</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i w:val="false"/>
                <w:iCs w:val="false"/>
                <w:color w:val="333333"/>
                <w:sz w:val="20"/>
                <w:szCs w:val="20"/>
              </w:rPr>
              <w:t xml:space="preserve">Low</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8"/>
                <w:szCs w:val="18"/>
              </w:rPr>
              <w:t xml:space="preserve">CVSS 0.1–3.9 / Informational / Hardening recommendation</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i w:val="false"/>
                <w:iCs w:val="false"/>
                <w:color w:val="333333"/>
                <w:sz w:val="20"/>
                <w:szCs w:val="20"/>
              </w:rPr>
              <w:t xml:space="preserve">30 calendar days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5 business days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7AE60"/>
                <w:sz w:val="28"/>
                <w:szCs w:val="28"/>
              </w:rPr>
              <w:t xml:space="preserve">●</w:t>
            </w:r>
          </w:p>
        </w:tc>
      </w:tr>
    </w:tbl>
    <w:p>
      <w:pPr>
        <w:spacing w:after="0" w:before="80"/>
      </w:pPr>
    </w:p>
    <w:p>
      <w:pPr>
        <w:spacing w:after="60" w:before="60"/>
        <w:jc w:val="left"/>
      </w:pPr>
      <w:r>
        <w:rPr>
          <w:rFonts w:ascii="Arial" w:cs="Arial" w:eastAsia="Arial" w:hAnsi="Arial"/>
          <w:b/>
          <w:bCs/>
          <w:i w:val="false"/>
          <w:iCs w:val="false"/>
          <w:color w:val="333333"/>
          <w:sz w:val="20"/>
          <w:szCs w:val="20"/>
        </w:rPr>
        <w:t xml:space="preserve">Note: </w:t>
      </w:r>
      <w:r>
        <w:rPr>
          <w:rFonts w:ascii="Arial" w:cs="Arial" w:eastAsia="Arial" w:hAnsi="Arial"/>
          <w:b w:val="false"/>
          <w:bCs w:val="false"/>
          <w:i w:val="false"/>
          <w:iCs w:val="false"/>
          <w:color w:val="333333"/>
          <w:sz w:val="20"/>
          <w:szCs w:val="20"/>
        </w:rPr>
        <w:t xml:space="preserve">The 30-day maximum applies to Low-severity findings only. All other tiers have shorter mandatory remediation windows. The acknowledgment window defines the maximum time before an assigned team must actively triage and accept the ticket.</w:t>
      </w:r>
    </w:p>
    <w:p>
      <w:pPr>
        <w:pStyle w:val="Heading1"/>
        <w:spacing w:after="120" w:before="360"/>
      </w:pPr>
      <w:r>
        <w:rPr>
          <w:rFonts w:ascii="Arial" w:cs="Arial" w:eastAsia="Arial" w:hAnsi="Arial"/>
          <w:b/>
          <w:bCs/>
          <w:i w:val="false"/>
          <w:iCs w:val="false"/>
          <w:color w:val="1B3A5C"/>
          <w:sz w:val="32"/>
          <w:szCs w:val="32"/>
        </w:rPr>
        <w:t xml:space="preserve">3. Remediation Workflow</w:t>
      </w:r>
    </w:p>
    <w:p>
      <w:pPr>
        <w:spacing w:after="60" w:before="60"/>
        <w:jc w:val="left"/>
      </w:pPr>
      <w:r>
        <w:rPr>
          <w:rFonts w:ascii="Arial" w:cs="Arial" w:eastAsia="Arial" w:hAnsi="Arial"/>
          <w:b w:val="false"/>
          <w:bCs w:val="false"/>
          <w:i w:val="false"/>
          <w:iCs w:val="false"/>
          <w:color w:val="333333"/>
          <w:sz w:val="22"/>
          <w:szCs w:val="22"/>
        </w:rPr>
        <w:t xml:space="preserve">The end-to-end remediation lifecycle consists of seven phases, from initial detection through closure or exception handling.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Phase</w:t>
            </w:r>
          </w:p>
        </w:tc>
        <w:tc>
          <w:tcPr>
            <w:tcW w:type="dxa" w:w="6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333333"/>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Detection &amp; Ingestion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Orca Security scans cloud assets (agentless) and publishes vulnerability alerts to the Orca dashboard. Alerts include CVSS score, attack path context, blast radius, and affected asset metadata.</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i w:val="false"/>
                <w:iCs w:val="false"/>
                <w:color w:val="333333"/>
                <w:sz w:val="20"/>
                <w:szCs w:val="20"/>
              </w:rPr>
              <w:t xml:space="preserve">2</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Triage &amp; Severity Classification</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The Security Operations team reviews each alert within the SLA acknowledgment window. Orca’s risk score (combining CVSS, reachability, crown-jewel proximity, and exploit maturity) is used to assign the severity tier per the SLA matrix.</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333333"/>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Assignment &amp; Ticket Creation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An auto-rule in Orca (or the SOC analyst) creates a Jira/ServiceNow ticket tagged with severity, affected asset, owner team, and SLA deadline. The ticket is routed to the responsible Cloud Engineering or DevOps team based on Orca’s asset “owner” tag.</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i w:val="false"/>
                <w:iCs w:val="false"/>
                <w:color w:val="333333"/>
                <w:sz w:val="20"/>
                <w:szCs w:val="20"/>
              </w:rPr>
              <w:t xml:space="preserve">4</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Remediation Execution</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The assigned team applies the fix: patch, configuration change, image rebuild, IAM adjustment, or compensating control. All changes follow the organization’s change management process (RFC/CR for production).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333333"/>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Verification &amp; Rescan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After remediation, the team triggers an Orca rescan (or waits for the next scheduled scan cycle ≤ 24 hrs). The original alert must transition to “Resolved” or “Closed” status in Orca.</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i w:val="false"/>
                <w:iCs w:val="false"/>
                <w:color w:val="333333"/>
                <w:sz w:val="20"/>
                <w:szCs w:val="20"/>
              </w:rPr>
              <w:t xml:space="preserve">6</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Closure &amp; Documentation</w:t>
            </w:r>
          </w:p>
        </w:tc>
        <w:tc>
          <w:tcPr>
            <w:tcW w:type="dxa" w:w="6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The Jira/ServiceNow ticket is closed with root-cause notes, remediation action taken, and time-to-remediate logged. Any lessons learned feed back into the tagging strategy and detection tuning.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333333"/>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Exception Handling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If remediation cannot be completed within SLA, the team must file a Risk Exception Request (RER) before the deadline. Exceptions require VP-level approval and a compensating control plan with a revised remediation date (≤ 90 days).</w:t>
            </w:r>
          </w:p>
        </w:tc>
      </w:tr>
    </w:tbl>
    <w:p>
      <w:pPr>
        <w:pStyle w:val="Heading1"/>
        <w:spacing w:after="120" w:before="360"/>
      </w:pPr>
      <w:r>
        <w:rPr>
          <w:rFonts w:ascii="Arial" w:cs="Arial" w:eastAsia="Arial" w:hAnsi="Arial"/>
          <w:b/>
          <w:bCs/>
          <w:i w:val="false"/>
          <w:iCs w:val="false"/>
          <w:color w:val="1B3A5C"/>
          <w:sz w:val="32"/>
          <w:szCs w:val="32"/>
        </w:rPr>
        <w:t xml:space="preserve">4. Orca Platform Configuration</w:t>
      </w:r>
    </w:p>
    <w:p>
      <w:pPr>
        <w:spacing w:after="60" w:before="60"/>
        <w:jc w:val="left"/>
      </w:pPr>
      <w:r>
        <w:rPr>
          <w:rFonts w:ascii="Arial" w:cs="Arial" w:eastAsia="Arial" w:hAnsi="Arial"/>
          <w:b w:val="false"/>
          <w:bCs w:val="false"/>
          <w:i w:val="false"/>
          <w:iCs w:val="false"/>
          <w:color w:val="333333"/>
          <w:sz w:val="22"/>
          <w:szCs w:val="22"/>
        </w:rPr>
        <w:t xml:space="preserve">The following Orca Security platform configurations support the 30-day SLA framework and must be in place before the procedure is active.</w:t>
      </w:r>
    </w:p>
    <w:p>
      <w:pPr>
        <w:spacing w:after="0" w:before="80"/>
      </w:pPr>
    </w:p>
    <w:p>
      <w:pPr>
        <w:pStyle w:val="Heading2"/>
        <w:spacing w:after="120" w:before="240"/>
      </w:pPr>
      <w:r>
        <w:rPr>
          <w:rFonts w:ascii="Arial" w:cs="Arial" w:eastAsia="Arial" w:hAnsi="Arial"/>
          <w:b/>
          <w:bCs/>
          <w:i w:val="false"/>
          <w:iCs w:val="false"/>
          <w:color w:val="1B3A5C"/>
          <w:sz w:val="28"/>
          <w:szCs w:val="28"/>
        </w:rPr>
        <w:t xml:space="preserve">4.1 Alert Routing Rules</w:t>
      </w:r>
    </w:p>
    <w:p>
      <w:pPr>
        <w:pStyle w:val="ListParagraph"/>
        <w:numPr>
          <w:ilvl w:val="0"/>
          <w:numId w:val="2"/>
        </w:numPr>
      </w:pPr>
      <w:r>
        <w:rPr>
          <w:rFonts w:ascii="Arial" w:cs="Arial" w:eastAsia="Arial" w:hAnsi="Arial"/>
          <w:b w:val="false"/>
          <w:bCs w:val="false"/>
          <w:i w:val="false"/>
          <w:iCs w:val="false"/>
          <w:color w:val="333333"/>
          <w:sz w:val="20"/>
          <w:szCs w:val="20"/>
        </w:rPr>
        <w:t xml:space="preserve">Configure Orca auto-ticket rules to create Jira/ServiceNow tickets on alert creation, pre-populated with severity, asset owner tag, affected resource ARN/ID, and SLA deadline date.</w:t>
      </w:r>
    </w:p>
    <w:p>
      <w:pPr>
        <w:pStyle w:val="ListParagraph"/>
        <w:numPr>
          <w:ilvl w:val="0"/>
          <w:numId w:val="2"/>
        </w:numPr>
      </w:pPr>
      <w:r>
        <w:rPr>
          <w:rFonts w:ascii="Arial" w:cs="Arial" w:eastAsia="Arial" w:hAnsi="Arial"/>
          <w:b w:val="false"/>
          <w:bCs w:val="false"/>
          <w:i w:val="false"/>
          <w:iCs w:val="false"/>
          <w:color w:val="333333"/>
          <w:sz w:val="20"/>
          <w:szCs w:val="20"/>
        </w:rPr>
        <w:t xml:space="preserve">Map Orca risk score ranges to severity tiers: Score 9.0–10.0 → Critical, 7.0–8.9 → High, 4.0–6.9 → Medium, 0.1–3.9 → Low.</w:t>
      </w:r>
    </w:p>
    <w:p>
      <w:pPr>
        <w:pStyle w:val="ListParagraph"/>
        <w:numPr>
          <w:ilvl w:val="0"/>
          <w:numId w:val="2"/>
        </w:numPr>
      </w:pPr>
      <w:r>
        <w:rPr>
          <w:rFonts w:ascii="Arial" w:cs="Arial" w:eastAsia="Arial" w:hAnsi="Arial"/>
          <w:b w:val="false"/>
          <w:bCs w:val="false"/>
          <w:i w:val="false"/>
          <w:iCs w:val="false"/>
          <w:color w:val="333333"/>
          <w:sz w:val="20"/>
          <w:szCs w:val="20"/>
        </w:rPr>
        <w:t xml:space="preserve">Enable deduplication rules to prevent multiple tickets for the same CVE on the same asset.</w:t>
      </w:r>
    </w:p>
    <w:p>
      <w:pPr>
        <w:pStyle w:val="ListParagraph"/>
        <w:numPr>
          <w:ilvl w:val="0"/>
          <w:numId w:val="2"/>
        </w:numPr>
      </w:pPr>
      <w:r>
        <w:rPr>
          <w:rFonts w:ascii="Arial" w:cs="Arial" w:eastAsia="Arial" w:hAnsi="Arial"/>
          <w:b w:val="false"/>
          <w:bCs w:val="false"/>
          <w:i w:val="false"/>
          <w:iCs w:val="false"/>
          <w:color w:val="333333"/>
          <w:sz w:val="20"/>
          <w:szCs w:val="20"/>
        </w:rPr>
        <w:t xml:space="preserve">Configure auto-close rules: if Orca’s next scan confirms remediation, auto-transition the ticket to “Resolved.”</w:t>
      </w:r>
    </w:p>
    <w:p>
      <w:pPr>
        <w:pStyle w:val="Heading2"/>
        <w:spacing w:after="120" w:before="240"/>
      </w:pPr>
      <w:r>
        <w:rPr>
          <w:rFonts w:ascii="Arial" w:cs="Arial" w:eastAsia="Arial" w:hAnsi="Arial"/>
          <w:b/>
          <w:bCs/>
          <w:i w:val="false"/>
          <w:iCs w:val="false"/>
          <w:color w:val="1B3A5C"/>
          <w:sz w:val="28"/>
          <w:szCs w:val="28"/>
        </w:rPr>
        <w:t xml:space="preserve">4.2 Tagging Prerequisites</w:t>
      </w:r>
    </w:p>
    <w:p>
      <w:pPr>
        <w:pStyle w:val="ListParagraph"/>
        <w:numPr>
          <w:ilvl w:val="0"/>
          <w:numId w:val="2"/>
        </w:numPr>
      </w:pPr>
      <w:r>
        <w:rPr>
          <w:rFonts w:ascii="Arial" w:cs="Arial" w:eastAsia="Arial" w:hAnsi="Arial"/>
          <w:b w:val="false"/>
          <w:bCs w:val="false"/>
          <w:i w:val="false"/>
          <w:iCs w:val="false"/>
          <w:color w:val="333333"/>
          <w:sz w:val="20"/>
          <w:szCs w:val="20"/>
        </w:rPr>
        <w:t xml:space="preserve">All cloud assets must carry the following tags at minimum: owner (team), environment (prod/staging/dev), data-classification (public/internal/confidential/restricted), crown-jewel (true/false).</w:t>
      </w:r>
    </w:p>
    <w:p>
      <w:pPr>
        <w:pStyle w:val="ListParagraph"/>
        <w:numPr>
          <w:ilvl w:val="0"/>
          <w:numId w:val="2"/>
        </w:numPr>
      </w:pPr>
      <w:r>
        <w:rPr>
          <w:rFonts w:ascii="Arial" w:cs="Arial" w:eastAsia="Arial" w:hAnsi="Arial"/>
          <w:b w:val="false"/>
          <w:bCs w:val="false"/>
          <w:i w:val="false"/>
          <w:iCs w:val="false"/>
          <w:color w:val="333333"/>
          <w:sz w:val="20"/>
          <w:szCs w:val="20"/>
        </w:rPr>
        <w:t xml:space="preserve">Orca’s asset inventory must be configured to ingest these tags for accurate routing and blast-radius scoring.</w:t>
      </w:r>
    </w:p>
    <w:p>
      <w:pPr>
        <w:pStyle w:val="ListParagraph"/>
        <w:numPr>
          <w:ilvl w:val="0"/>
          <w:numId w:val="2"/>
        </w:numPr>
      </w:pPr>
      <w:r>
        <w:rPr>
          <w:rFonts w:ascii="Arial" w:cs="Arial" w:eastAsia="Arial" w:hAnsi="Arial"/>
          <w:b w:val="false"/>
          <w:bCs w:val="false"/>
          <w:i w:val="false"/>
          <w:iCs w:val="false"/>
          <w:color w:val="333333"/>
          <w:sz w:val="20"/>
          <w:szCs w:val="20"/>
        </w:rPr>
        <w:t xml:space="preserve">Untagged assets default to “High” severity and route to the Cloud Engineering team for triage.</w:t>
      </w:r>
    </w:p>
    <w:p>
      <w:pPr>
        <w:pStyle w:val="Heading2"/>
        <w:spacing w:after="120" w:before="240"/>
      </w:pPr>
      <w:r>
        <w:rPr>
          <w:rFonts w:ascii="Arial" w:cs="Arial" w:eastAsia="Arial" w:hAnsi="Arial"/>
          <w:b/>
          <w:bCs/>
          <w:i w:val="false"/>
          <w:iCs w:val="false"/>
          <w:color w:val="1B3A5C"/>
          <w:sz w:val="28"/>
          <w:szCs w:val="28"/>
        </w:rPr>
        <w:t xml:space="preserve">4.3 Scan Cadence</w:t>
      </w:r>
    </w:p>
    <w:p>
      <w:pPr>
        <w:pStyle w:val="ListParagraph"/>
        <w:numPr>
          <w:ilvl w:val="0"/>
          <w:numId w:val="2"/>
        </w:numPr>
      </w:pPr>
      <w:r>
        <w:rPr>
          <w:rFonts w:ascii="Arial" w:cs="Arial" w:eastAsia="Arial" w:hAnsi="Arial"/>
          <w:b w:val="false"/>
          <w:bCs w:val="false"/>
          <w:i w:val="false"/>
          <w:iCs w:val="false"/>
          <w:color w:val="333333"/>
          <w:sz w:val="20"/>
          <w:szCs w:val="20"/>
        </w:rPr>
        <w:t xml:space="preserve">Full asset scan: every 24 hours (Orca default agentless SideScanning).</w:t>
      </w:r>
    </w:p>
    <w:p>
      <w:pPr>
        <w:pStyle w:val="ListParagraph"/>
        <w:numPr>
          <w:ilvl w:val="0"/>
          <w:numId w:val="2"/>
        </w:numPr>
      </w:pPr>
      <w:r>
        <w:rPr>
          <w:rFonts w:ascii="Arial" w:cs="Arial" w:eastAsia="Arial" w:hAnsi="Arial"/>
          <w:b w:val="false"/>
          <w:bCs w:val="false"/>
          <w:i w:val="false"/>
          <w:iCs w:val="false"/>
          <w:color w:val="333333"/>
          <w:sz w:val="20"/>
          <w:szCs w:val="20"/>
        </w:rPr>
        <w:t xml:space="preserve">On-demand rescan: available via Orca API or dashboard for post-remediation verification.</w:t>
      </w:r>
    </w:p>
    <w:p>
      <w:pPr>
        <w:pStyle w:val="ListParagraph"/>
        <w:numPr>
          <w:ilvl w:val="0"/>
          <w:numId w:val="2"/>
        </w:numPr>
      </w:pPr>
      <w:r>
        <w:rPr>
          <w:rFonts w:ascii="Arial" w:cs="Arial" w:eastAsia="Arial" w:hAnsi="Arial"/>
          <w:b w:val="false"/>
          <w:bCs w:val="false"/>
          <w:i w:val="false"/>
          <w:iCs w:val="false"/>
          <w:color w:val="333333"/>
          <w:sz w:val="20"/>
          <w:szCs w:val="20"/>
        </w:rPr>
        <w:t xml:space="preserve">Container image scan: triggered on ECR/ACR push events via Orca shift-left integration.</w:t>
      </w:r>
    </w:p>
    <w:p>
      <w:pPr>
        <w:pStyle w:val="Heading2"/>
        <w:spacing w:after="120" w:before="240"/>
      </w:pPr>
      <w:r>
        <w:rPr>
          <w:rFonts w:ascii="Arial" w:cs="Arial" w:eastAsia="Arial" w:hAnsi="Arial"/>
          <w:b/>
          <w:bCs/>
          <w:i w:val="false"/>
          <w:iCs w:val="false"/>
          <w:color w:val="1B3A5C"/>
          <w:sz w:val="28"/>
          <w:szCs w:val="28"/>
        </w:rPr>
        <w:t xml:space="preserve">4.4 Integration Requirements</w:t>
      </w:r>
    </w:p>
    <w:p>
      <w:pPr>
        <w:pStyle w:val="ListParagraph"/>
        <w:numPr>
          <w:ilvl w:val="0"/>
          <w:numId w:val="2"/>
        </w:numPr>
      </w:pPr>
      <w:r>
        <w:rPr>
          <w:rFonts w:ascii="Arial" w:cs="Arial" w:eastAsia="Arial" w:hAnsi="Arial"/>
          <w:b w:val="false"/>
          <w:bCs w:val="false"/>
          <w:i w:val="false"/>
          <w:iCs w:val="false"/>
          <w:color w:val="333333"/>
          <w:sz w:val="20"/>
          <w:szCs w:val="20"/>
        </w:rPr>
        <w:t xml:space="preserve">Jira or ServiceNow: bidirectional sync for ticket status (Orca ↔ ITSM).</w:t>
      </w:r>
    </w:p>
    <w:p>
      <w:pPr>
        <w:pStyle w:val="ListParagraph"/>
        <w:numPr>
          <w:ilvl w:val="0"/>
          <w:numId w:val="2"/>
        </w:numPr>
      </w:pPr>
      <w:r>
        <w:rPr>
          <w:rFonts w:ascii="Arial" w:cs="Arial" w:eastAsia="Arial" w:hAnsi="Arial"/>
          <w:b w:val="false"/>
          <w:bCs w:val="false"/>
          <w:i w:val="false"/>
          <w:iCs w:val="false"/>
          <w:color w:val="333333"/>
          <w:sz w:val="20"/>
          <w:szCs w:val="20"/>
        </w:rPr>
        <w:t xml:space="preserve">Slack/Teams: alert notifications to #security-vulns and team-specific channels.</w:t>
      </w:r>
    </w:p>
    <w:p>
      <w:pPr>
        <w:pStyle w:val="ListParagraph"/>
        <w:numPr>
          <w:ilvl w:val="0"/>
          <w:numId w:val="2"/>
        </w:numPr>
      </w:pPr>
      <w:r>
        <w:rPr>
          <w:rFonts w:ascii="Arial" w:cs="Arial" w:eastAsia="Arial" w:hAnsi="Arial"/>
          <w:b w:val="false"/>
          <w:bCs w:val="false"/>
          <w:i w:val="false"/>
          <w:iCs w:val="false"/>
          <w:color w:val="333333"/>
          <w:sz w:val="20"/>
          <w:szCs w:val="20"/>
        </w:rPr>
        <w:t xml:space="preserve">PagerDuty/OpsGenie: critical-severity alerts page on-call SRE and Security.</w:t>
      </w:r>
    </w:p>
    <w:p>
      <w:pPr>
        <w:pStyle w:val="ListParagraph"/>
        <w:numPr>
          <w:ilvl w:val="0"/>
          <w:numId w:val="2"/>
        </w:numPr>
      </w:pPr>
      <w:r>
        <w:rPr>
          <w:rFonts w:ascii="Arial" w:cs="Arial" w:eastAsia="Arial" w:hAnsi="Arial"/>
          <w:b w:val="false"/>
          <w:bCs w:val="false"/>
          <w:i w:val="false"/>
          <w:iCs w:val="false"/>
          <w:color w:val="333333"/>
          <w:sz w:val="20"/>
          <w:szCs w:val="20"/>
        </w:rPr>
        <w:t xml:space="preserve">SIEM (Splunk/Sentinel): forward Orca CDR events for correlation.</w:t>
      </w:r>
    </w:p>
    <w:p>
      <w:pPr>
        <w:pStyle w:val="Heading1"/>
        <w:spacing w:after="120" w:before="360"/>
      </w:pPr>
      <w:r>
        <w:rPr>
          <w:rFonts w:ascii="Arial" w:cs="Arial" w:eastAsia="Arial" w:hAnsi="Arial"/>
          <w:b/>
          <w:bCs/>
          <w:i w:val="false"/>
          <w:iCs w:val="false"/>
          <w:color w:val="1B3A5C"/>
          <w:sz w:val="32"/>
          <w:szCs w:val="32"/>
        </w:rPr>
        <w:t xml:space="preserve">5. RACI Matrix</w:t>
      </w:r>
    </w:p>
    <w:p>
      <w:pPr>
        <w:spacing w:after="60" w:before="60"/>
        <w:jc w:val="left"/>
      </w:pPr>
      <w:r>
        <w:rPr>
          <w:rFonts w:ascii="Arial" w:cs="Arial" w:eastAsia="Arial" w:hAnsi="Arial"/>
          <w:b w:val="false"/>
          <w:bCs w:val="false"/>
          <w:i w:val="false"/>
          <w:iCs w:val="false"/>
          <w:color w:val="333333"/>
          <w:sz w:val="22"/>
          <w:szCs w:val="22"/>
        </w:rPr>
        <w:t xml:space="preserve">The following RACI (Responsible, Accountable, Consulted, Informed) matrix defines ownership across the vulnerability remediation lifecycle.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500"/>
        <w:gridCol w:w="1560"/>
        <w:gridCol w:w="1500"/>
        <w:gridCol w:w="120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Activity</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CISO / VP</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Cloud Eng</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SecOps / SOC</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DevOps</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GRC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Vulnerability Detection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R/A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C</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Triage &amp; Classification</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I</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C</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R/A</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Ticket Creation &amp; Routing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R/A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C</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Remediation Execution</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R/A</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C</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R/A</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Verification &amp; Rescan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R/A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I</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SLA Reporting</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A</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I</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R</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Exception Approval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20"/>
                <w:szCs w:val="20"/>
              </w:rPr>
              <w:t xml:space="preserve">I</w:t>
            </w:r>
          </w:p>
        </w:tc>
      </w:tr>
    </w:tbl>
    <w:p>
      <w:pPr>
        <w:spacing w:after="0" w:before="80"/>
      </w:pPr>
    </w:p>
    <w:p>
      <w:pPr>
        <w:spacing w:after="60" w:before="60"/>
        <w:jc w:val="left"/>
      </w:pPr>
      <w:r>
        <w:rPr>
          <w:rFonts w:ascii="Arial" w:cs="Arial" w:eastAsia="Arial" w:hAnsi="Arial"/>
          <w:b/>
          <w:bCs/>
          <w:i w:val="false"/>
          <w:iCs w:val="false"/>
          <w:color w:val="333333"/>
          <w:sz w:val="20"/>
          <w:szCs w:val="20"/>
        </w:rPr>
        <w:t xml:space="preserve">R</w:t>
      </w:r>
      <w:r>
        <w:rPr>
          <w:rFonts w:ascii="Arial" w:cs="Arial" w:eastAsia="Arial" w:hAnsi="Arial"/>
          <w:b w:val="false"/>
          <w:bCs w:val="false"/>
          <w:i w:val="false"/>
          <w:iCs w:val="false"/>
          <w:color w:val="333333"/>
          <w:sz w:val="20"/>
          <w:szCs w:val="20"/>
        </w:rPr>
        <w:t xml:space="preserve"> = Responsible  |  </w:t>
      </w:r>
      <w:r>
        <w:rPr>
          <w:rFonts w:ascii="Arial" w:cs="Arial" w:eastAsia="Arial" w:hAnsi="Arial"/>
          <w:b/>
          <w:bCs/>
          <w:i w:val="false"/>
          <w:iCs w:val="false"/>
          <w:color w:val="333333"/>
          <w:sz w:val="20"/>
          <w:szCs w:val="20"/>
        </w:rPr>
        <w:t xml:space="preserve">A</w:t>
      </w:r>
      <w:r>
        <w:rPr>
          <w:rFonts w:ascii="Arial" w:cs="Arial" w:eastAsia="Arial" w:hAnsi="Arial"/>
          <w:b w:val="false"/>
          <w:bCs w:val="false"/>
          <w:i w:val="false"/>
          <w:iCs w:val="false"/>
          <w:color w:val="333333"/>
          <w:sz w:val="20"/>
          <w:szCs w:val="20"/>
        </w:rPr>
        <w:t xml:space="preserve"> = Accountable  |  </w:t>
      </w:r>
      <w:r>
        <w:rPr>
          <w:rFonts w:ascii="Arial" w:cs="Arial" w:eastAsia="Arial" w:hAnsi="Arial"/>
          <w:b/>
          <w:bCs/>
          <w:i w:val="false"/>
          <w:iCs w:val="false"/>
          <w:color w:val="333333"/>
          <w:sz w:val="20"/>
          <w:szCs w:val="20"/>
        </w:rPr>
        <w:t xml:space="preserve">C</w:t>
      </w:r>
      <w:r>
        <w:rPr>
          <w:rFonts w:ascii="Arial" w:cs="Arial" w:eastAsia="Arial" w:hAnsi="Arial"/>
          <w:b w:val="false"/>
          <w:bCs w:val="false"/>
          <w:i w:val="false"/>
          <w:iCs w:val="false"/>
          <w:color w:val="333333"/>
          <w:sz w:val="20"/>
          <w:szCs w:val="20"/>
        </w:rPr>
        <w:t xml:space="preserve"> = Consulted  |  </w:t>
      </w:r>
      <w:r>
        <w:rPr>
          <w:rFonts w:ascii="Arial" w:cs="Arial" w:eastAsia="Arial" w:hAnsi="Arial"/>
          <w:b/>
          <w:bCs/>
          <w:i w:val="false"/>
          <w:iCs w:val="false"/>
          <w:color w:val="333333"/>
          <w:sz w:val="20"/>
          <w:szCs w:val="20"/>
        </w:rPr>
        <w:t xml:space="preserve">I</w:t>
      </w:r>
      <w:r>
        <w:rPr>
          <w:rFonts w:ascii="Arial" w:cs="Arial" w:eastAsia="Arial" w:hAnsi="Arial"/>
          <w:b w:val="false"/>
          <w:bCs w:val="false"/>
          <w:i w:val="false"/>
          <w:iCs w:val="false"/>
          <w:color w:val="333333"/>
          <w:sz w:val="20"/>
          <w:szCs w:val="20"/>
        </w:rPr>
        <w:t xml:space="preserve"> = Informed</w:t>
      </w:r>
    </w:p>
    <w:p>
      <w:pPr>
        <w:pStyle w:val="Heading1"/>
        <w:spacing w:after="120" w:before="360"/>
      </w:pPr>
      <w:r>
        <w:rPr>
          <w:rFonts w:ascii="Arial" w:cs="Arial" w:eastAsia="Arial" w:hAnsi="Arial"/>
          <w:b/>
          <w:bCs/>
          <w:i w:val="false"/>
          <w:iCs w:val="false"/>
          <w:color w:val="1B3A5C"/>
          <w:sz w:val="32"/>
          <w:szCs w:val="32"/>
        </w:rPr>
        <w:t xml:space="preserve">6. Escalation Matrix</w:t>
      </w:r>
    </w:p>
    <w:p>
      <w:pPr>
        <w:spacing w:after="60" w:before="60"/>
        <w:jc w:val="left"/>
      </w:pPr>
      <w:r>
        <w:rPr>
          <w:rFonts w:ascii="Arial" w:cs="Arial" w:eastAsia="Arial" w:hAnsi="Arial"/>
          <w:b w:val="false"/>
          <w:bCs w:val="false"/>
          <w:i w:val="false"/>
          <w:iCs w:val="false"/>
          <w:color w:val="333333"/>
          <w:sz w:val="22"/>
          <w:szCs w:val="22"/>
        </w:rPr>
        <w:t xml:space="preserve">Automated and manual escalation triggers ensure SLA compliance. All escalation thresholds are calculated from the ticket creation timestamp.</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Trigger Condition</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Action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Owner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50% of SLA elapsed, no action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Auto-reminder to assignee + team lead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Orca automation / SOC</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75% of SLA elapsed, still open</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Escalation to Engineering Manager + Security Lead</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SOC / Jira automation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SLA breach (100%)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Director-level escalation; incident logged in GRC tool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CISO / VP Engineering</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Critical vuln, no ack in 24 hrs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War-room escalation; page on-call SRE + Security</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SOC / PagerDuty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Exception request submitted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VP review within 48 hours; compensating control required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Risk Committee</w:t>
            </w:r>
          </w:p>
        </w:tc>
      </w:tr>
    </w:tbl>
    <w:p>
      <w:pPr>
        <w:pStyle w:val="Heading1"/>
        <w:spacing w:after="120" w:before="360"/>
      </w:pPr>
      <w:r>
        <w:rPr>
          <w:rFonts w:ascii="Arial" w:cs="Arial" w:eastAsia="Arial" w:hAnsi="Arial"/>
          <w:b/>
          <w:bCs/>
          <w:i w:val="false"/>
          <w:iCs w:val="false"/>
          <w:color w:val="1B3A5C"/>
          <w:sz w:val="32"/>
          <w:szCs w:val="32"/>
        </w:rPr>
        <w:t xml:space="preserve">7. Risk Exception Process</w:t>
      </w:r>
    </w:p>
    <w:p>
      <w:pPr>
        <w:spacing w:after="60" w:before="60"/>
        <w:jc w:val="left"/>
      </w:pPr>
      <w:r>
        <w:rPr>
          <w:rFonts w:ascii="Arial" w:cs="Arial" w:eastAsia="Arial" w:hAnsi="Arial"/>
          <w:b w:val="false"/>
          <w:bCs w:val="false"/>
          <w:i w:val="false"/>
          <w:iCs w:val="false"/>
          <w:color w:val="333333"/>
          <w:sz w:val="22"/>
          <w:szCs w:val="22"/>
        </w:rPr>
        <w:t xml:space="preserve">When a vulnerability cannot be remediated within the assigned SLA, a formal Risk Exception Request (RER) must be submitted before the SLA deadline expires. Exceptions are not SLA extensions — they represent an accepted, documented risk.</w:t>
      </w:r>
    </w:p>
    <w:p>
      <w:pPr>
        <w:spacing w:after="0" w:before="80"/>
      </w:pPr>
    </w:p>
    <w:p>
      <w:pPr>
        <w:pStyle w:val="Heading2"/>
        <w:spacing w:after="120" w:before="240"/>
      </w:pPr>
      <w:r>
        <w:rPr>
          <w:rFonts w:ascii="Arial" w:cs="Arial" w:eastAsia="Arial" w:hAnsi="Arial"/>
          <w:b/>
          <w:bCs/>
          <w:i w:val="false"/>
          <w:iCs w:val="false"/>
          <w:color w:val="1B3A5C"/>
          <w:sz w:val="28"/>
          <w:szCs w:val="28"/>
        </w:rPr>
        <w:t xml:space="preserve">7.1 Exception Request Requirements</w:t>
      </w:r>
    </w:p>
    <w:p>
      <w:pPr>
        <w:pStyle w:val="ListParagraph"/>
        <w:numPr>
          <w:ilvl w:val="0"/>
          <w:numId w:val="3"/>
        </w:numPr>
      </w:pPr>
      <w:r>
        <w:rPr>
          <w:rFonts w:ascii="Arial" w:cs="Arial" w:eastAsia="Arial" w:hAnsi="Arial"/>
          <w:b w:val="false"/>
          <w:bCs w:val="false"/>
          <w:i w:val="false"/>
          <w:iCs w:val="false"/>
          <w:color w:val="333333"/>
          <w:sz w:val="20"/>
          <w:szCs w:val="20"/>
        </w:rPr>
        <w:t xml:space="preserve">Justification: technical reason remediation is not feasible within SLA (vendor dependency, legacy system, production freeze, etc.).</w:t>
      </w:r>
    </w:p>
    <w:p>
      <w:pPr>
        <w:pStyle w:val="ListParagraph"/>
        <w:numPr>
          <w:ilvl w:val="0"/>
          <w:numId w:val="3"/>
        </w:numPr>
      </w:pPr>
      <w:r>
        <w:rPr>
          <w:rFonts w:ascii="Arial" w:cs="Arial" w:eastAsia="Arial" w:hAnsi="Arial"/>
          <w:b w:val="false"/>
          <w:bCs w:val="false"/>
          <w:i w:val="false"/>
          <w:iCs w:val="false"/>
          <w:color w:val="333333"/>
          <w:sz w:val="20"/>
          <w:szCs w:val="20"/>
        </w:rPr>
        <w:t xml:space="preserve">Compensating Control: description of interim risk mitigation (WAF rule, network segmentation, access restriction, enhanced monitoring).</w:t>
      </w:r>
    </w:p>
    <w:p>
      <w:pPr>
        <w:pStyle w:val="ListParagraph"/>
        <w:numPr>
          <w:ilvl w:val="0"/>
          <w:numId w:val="3"/>
        </w:numPr>
      </w:pPr>
      <w:r>
        <w:rPr>
          <w:rFonts w:ascii="Arial" w:cs="Arial" w:eastAsia="Arial" w:hAnsi="Arial"/>
          <w:b w:val="false"/>
          <w:bCs w:val="false"/>
          <w:i w:val="false"/>
          <w:iCs w:val="false"/>
          <w:color w:val="333333"/>
          <w:sz w:val="20"/>
          <w:szCs w:val="20"/>
        </w:rPr>
        <w:t xml:space="preserve">Revised Remediation Date: must not exceed 90 calendar days from original detection date.</w:t>
      </w:r>
    </w:p>
    <w:p>
      <w:pPr>
        <w:pStyle w:val="ListParagraph"/>
        <w:numPr>
          <w:ilvl w:val="0"/>
          <w:numId w:val="3"/>
        </w:numPr>
      </w:pPr>
      <w:r>
        <w:rPr>
          <w:rFonts w:ascii="Arial" w:cs="Arial" w:eastAsia="Arial" w:hAnsi="Arial"/>
          <w:b w:val="false"/>
          <w:bCs w:val="false"/>
          <w:i w:val="false"/>
          <w:iCs w:val="false"/>
          <w:color w:val="333333"/>
          <w:sz w:val="20"/>
          <w:szCs w:val="20"/>
        </w:rPr>
        <w:t xml:space="preserve">Blast Radius Assessment: Orca attack-path context showing residual risk with compensating control in place.</w:t>
      </w:r>
    </w:p>
    <w:p>
      <w:pPr>
        <w:pStyle w:val="ListParagraph"/>
        <w:numPr>
          <w:ilvl w:val="0"/>
          <w:numId w:val="3"/>
        </w:numPr>
      </w:pPr>
      <w:r>
        <w:rPr>
          <w:rFonts w:ascii="Arial" w:cs="Arial" w:eastAsia="Arial" w:hAnsi="Arial"/>
          <w:b w:val="false"/>
          <w:bCs w:val="false"/>
          <w:i w:val="false"/>
          <w:iCs w:val="false"/>
          <w:color w:val="333333"/>
          <w:sz w:val="20"/>
          <w:szCs w:val="20"/>
        </w:rPr>
        <w:t xml:space="preserve">Approval: VP-level or above for High/Critical; Director-level for Medium/Low.</w:t>
      </w:r>
    </w:p>
    <w:p>
      <w:pPr>
        <w:pStyle w:val="Heading2"/>
        <w:spacing w:after="120" w:before="240"/>
      </w:pPr>
      <w:r>
        <w:rPr>
          <w:rFonts w:ascii="Arial" w:cs="Arial" w:eastAsia="Arial" w:hAnsi="Arial"/>
          <w:b/>
          <w:bCs/>
          <w:i w:val="false"/>
          <w:iCs w:val="false"/>
          <w:color w:val="1B3A5C"/>
          <w:sz w:val="28"/>
          <w:szCs w:val="28"/>
        </w:rPr>
        <w:t xml:space="preserve">7.2 Exception Limits</w:t>
      </w:r>
    </w:p>
    <w:p>
      <w:pPr>
        <w:pStyle w:val="ListParagraph"/>
        <w:numPr>
          <w:ilvl w:val="0"/>
          <w:numId w:val="2"/>
        </w:numPr>
      </w:pPr>
      <w:r>
        <w:rPr>
          <w:rFonts w:ascii="Arial" w:cs="Arial" w:eastAsia="Arial" w:hAnsi="Arial"/>
          <w:b w:val="false"/>
          <w:bCs w:val="false"/>
          <w:i w:val="false"/>
          <w:iCs w:val="false"/>
          <w:color w:val="333333"/>
          <w:sz w:val="20"/>
          <w:szCs w:val="20"/>
        </w:rPr>
        <w:t xml:space="preserve">Critical-severity exceptions: maximum 1 renewal (90-day hard cap from detection).</w:t>
      </w:r>
    </w:p>
    <w:p>
      <w:pPr>
        <w:pStyle w:val="ListParagraph"/>
        <w:numPr>
          <w:ilvl w:val="0"/>
          <w:numId w:val="2"/>
        </w:numPr>
      </w:pPr>
      <w:r>
        <w:rPr>
          <w:rFonts w:ascii="Arial" w:cs="Arial" w:eastAsia="Arial" w:hAnsi="Arial"/>
          <w:b w:val="false"/>
          <w:bCs w:val="false"/>
          <w:i w:val="false"/>
          <w:iCs w:val="false"/>
          <w:color w:val="333333"/>
          <w:sz w:val="20"/>
          <w:szCs w:val="20"/>
        </w:rPr>
        <w:t xml:space="preserve">No exceptions permitted for vulnerabilities with confirmed active exploitation (CISA KEV catalog).</w:t>
      </w:r>
    </w:p>
    <w:p>
      <w:pPr>
        <w:pStyle w:val="ListParagraph"/>
        <w:numPr>
          <w:ilvl w:val="0"/>
          <w:numId w:val="2"/>
        </w:numPr>
      </w:pPr>
      <w:r>
        <w:rPr>
          <w:rFonts w:ascii="Arial" w:cs="Arial" w:eastAsia="Arial" w:hAnsi="Arial"/>
          <w:b w:val="false"/>
          <w:bCs w:val="false"/>
          <w:i w:val="false"/>
          <w:iCs w:val="false"/>
          <w:color w:val="333333"/>
          <w:sz w:val="20"/>
          <w:szCs w:val="20"/>
        </w:rPr>
        <w:t xml:space="preserve">Total exception inventory may not exceed 5% of total open vulnerability count at any point.</w:t>
      </w:r>
    </w:p>
    <w:p>
      <w:pPr>
        <w:pStyle w:val="Heading1"/>
        <w:spacing w:after="120" w:before="360"/>
      </w:pPr>
      <w:r>
        <w:rPr>
          <w:rFonts w:ascii="Arial" w:cs="Arial" w:eastAsia="Arial" w:hAnsi="Arial"/>
          <w:b/>
          <w:bCs/>
          <w:i w:val="false"/>
          <w:iCs w:val="false"/>
          <w:color w:val="1B3A5C"/>
          <w:sz w:val="32"/>
          <w:szCs w:val="32"/>
        </w:rPr>
        <w:t xml:space="preserve">8. Key Performance Indicators</w:t>
      </w:r>
    </w:p>
    <w:p>
      <w:pPr>
        <w:spacing w:after="60" w:before="60"/>
        <w:jc w:val="left"/>
      </w:pPr>
      <w:r>
        <w:rPr>
          <w:rFonts w:ascii="Arial" w:cs="Arial" w:eastAsia="Arial" w:hAnsi="Arial"/>
          <w:b w:val="false"/>
          <w:bCs w:val="false"/>
          <w:i w:val="false"/>
          <w:iCs w:val="false"/>
          <w:color w:val="333333"/>
          <w:sz w:val="22"/>
          <w:szCs w:val="22"/>
        </w:rPr>
        <w:t xml:space="preserve">The following KPIs are tracked weekly by the SOC and reported monthly to the CISO and executive leadership via the Orca Executive Dashboard.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KPI</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Measurement</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Target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Mean Time to Remediate (MTTR)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By severity tier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 SLA target per tier</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SLA Compliance Rate</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 tickets closed within SLA</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 95%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Exception Rate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 tickets requiring RER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 5%</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Reopen Rate</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 tickets reopened after closure</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Acknowledgment Compliance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 alerts acknowledged within ack window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 98%</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Aged Vulnerability Count</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Open vulns past SLA (rolling snapshot)</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Trending to zero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333333"/>
                <w:sz w:val="19"/>
                <w:szCs w:val="19"/>
              </w:rPr>
              <w:t xml:space="preserve">Attack Path Reduction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Count of Orca attack paths with exploitable CVEs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333333"/>
                <w:sz w:val="19"/>
                <w:szCs w:val="19"/>
              </w:rPr>
              <w:t xml:space="preserve">Quarter-over-quarter decrease</w:t>
            </w:r>
          </w:p>
        </w:tc>
      </w:tr>
    </w:tbl>
    <w:p>
      <w:pPr>
        <w:pStyle w:val="Heading1"/>
        <w:spacing w:after="120" w:before="360"/>
      </w:pPr>
      <w:r>
        <w:rPr>
          <w:rFonts w:ascii="Arial" w:cs="Arial" w:eastAsia="Arial" w:hAnsi="Arial"/>
          <w:b/>
          <w:bCs/>
          <w:i w:val="false"/>
          <w:iCs w:val="false"/>
          <w:color w:val="1B3A5C"/>
          <w:sz w:val="32"/>
          <w:szCs w:val="32"/>
        </w:rPr>
        <w:t xml:space="preserve">9. Remediation Playbooks by Finding Type</w:t>
      </w:r>
    </w:p>
    <w:p>
      <w:pPr>
        <w:spacing w:after="60" w:before="60"/>
        <w:jc w:val="left"/>
      </w:pPr>
      <w:r>
        <w:rPr>
          <w:rFonts w:ascii="Arial" w:cs="Arial" w:eastAsia="Arial" w:hAnsi="Arial"/>
          <w:b w:val="false"/>
          <w:bCs w:val="false"/>
          <w:i w:val="false"/>
          <w:iCs w:val="false"/>
          <w:color w:val="333333"/>
          <w:sz w:val="22"/>
          <w:szCs w:val="22"/>
        </w:rPr>
        <w:t xml:space="preserve">The following playbooks provide standardized remediation actions for the most common Orca finding categories.</w:t>
      </w:r>
    </w:p>
    <w:p>
      <w:pPr>
        <w:spacing w:after="0" w:before="80"/>
      </w:pPr>
    </w:p>
    <w:p>
      <w:pPr>
        <w:pStyle w:val="Heading2"/>
        <w:spacing w:after="120" w:before="240"/>
      </w:pPr>
      <w:r>
        <w:rPr>
          <w:rFonts w:ascii="Arial" w:cs="Arial" w:eastAsia="Arial" w:hAnsi="Arial"/>
          <w:b/>
          <w:bCs/>
          <w:i w:val="false"/>
          <w:iCs w:val="false"/>
          <w:color w:val="1B3A5C"/>
          <w:sz w:val="28"/>
          <w:szCs w:val="28"/>
        </w:rPr>
        <w:t xml:space="preserve">9.1 OS / Package Vulnerabilities (CVE-based)</w:t>
      </w:r>
    </w:p>
    <w:p>
      <w:pPr>
        <w:pStyle w:val="ListParagraph"/>
        <w:numPr>
          <w:ilvl w:val="0"/>
          <w:numId w:val="2"/>
        </w:numPr>
      </w:pPr>
      <w:r>
        <w:rPr>
          <w:rFonts w:ascii="Arial" w:cs="Arial" w:eastAsia="Arial" w:hAnsi="Arial"/>
          <w:b w:val="false"/>
          <w:bCs w:val="false"/>
          <w:i w:val="false"/>
          <w:iCs w:val="false"/>
          <w:color w:val="333333"/>
          <w:sz w:val="20"/>
          <w:szCs w:val="20"/>
        </w:rPr>
        <w:t xml:space="preserve">Apply vendor-provided patch or upgrade package to the fixed version identified in the Orca alert.</w:t>
      </w:r>
    </w:p>
    <w:p>
      <w:pPr>
        <w:pStyle w:val="ListParagraph"/>
        <w:numPr>
          <w:ilvl w:val="0"/>
          <w:numId w:val="2"/>
        </w:numPr>
      </w:pPr>
      <w:r>
        <w:rPr>
          <w:rFonts w:ascii="Arial" w:cs="Arial" w:eastAsia="Arial" w:hAnsi="Arial"/>
          <w:b w:val="false"/>
          <w:bCs w:val="false"/>
          <w:i w:val="false"/>
          <w:iCs w:val="false"/>
          <w:color w:val="333333"/>
          <w:sz w:val="20"/>
          <w:szCs w:val="20"/>
        </w:rPr>
        <w:t xml:space="preserve">For immutable workloads (containers, AMIs): rebuild the image from an updated base, push to registry, and redeploy.</w:t>
      </w:r>
    </w:p>
    <w:p>
      <w:pPr>
        <w:pStyle w:val="ListParagraph"/>
        <w:numPr>
          <w:ilvl w:val="0"/>
          <w:numId w:val="2"/>
        </w:numPr>
      </w:pPr>
      <w:r>
        <w:rPr>
          <w:rFonts w:ascii="Arial" w:cs="Arial" w:eastAsia="Arial" w:hAnsi="Arial"/>
          <w:b w:val="false"/>
          <w:bCs w:val="false"/>
          <w:i w:val="false"/>
          <w:iCs w:val="false"/>
          <w:color w:val="333333"/>
          <w:sz w:val="20"/>
          <w:szCs w:val="20"/>
        </w:rPr>
        <w:t xml:space="preserve">If no patch exists: apply compensating control (network isolation, WAF virtual patch) and file RER.</w:t>
      </w:r>
    </w:p>
    <w:p>
      <w:pPr>
        <w:pStyle w:val="Heading2"/>
        <w:spacing w:after="120" w:before="240"/>
      </w:pPr>
      <w:r>
        <w:rPr>
          <w:rFonts w:ascii="Arial" w:cs="Arial" w:eastAsia="Arial" w:hAnsi="Arial"/>
          <w:b/>
          <w:bCs/>
          <w:i w:val="false"/>
          <w:iCs w:val="false"/>
          <w:color w:val="1B3A5C"/>
          <w:sz w:val="28"/>
          <w:szCs w:val="28"/>
        </w:rPr>
        <w:t xml:space="preserve">9.2 Container Image Vulnerabilities</w:t>
      </w:r>
    </w:p>
    <w:p>
      <w:pPr>
        <w:pStyle w:val="ListParagraph"/>
        <w:numPr>
          <w:ilvl w:val="0"/>
          <w:numId w:val="2"/>
        </w:numPr>
      </w:pPr>
      <w:r>
        <w:rPr>
          <w:rFonts w:ascii="Arial" w:cs="Arial" w:eastAsia="Arial" w:hAnsi="Arial"/>
          <w:b w:val="false"/>
          <w:bCs w:val="false"/>
          <w:i w:val="false"/>
          <w:iCs w:val="false"/>
          <w:color w:val="333333"/>
          <w:sz w:val="20"/>
          <w:szCs w:val="20"/>
        </w:rPr>
        <w:t xml:space="preserve">Update the base image to the latest patched version (e.g., alpine:3.19, ubuntu:24.04).</w:t>
      </w:r>
    </w:p>
    <w:p>
      <w:pPr>
        <w:pStyle w:val="ListParagraph"/>
        <w:numPr>
          <w:ilvl w:val="0"/>
          <w:numId w:val="2"/>
        </w:numPr>
      </w:pPr>
      <w:r>
        <w:rPr>
          <w:rFonts w:ascii="Arial" w:cs="Arial" w:eastAsia="Arial" w:hAnsi="Arial"/>
          <w:b w:val="false"/>
          <w:bCs w:val="false"/>
          <w:i w:val="false"/>
          <w:iCs w:val="false"/>
          <w:color w:val="333333"/>
          <w:sz w:val="20"/>
          <w:szCs w:val="20"/>
        </w:rPr>
        <w:t xml:space="preserve">Pin application dependencies to non-vulnerable versions in requirements.txt / package.json / go.mod.</w:t>
      </w:r>
    </w:p>
    <w:p>
      <w:pPr>
        <w:pStyle w:val="ListParagraph"/>
        <w:numPr>
          <w:ilvl w:val="0"/>
          <w:numId w:val="2"/>
        </w:numPr>
      </w:pPr>
      <w:r>
        <w:rPr>
          <w:rFonts w:ascii="Arial" w:cs="Arial" w:eastAsia="Arial" w:hAnsi="Arial"/>
          <w:b w:val="false"/>
          <w:bCs w:val="false"/>
          <w:i w:val="false"/>
          <w:iCs w:val="false"/>
          <w:color w:val="333333"/>
          <w:sz w:val="20"/>
          <w:szCs w:val="20"/>
        </w:rPr>
        <w:t xml:space="preserve">Enable Orca shift-left scanning in CI/CD to gate deployments with CRITICAL/HIGH CVEs.</w:t>
      </w:r>
    </w:p>
    <w:p>
      <w:pPr>
        <w:pStyle w:val="Heading2"/>
        <w:spacing w:after="120" w:before="240"/>
      </w:pPr>
      <w:r>
        <w:rPr>
          <w:rFonts w:ascii="Arial" w:cs="Arial" w:eastAsia="Arial" w:hAnsi="Arial"/>
          <w:b/>
          <w:bCs/>
          <w:i w:val="false"/>
          <w:iCs w:val="false"/>
          <w:color w:val="1B3A5C"/>
          <w:sz w:val="28"/>
          <w:szCs w:val="28"/>
        </w:rPr>
        <w:t xml:space="preserve">9.3 Cloud Misconfigurations</w:t>
      </w:r>
    </w:p>
    <w:p>
      <w:pPr>
        <w:pStyle w:val="ListParagraph"/>
        <w:numPr>
          <w:ilvl w:val="0"/>
          <w:numId w:val="2"/>
        </w:numPr>
      </w:pPr>
      <w:r>
        <w:rPr>
          <w:rFonts w:ascii="Arial" w:cs="Arial" w:eastAsia="Arial" w:hAnsi="Arial"/>
          <w:b w:val="false"/>
          <w:bCs w:val="false"/>
          <w:i w:val="false"/>
          <w:iCs w:val="false"/>
          <w:color w:val="333333"/>
          <w:sz w:val="20"/>
          <w:szCs w:val="20"/>
        </w:rPr>
        <w:t xml:space="preserve">Apply the Orca-recommended configuration change (e.g., enable encryption at rest, restrict security group ingress, enable logging).</w:t>
      </w:r>
    </w:p>
    <w:p>
      <w:pPr>
        <w:pStyle w:val="ListParagraph"/>
        <w:numPr>
          <w:ilvl w:val="0"/>
          <w:numId w:val="2"/>
        </w:numPr>
      </w:pPr>
      <w:r>
        <w:rPr>
          <w:rFonts w:ascii="Arial" w:cs="Arial" w:eastAsia="Arial" w:hAnsi="Arial"/>
          <w:b w:val="false"/>
          <w:bCs w:val="false"/>
          <w:i w:val="false"/>
          <w:iCs w:val="false"/>
          <w:color w:val="333333"/>
          <w:sz w:val="20"/>
          <w:szCs w:val="20"/>
        </w:rPr>
        <w:t xml:space="preserve">Update IaC templates (Terraform/CloudFormation) to prevent drift and recurrence.</w:t>
      </w:r>
    </w:p>
    <w:p>
      <w:pPr>
        <w:pStyle w:val="ListParagraph"/>
        <w:numPr>
          <w:ilvl w:val="0"/>
          <w:numId w:val="2"/>
        </w:numPr>
      </w:pPr>
      <w:r>
        <w:rPr>
          <w:rFonts w:ascii="Arial" w:cs="Arial" w:eastAsia="Arial" w:hAnsi="Arial"/>
          <w:b w:val="false"/>
          <w:bCs w:val="false"/>
          <w:i w:val="false"/>
          <w:iCs w:val="false"/>
          <w:color w:val="333333"/>
          <w:sz w:val="20"/>
          <w:szCs w:val="20"/>
        </w:rPr>
        <w:t xml:space="preserve">For CIS benchmark failures: reference the specific CIS control ID in the remediation ticket.</w:t>
      </w:r>
    </w:p>
    <w:p>
      <w:pPr>
        <w:pStyle w:val="Heading2"/>
        <w:spacing w:after="120" w:before="240"/>
      </w:pPr>
      <w:r>
        <w:rPr>
          <w:rFonts w:ascii="Arial" w:cs="Arial" w:eastAsia="Arial" w:hAnsi="Arial"/>
          <w:b/>
          <w:bCs/>
          <w:i w:val="false"/>
          <w:iCs w:val="false"/>
          <w:color w:val="1B3A5C"/>
          <w:sz w:val="28"/>
          <w:szCs w:val="28"/>
        </w:rPr>
        <w:t xml:space="preserve">9.4 IAM &amp; Identity Risks</w:t>
      </w:r>
    </w:p>
    <w:p>
      <w:pPr>
        <w:pStyle w:val="ListParagraph"/>
        <w:numPr>
          <w:ilvl w:val="0"/>
          <w:numId w:val="2"/>
        </w:numPr>
      </w:pPr>
      <w:r>
        <w:rPr>
          <w:rFonts w:ascii="Arial" w:cs="Arial" w:eastAsia="Arial" w:hAnsi="Arial"/>
          <w:b w:val="false"/>
          <w:bCs w:val="false"/>
          <w:i w:val="false"/>
          <w:iCs w:val="false"/>
          <w:color w:val="333333"/>
          <w:sz w:val="20"/>
          <w:szCs w:val="20"/>
        </w:rPr>
        <w:t xml:space="preserve">Overprivileged roles: scope IAM policies to least privilege using Orca’s unused-permission analysis.</w:t>
      </w:r>
    </w:p>
    <w:p>
      <w:pPr>
        <w:pStyle w:val="ListParagraph"/>
        <w:numPr>
          <w:ilvl w:val="0"/>
          <w:numId w:val="2"/>
        </w:numPr>
      </w:pPr>
      <w:r>
        <w:rPr>
          <w:rFonts w:ascii="Arial" w:cs="Arial" w:eastAsia="Arial" w:hAnsi="Arial"/>
          <w:b w:val="false"/>
          <w:bCs w:val="false"/>
          <w:i w:val="false"/>
          <w:iCs w:val="false"/>
          <w:color w:val="333333"/>
          <w:sz w:val="20"/>
          <w:szCs w:val="20"/>
        </w:rPr>
        <w:t xml:space="preserve">Stale credentials: rotate or deactivate access keys older than 90 days; enforce MFA on all human identities.</w:t>
      </w:r>
    </w:p>
    <w:p>
      <w:pPr>
        <w:pStyle w:val="ListParagraph"/>
        <w:numPr>
          <w:ilvl w:val="0"/>
          <w:numId w:val="2"/>
        </w:numPr>
      </w:pPr>
      <w:r>
        <w:rPr>
          <w:rFonts w:ascii="Arial" w:cs="Arial" w:eastAsia="Arial" w:hAnsi="Arial"/>
          <w:b w:val="false"/>
          <w:bCs w:val="false"/>
          <w:i w:val="false"/>
          <w:iCs w:val="false"/>
          <w:color w:val="333333"/>
          <w:sz w:val="20"/>
          <w:szCs w:val="20"/>
        </w:rPr>
        <w:t xml:space="preserve">Cross-account trust: review and restrict AssumeRole trust policies flagged by Orca CIEM module.</w:t>
      </w:r>
    </w:p>
    <w:p>
      <w:pPr>
        <w:pStyle w:val="Heading2"/>
        <w:spacing w:after="120" w:before="240"/>
      </w:pPr>
      <w:r>
        <w:rPr>
          <w:rFonts w:ascii="Arial" w:cs="Arial" w:eastAsia="Arial" w:hAnsi="Arial"/>
          <w:b/>
          <w:bCs/>
          <w:i w:val="false"/>
          <w:iCs w:val="false"/>
          <w:color w:val="1B3A5C"/>
          <w:sz w:val="28"/>
          <w:szCs w:val="28"/>
        </w:rPr>
        <w:t xml:space="preserve">9.5 Exposed Secrets &amp; Sensitive Data</w:t>
      </w:r>
    </w:p>
    <w:p>
      <w:pPr>
        <w:pStyle w:val="ListParagraph"/>
        <w:numPr>
          <w:ilvl w:val="0"/>
          <w:numId w:val="2"/>
        </w:numPr>
      </w:pPr>
      <w:r>
        <w:rPr>
          <w:rFonts w:ascii="Arial" w:cs="Arial" w:eastAsia="Arial" w:hAnsi="Arial"/>
          <w:b w:val="false"/>
          <w:bCs w:val="false"/>
          <w:i w:val="false"/>
          <w:iCs w:val="false"/>
          <w:color w:val="333333"/>
          <w:sz w:val="20"/>
          <w:szCs w:val="20"/>
        </w:rPr>
        <w:t xml:space="preserve">Immediately rotate the exposed credential (API key, password, token, certificate).</w:t>
      </w:r>
    </w:p>
    <w:p>
      <w:pPr>
        <w:pStyle w:val="ListParagraph"/>
        <w:numPr>
          <w:ilvl w:val="0"/>
          <w:numId w:val="2"/>
        </w:numPr>
      </w:pPr>
      <w:r>
        <w:rPr>
          <w:rFonts w:ascii="Arial" w:cs="Arial" w:eastAsia="Arial" w:hAnsi="Arial"/>
          <w:b w:val="false"/>
          <w:bCs w:val="false"/>
          <w:i w:val="false"/>
          <w:iCs w:val="false"/>
          <w:color w:val="333333"/>
          <w:sz w:val="20"/>
          <w:szCs w:val="20"/>
        </w:rPr>
        <w:t xml:space="preserve">Migrate secrets to a vault solution (AWS Secrets Manager, HashiCorp Vault, Azure Key Vault).</w:t>
      </w:r>
    </w:p>
    <w:p>
      <w:pPr>
        <w:pStyle w:val="ListParagraph"/>
        <w:numPr>
          <w:ilvl w:val="0"/>
          <w:numId w:val="2"/>
        </w:numPr>
      </w:pPr>
      <w:r>
        <w:rPr>
          <w:rFonts w:ascii="Arial" w:cs="Arial" w:eastAsia="Arial" w:hAnsi="Arial"/>
          <w:b w:val="false"/>
          <w:bCs w:val="false"/>
          <w:i w:val="false"/>
          <w:iCs w:val="false"/>
          <w:color w:val="333333"/>
          <w:sz w:val="20"/>
          <w:szCs w:val="20"/>
        </w:rPr>
        <w:t xml:space="preserve">For sensitive data exposure (PII, PHI, PCI): engage the Data Privacy team and assess breach notification requirements.</w:t>
      </w:r>
    </w:p>
    <w:p>
      <w:pPr>
        <w:pStyle w:val="Heading2"/>
        <w:spacing w:after="120" w:before="240"/>
      </w:pPr>
      <w:r>
        <w:rPr>
          <w:rFonts w:ascii="Arial" w:cs="Arial" w:eastAsia="Arial" w:hAnsi="Arial"/>
          <w:b/>
          <w:bCs/>
          <w:i w:val="false"/>
          <w:iCs w:val="false"/>
          <w:color w:val="1B3A5C"/>
          <w:sz w:val="28"/>
          <w:szCs w:val="28"/>
        </w:rPr>
        <w:t xml:space="preserve">9.6 Lateral Movement &amp; Attack Paths</w:t>
      </w:r>
    </w:p>
    <w:p>
      <w:pPr>
        <w:pStyle w:val="ListParagraph"/>
        <w:numPr>
          <w:ilvl w:val="0"/>
          <w:numId w:val="2"/>
        </w:numPr>
      </w:pPr>
      <w:r>
        <w:rPr>
          <w:rFonts w:ascii="Arial" w:cs="Arial" w:eastAsia="Arial" w:hAnsi="Arial"/>
          <w:b w:val="false"/>
          <w:bCs w:val="false"/>
          <w:i w:val="false"/>
          <w:iCs w:val="false"/>
          <w:color w:val="333333"/>
          <w:sz w:val="20"/>
          <w:szCs w:val="20"/>
        </w:rPr>
        <w:t xml:space="preserve">Break the attack path at the most impactful node: patch the CVE, restrict the network path, or revoke the IAM permission.</w:t>
      </w:r>
    </w:p>
    <w:p>
      <w:pPr>
        <w:pStyle w:val="ListParagraph"/>
        <w:numPr>
          <w:ilvl w:val="0"/>
          <w:numId w:val="2"/>
        </w:numPr>
      </w:pPr>
      <w:r>
        <w:rPr>
          <w:rFonts w:ascii="Arial" w:cs="Arial" w:eastAsia="Arial" w:hAnsi="Arial"/>
          <w:b w:val="false"/>
          <w:bCs w:val="false"/>
          <w:i w:val="false"/>
          <w:iCs w:val="false"/>
          <w:color w:val="333333"/>
          <w:sz w:val="20"/>
          <w:szCs w:val="20"/>
        </w:rPr>
        <w:t xml:space="preserve">Prioritize attack paths that terminate at crown-jewel assets (databases, key management, CI/CD).</w:t>
      </w:r>
    </w:p>
    <w:p>
      <w:pPr>
        <w:pStyle w:val="ListParagraph"/>
        <w:numPr>
          <w:ilvl w:val="0"/>
          <w:numId w:val="2"/>
        </w:numPr>
      </w:pPr>
      <w:r>
        <w:rPr>
          <w:rFonts w:ascii="Arial" w:cs="Arial" w:eastAsia="Arial" w:hAnsi="Arial"/>
          <w:b w:val="false"/>
          <w:bCs w:val="false"/>
          <w:i w:val="false"/>
          <w:iCs w:val="false"/>
          <w:color w:val="333333"/>
          <w:sz w:val="20"/>
          <w:szCs w:val="20"/>
        </w:rPr>
        <w:t xml:space="preserve">Use Orca’s attack path visualization to validate the path is broken after remediation.</w:t>
      </w:r>
    </w:p>
    <w:p>
      <w:pPr>
        <w:pStyle w:val="Heading1"/>
        <w:spacing w:after="120" w:before="360"/>
      </w:pPr>
      <w:r>
        <w:rPr>
          <w:rFonts w:ascii="Arial" w:cs="Arial" w:eastAsia="Arial" w:hAnsi="Arial"/>
          <w:b/>
          <w:bCs/>
          <w:i w:val="false"/>
          <w:iCs w:val="false"/>
          <w:color w:val="1B3A5C"/>
          <w:sz w:val="32"/>
          <w:szCs w:val="32"/>
        </w:rPr>
        <w:t xml:space="preserve">10. Governance &amp; Review</w:t>
      </w:r>
    </w:p>
    <w:p>
      <w:pPr>
        <w:spacing w:after="0" w:before="80"/>
      </w:pPr>
    </w:p>
    <w:p>
      <w:pPr>
        <w:pStyle w:val="Heading2"/>
        <w:spacing w:after="120" w:before="240"/>
      </w:pPr>
      <w:r>
        <w:rPr>
          <w:rFonts w:ascii="Arial" w:cs="Arial" w:eastAsia="Arial" w:hAnsi="Arial"/>
          <w:b/>
          <w:bCs/>
          <w:i w:val="false"/>
          <w:iCs w:val="false"/>
          <w:color w:val="1B3A5C"/>
          <w:sz w:val="28"/>
          <w:szCs w:val="28"/>
        </w:rPr>
        <w:t xml:space="preserve">10.1 Reporting Cadence</w:t>
      </w:r>
    </w:p>
    <w:p>
      <w:pPr>
        <w:pStyle w:val="ListParagraph"/>
        <w:numPr>
          <w:ilvl w:val="0"/>
          <w:numId w:val="2"/>
        </w:numPr>
      </w:pPr>
      <w:r>
        <w:rPr>
          <w:rFonts w:ascii="Arial" w:cs="Arial" w:eastAsia="Arial" w:hAnsi="Arial"/>
          <w:b w:val="false"/>
          <w:bCs w:val="false"/>
          <w:i w:val="false"/>
          <w:iCs w:val="false"/>
          <w:color w:val="333333"/>
          <w:sz w:val="20"/>
          <w:szCs w:val="20"/>
        </w:rPr>
        <w:t xml:space="preserve">Weekly: SOC publishes SLA compliance dashboard to Security and Engineering leads.</w:t>
      </w:r>
    </w:p>
    <w:p>
      <w:pPr>
        <w:pStyle w:val="ListParagraph"/>
        <w:numPr>
          <w:ilvl w:val="0"/>
          <w:numId w:val="2"/>
        </w:numPr>
      </w:pPr>
      <w:r>
        <w:rPr>
          <w:rFonts w:ascii="Arial" w:cs="Arial" w:eastAsia="Arial" w:hAnsi="Arial"/>
          <w:b w:val="false"/>
          <w:bCs w:val="false"/>
          <w:i w:val="false"/>
          <w:iCs w:val="false"/>
          <w:color w:val="333333"/>
          <w:sz w:val="20"/>
          <w:szCs w:val="20"/>
        </w:rPr>
        <w:t xml:space="preserve">Monthly: CISO reviews MTTR trends, exception inventory, and aged-vulnerability backlog with VP Engineering.</w:t>
      </w:r>
    </w:p>
    <w:p>
      <w:pPr>
        <w:pStyle w:val="ListParagraph"/>
        <w:numPr>
          <w:ilvl w:val="0"/>
          <w:numId w:val="2"/>
        </w:numPr>
      </w:pPr>
      <w:r>
        <w:rPr>
          <w:rFonts w:ascii="Arial" w:cs="Arial" w:eastAsia="Arial" w:hAnsi="Arial"/>
          <w:b w:val="false"/>
          <w:bCs w:val="false"/>
          <w:i w:val="false"/>
          <w:iCs w:val="false"/>
          <w:color w:val="333333"/>
          <w:sz w:val="20"/>
          <w:szCs w:val="20"/>
        </w:rPr>
        <w:t xml:space="preserve">Quarterly: Full vulnerability management program review with executive leadership; SLA thresholds re-evaluated.</w:t>
      </w:r>
    </w:p>
    <w:p>
      <w:pPr>
        <w:pStyle w:val="Heading2"/>
        <w:spacing w:after="120" w:before="240"/>
      </w:pPr>
      <w:r>
        <w:rPr>
          <w:rFonts w:ascii="Arial" w:cs="Arial" w:eastAsia="Arial" w:hAnsi="Arial"/>
          <w:b/>
          <w:bCs/>
          <w:i w:val="false"/>
          <w:iCs w:val="false"/>
          <w:color w:val="1B3A5C"/>
          <w:sz w:val="28"/>
          <w:szCs w:val="28"/>
        </w:rPr>
        <w:t xml:space="preserve">10.2 Procedure Review</w:t>
      </w:r>
    </w:p>
    <w:p>
      <w:pPr>
        <w:pStyle w:val="ListParagraph"/>
        <w:numPr>
          <w:ilvl w:val="0"/>
          <w:numId w:val="2"/>
        </w:numPr>
      </w:pPr>
      <w:r>
        <w:rPr>
          <w:rFonts w:ascii="Arial" w:cs="Arial" w:eastAsia="Arial" w:hAnsi="Arial"/>
          <w:b w:val="false"/>
          <w:bCs w:val="false"/>
          <w:i w:val="false"/>
          <w:iCs w:val="false"/>
          <w:color w:val="333333"/>
          <w:sz w:val="20"/>
          <w:szCs w:val="20"/>
        </w:rPr>
        <w:t xml:space="preserve">This procedure is reviewed and updated annually, or upon: major Orca platform updates, significant changes to cloud architecture, post-incident lessons learned, or regulatory/compliance requirement changes.</w:t>
      </w:r>
    </w:p>
    <w:p>
      <w:pPr>
        <w:pStyle w:val="ListParagraph"/>
        <w:numPr>
          <w:ilvl w:val="0"/>
          <w:numId w:val="2"/>
        </w:numPr>
      </w:pPr>
      <w:r>
        <w:rPr>
          <w:rFonts w:ascii="Arial" w:cs="Arial" w:eastAsia="Arial" w:hAnsi="Arial"/>
          <w:b w:val="false"/>
          <w:bCs w:val="false"/>
          <w:i w:val="false"/>
          <w:iCs w:val="false"/>
          <w:color w:val="333333"/>
          <w:sz w:val="20"/>
          <w:szCs w:val="20"/>
        </w:rPr>
        <w:t xml:space="preserve">All revisions require approval from the CISO and VP of Cloud Engineering.</w:t>
      </w:r>
    </w:p>
    <w:p>
      <w:pPr>
        <w:pStyle w:val="Heading2"/>
        <w:spacing w:after="120" w:before="240"/>
      </w:pPr>
      <w:r>
        <w:rPr>
          <w:rFonts w:ascii="Arial" w:cs="Arial" w:eastAsia="Arial" w:hAnsi="Arial"/>
          <w:b/>
          <w:bCs/>
          <w:i w:val="false"/>
          <w:iCs w:val="false"/>
          <w:color w:val="1B3A5C"/>
          <w:sz w:val="28"/>
          <w:szCs w:val="28"/>
        </w:rPr>
        <w:t xml:space="preserve">10.3 Training Requirements</w:t>
      </w:r>
    </w:p>
    <w:p>
      <w:pPr>
        <w:pStyle w:val="ListParagraph"/>
        <w:numPr>
          <w:ilvl w:val="0"/>
          <w:numId w:val="2"/>
        </w:numPr>
      </w:pPr>
      <w:r>
        <w:rPr>
          <w:rFonts w:ascii="Arial" w:cs="Arial" w:eastAsia="Arial" w:hAnsi="Arial"/>
          <w:b w:val="false"/>
          <w:bCs w:val="false"/>
          <w:i w:val="false"/>
          <w:iCs w:val="false"/>
          <w:color w:val="333333"/>
          <w:sz w:val="20"/>
          <w:szCs w:val="20"/>
        </w:rPr>
        <w:t xml:space="preserve">All SOC, Cloud Engineering, and DevOps team members must complete Orca platform training within 30 days of onboarding.</w:t>
      </w:r>
    </w:p>
    <w:p>
      <w:pPr>
        <w:pStyle w:val="ListParagraph"/>
        <w:numPr>
          <w:ilvl w:val="0"/>
          <w:numId w:val="2"/>
        </w:numPr>
      </w:pPr>
      <w:r>
        <w:rPr>
          <w:rFonts w:ascii="Arial" w:cs="Arial" w:eastAsia="Arial" w:hAnsi="Arial"/>
          <w:b w:val="false"/>
          <w:bCs w:val="false"/>
          <w:i w:val="false"/>
          <w:iCs w:val="false"/>
          <w:color w:val="333333"/>
          <w:sz w:val="20"/>
          <w:szCs w:val="20"/>
        </w:rPr>
        <w:t xml:space="preserve">Annual refresher training on this remediation procedure is mandatory for all personnel with vulnerability remediation responsibilities.</w:t>
      </w:r>
    </w:p>
    <w:p>
      <w:pPr>
        <w:spacing w:after="0" w:before="320"/>
      </w:pPr>
    </w:p>
    <w:p>
      <w:pPr>
        <w:pBdr>
          <w:bottom w:val="single" w:color="2E75B6" w:sz="4" w:space="1"/>
        </w:pBdr>
        <w:spacing w:after="120" w:before="120"/>
      </w:pPr>
    </w:p>
    <w:p>
      <w:pPr>
        <w:spacing w:after="60" w:before="60"/>
        <w:jc w:val="left"/>
      </w:pPr>
      <w:r>
        <w:rPr>
          <w:rFonts w:ascii="Arial" w:cs="Arial" w:eastAsia="Arial" w:hAnsi="Arial"/>
          <w:b w:val="false"/>
          <w:bCs w:val="false"/>
          <w:i/>
          <w:iCs/>
          <w:color w:val="999999"/>
          <w:sz w:val="17"/>
          <w:szCs w:val="17"/>
        </w:rPr>
        <w:t xml:space="preserve">Orca Security Vulnerability Remediation Procedure Plan — v1.0 — May 2026 — Internal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jc w:val="center"/>
    </w:pPr>
    <w:r>
      <w:rPr>
        <w:rFonts w:ascii="Arial" w:cs="Arial" w:eastAsia="Arial" w:hAnsi="Arial"/>
        <w:b w:val="false"/>
        <w:bCs w:val="false"/>
        <w:i w:val="false"/>
        <w:iCs w:val="false"/>
        <w:color w:val="666666"/>
        <w:sz w:val="16"/>
        <w:szCs w:val="16"/>
      </w:rPr>
      <w:t xml:space="preserve">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b w:val="false"/>
        <w:bCs w:val="false"/>
        <w:i/>
        <w:iCs/>
        <w:color w:val="666666"/>
        <w:sz w:val="16"/>
        <w:szCs w:val="16"/>
      </w:rPr>
      <w:t xml:space="preserve">Orca Security — Vulnerability Remediation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2026-05-11T14:28:49.409Z</dcterms:created>
  <dcterms:modified xsi:type="dcterms:W3CDTF">2026-05-11T14:28:49.409Z</dcterms:modified>
</cp:coreProperties>
</file>

<file path=docProps/custom.xml><?xml version="1.0" encoding="utf-8"?>
<Properties xmlns="http://schemas.openxmlformats.org/officeDocument/2006/custom-properties" xmlns:vt="http://schemas.openxmlformats.org/officeDocument/2006/docPropsVTypes"/>
</file>