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pPr>
        <ns0:pStyle ns0:val="FirstParagraph"/>
      </ns0:pPr>
      <ns0:r>
        <ns0:drawing>
          <ns1:inline>
            <ns1:extent cx="5334000" cy="3162170"/>
            <ns1:effectExtent b="0" l="0" r="0" t="0"/>
            <ns1:docPr descr="" title="" id="10" name="Picture"/>
            <ns2:graphic>
              <ns2:graphicData uri="http://schemas.openxmlformats.org/drawingml/2006/picture">
                <ns3:pic>
                  <ns3:nvPicPr>
                    <ns3:cNvPr descr="regulation_update_chart.png" id="11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9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16217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ns0:drawing>
      </ns0:r>
    </ns0:p>
    <ns0:p>
      <ns0:pPr>
        <ns0:pStyle ns0:val="BodyText"/>
        <ns0:jc ns0:val="center"/>
      </ns0:pPr>
      <ns0:r>
        <ns0:t xml:space="preserve">Regulation Update Chart</ns0:t>
        <ns0:rPr>
          <ns0:color ns0:val="000000"/>
        </ns0:rPr>
      </ns0:r>
    </ns0:p>
    <ns0:bookmarkStart ns0:id="12" ns0:name="policy-table"/>
    <ns0:p>
      <ns0:pPr>
        <ns0:pStyle ns0:val="Heading2"/>
      </ns0:pPr>
      <ns0:r>
        <ns0:t xml:space="preserve">Policy Table</ns0:t>
      </ns0:r>
    </ns0:p>
    <ns0:tbl>
      <ns0:tblPr>
        <ns0:tblStyle ns0:val="Table"/>
        <ns0:tblW ns0:type="pct" ns0:w="5000"/>
        <ns0:tblLayout ns0:type="fixed"/>
        <ns0:tblLook ns0:firstRow="1" ns0:lastRow="0" ns0:firstColumn="0" ns0:lastColumn="0" ns0:noHBand="0" ns0:noVBand="0" ns0:val="0020"/>
        <ns0:tblBorders>
          <ns0:top ns0:val="single" ns0:sz="12" ns0:color="000000"/>
          <ns0:bottom ns0:val="single" ns0:sz="12" ns0:color="000000"/>
          <ns0:left ns0:val="nil"/>
          <ns0:right ns0:val="nil"/>
          <ns0:insideV ns0:val="nil"/>
          <ns0:insideH ns0:val="nil"/>
        </ns0:tblBorders>
      </ns0:tblPr>
      <ns0:tblGrid>
        <ns0:gridCol ns0:w="1320"/>
        <ns0:gridCol ns0:w="1320"/>
        <ns0:gridCol ns0:w="1320"/>
        <ns0:gridCol ns0:w="1320"/>
        <ns0:gridCol ns0:w="1320"/>
        <ns0:gridCol ns0:w="1320"/>
      </ns0:tblGrid>
      <ns0:tr>
        <ns0:trPr>
          <ns0:tblHeader ns0:val="on"/>
        </ns0:trPr>
        <ns0:tc>
          <ns0:tcPr>
            <ns0:tcBorders>
              <ns0:bottom ns0:val="single" ns0:sz="12" ns0:color="000000"/>
            </ns0:tcBorders>
          </ns0:tcPr>
          <ns0:p>
            <ns0:pPr>
              <ns0:pStyle ns0:val="Compact"/>
            </ns0:pPr>
            <ns0:r>
              <ns0:t xml:space="preserve">Indicator</ns0:t>
            </ns0:r>
          </ns0:p>
        </ns0:tc>
        <ns0:tc>
          <ns0:tcPr>
            <ns0:tcBorders>
              <ns0:bottom ns0:val="single" ns0:sz="12" ns0:color="000000"/>
            </ns0:tcBorders>
          </ns0:tcPr>
          <ns0:p>
            <ns0:pPr>
              <ns0:pStyle ns0:val="Compact"/>
            </ns0:pPr>
            <ns0:r>
              <ns0:rPr>
                <ns0:rFonts ns0:hint="eastAsia"/>
              </ns0:rPr>
              <ns0:t xml:space="preserve">政策名称</ns0:t>
            </ns0:r>
          </ns0:p>
        </ns0:tc>
        <ns0:tc>
          <ns0:tcPr>
            <ns0:tcBorders>
              <ns0:bottom ns0:val="single" ns0:sz="12" ns0:color="000000"/>
            </ns0:tcBorders>
          </ns0:tcPr>
          <ns0:p>
            <ns0:pPr>
              <ns0:pStyle ns0:val="Compact"/>
            </ns0:pPr>
            <ns0:r>
              <ns0:rPr>
                <ns0:rFonts ns0:hint="eastAsia"/>
              </ns0:rPr>
              <ns0:t xml:space="preserve">内容概要/链接</ns0:t>
            </ns0:r>
          </ns0:p>
        </ns0:tc>
        <ns0:tc>
          <ns0:tcPr>
            <ns0:tcBorders>
              <ns0:bottom ns0:val="single" ns0:sz="12" ns0:color="000000"/>
            </ns0:tcBorders>
          </ns0:tcPr>
          <ns0:p>
            <ns0:pPr>
              <ns0:pStyle ns0:val="Compact"/>
            </ns0:pPr>
            <ns0:r>
              <ns0:rPr>
                <ns0:rFonts ns0:hint="eastAsia"/>
              </ns0:rPr>
              <ns0:t xml:space="preserve">适用产品</ns0:t>
            </ns0:r>
          </ns0:p>
        </ns0:tc>
        <ns0:tc>
          <ns0:tcPr>
            <ns0:tcBorders>
              <ns0:bottom ns0:val="single" ns0:sz="12" ns0:color="000000"/>
            </ns0:tcBorders>
          </ns0:tcPr>
          <ns0:p>
            <ns0:pPr>
              <ns0:pStyle ns0:val="Compact"/>
            </ns0:pPr>
            <ns0:r>
              <ns0:rPr>
                <ns0:rFonts ns0:hint="eastAsia"/>
              </ns0:rPr>
              <ns0:t xml:space="preserve">适用行业</ns0:t>
            </ns0:r>
          </ns0:p>
        </ns0:tc>
        <ns0:tc>
          <ns0:tcPr>
            <ns0:tcBorders>
              <ns0:bottom ns0:val="single" ns0:sz="12" ns0:color="000000"/>
            </ns0:tcBorders>
          </ns0:tcPr>
          <ns0:p>
            <ns0:pPr>
              <ns0:pStyle ns0:val="Compact"/>
            </ns0:pPr>
            <ns0:r>
              <ns0:rPr>
                <ns0:rFonts ns0:hint="eastAsia"/>
              </ns0:rPr>
              <ns0:t xml:space="preserve">实施日期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加快电力装备绿色低碳创新发展行动计划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加快电力装备低碳创新，</ns0:t>
            </ns0:r>
            <ns0:r>
              <ns0:rPr>
                <ns0:rFonts ns0:hint="eastAsia"/>
                <ns0:b/>
                <ns0:bCs/>
              </ns0:rPr>
              <ns0:t xml:space="preserve">5-8年</ns0:t>
            </ns0:r>
            <ns0:r>
              <ns0:rPr>
                <ns0:rFonts ns0:hint="eastAsia"/>
              </ns0:rPr>
              <ns0:t xml:space="preserve">优化供给结构。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Programmable Logic Controller, Power Supply, Controller Contactor, Thyristor Switch And Controller, Residual Current Operated Circuit-breaker with Integral Overcurrent Protection (RCBO), (+1)</ns0:t>
            </ns0:r>
          </ns0:p>
        </ns0:tc>
        <ns0:tc>
          <ns0:tcPr/>
          <ns0:p>
            <ns0:pPr>
              <ns0:pStyle ns0:val="Compact"/>
            </ns0:pPr>
            <ns0:r>
              <ns0:t xml:space="preserve">Utilities, PowerOEM, Industrial, Commercialbuilding, Residential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2022-08-24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Energy Efficiency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绿色高效制冷行动方案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推进绿色高效制冷，</ns0:t>
            </ns0:r>
            <ns0:r>
              <ns0:rPr>
                <ns0:rFonts ns0:hint="eastAsia"/>
                <ns0:b/>
                <ns0:bCs/>
              </ns0:rPr>
              <ns0:t xml:space="preserve">降低能耗排放</ns0:t>
            </ns0:r>
            <ns0:r>
              <ns0:rPr>
                <ns0:rFonts ns0:hint="eastAsia"/>
              </ns0:rPr>
              <ns0:t xml:space="preserve">提升行业水平。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Chillers And Cooling Systems, Cooling Close To Heat Source</ns0:t>
            </ns0:r>
          </ns0:p>
        </ns0:tc>
        <ns0:tc>
          <ns0:tcPr/>
          <ns0:p>
            <ns0:pPr>
              <ns0:pStyle ns0:val="Compact"/>
            </ns0:pPr>
            <ns0:r>
              <ns0:t xml:space="preserve">Building, Datacenter, Commercialbuilding, Other:HVAC/HOIST</ns0:t>
            </ns0:r>
          </ns0:p>
        </ns0:tc>
        <ns0:tc>
          <ns0:tcPr/>
          <ns0:p>
            <ns0:pPr>
              <ns0:pStyle ns0:val="Compact"/>
            </ns0:pPr>
            <ns0:r>
              <ns0:t xml:space="preserve">2019-06-13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Recirculation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智能光伏试点示范活动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开展智能光伏试点，</ns0:t>
            </ns0:r>
            <ns0:r>
              <ns0:rPr>
                <ns0:rFonts ns0:hint="eastAsia"/>
                <ns0:b/>
                <ns0:bCs/>
              </ns0:rPr>
              <ns0:t xml:space="preserve">促进光伏与信息技术融合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Newenergy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2022-11-08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Others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关于深化电子电器行业管理制度改革的意见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改革电子电器管理制度，</ns0:t>
            </ns0:r>
            <ns0:r>
              <ns0:rPr>
                <ns0:rFonts ns0:hint="eastAsia"/>
                <ns0:b/>
                <ns0:bCs/>
              </ns0:rPr>
              <ns0:t xml:space="preserve">优化准入流通</ns0:t>
            </ns0:r>
            <ns0:r>
              <ns0:rPr>
                <ns0:rFonts ns0:hint="eastAsia"/>
              </ns0:rPr>
              <ns0:t xml:space="preserve">强化监管。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Electronicindustry, Telecom/Commmunicationindustry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2022-09-23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PKG &amp; Operation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信息通信行业绿色低碳发展行动计划（2022–2025年）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实施信息通信绿色低碳行动，</ns0:t>
            </ns0:r>
            <ns0:r>
              <ns0:rPr>
                <ns0:b/>
                <ns0:bCs/>
              </ns0:rPr>
              <ns0:t xml:space="preserve">2022-2025</ns0:t>
            </ns0:r>
            <ns0:r>
              <ns0:rPr>
                <ns0:rFonts ns0:hint="eastAsia"/>
              </ns0:rPr>
              <ns0:t xml:space="preserve">推动转型。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Telecom/Commmunicationindustry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2022-08-22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绿色建筑和绿色建材政府采购需求标准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政府采购优先绿色建材，</ns0:t>
            </ns0:r>
            <ns0:r>
              <ns0:rPr>
                <ns0:rFonts ns0:hint="eastAsia"/>
                <ns0:b/>
                <ns0:bCs/>
              </ns0:rPr>
              <ns0:t xml:space="preserve">明确需求标准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Building, Commercialbuilding, Education, Healthcare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2022-10-12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智能冷藏集装箱终端设备技术指南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规范冷藏集装箱终端设备，</ns0:t>
            </ns0:r>
            <ns0:r>
              <ns0:rPr>
                <ns0:rFonts ns0:hint="eastAsia"/>
                <ns0:b/>
                <ns0:bCs/>
              </ns0:rPr>
              <ns0:t xml:space="preserve">提升冷链港航服务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Transportation, Marine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2022-09-15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原材料工业“三品”实施方案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推进原材料工业“三品”，</ns0:t>
            </ns0:r>
            <ns0:r>
              <ns0:rPr>
                <ns0:rFonts ns0:hint="eastAsia"/>
                <ns0:b/>
                <ns0:bCs/>
              </ns0:rPr>
              <ns0:t xml:space="preserve">增品提质创牌</ns0:t>
            </ns0:r>
            <ns0:r>
              <ns0:rPr>
                <ns0:rFonts ns0:hint="eastAsia"/>
              </ns0:rPr>
              <ns0:t xml:space="preserve">促升级。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Oil&amp;Gas, Mining, Minerals&amp;Metals, Utilities, Newenergy, PowerOEM, Electronicindustry, Food&amp;Beverage, LifeScience, Retail, Residential, Commercialbuilding, Building, Automotive, Transportation, Automobile, Electricvehicle, HVAC/HOIST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2022-08-17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推动轻工业高质量发展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推动轻工业高质量发展，</ns0:t>
            </ns0:r>
            <ns0:r>
              <ns0:rPr>
                <ns0:rFonts ns0:hint="eastAsia"/>
                <ns0:b/>
                <ns0:bCs/>
              </ns0:rPr>
              <ns0:t xml:space="preserve">提升产业链竞争力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Building, Commercialbuilding, Residential, Other:HVAC/HOIST, Electronicindustry, Electricvehicle, Newenergy, PowerOEM</ns0:t>
            </ns0:r>
          </ns0:p>
        </ns0:tc>
        <ns0:tc>
          <ns0:tcPr/>
          <ns0:p>
            <ns0:pPr>
              <ns0:pStyle ns0:val="Compact"/>
            </ns0:pPr>
            <ns0:r>
              <ns0:t xml:space="preserve">2022-06-08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鼓励外商投资产业目录（2019年版）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发布2019外商投资目录，</ns0:t>
            </ns0:r>
            <ns0:r>
              <ns0:rPr>
                <ns0:rFonts ns0:hint="eastAsia"/>
                <ns0:b/>
                <ns0:bCs/>
              </ns0:rPr>
              <ns0:t xml:space="preserve">7月30日起施行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Other:HVAC/HOIST, Electronicindustry, LifeScience, Food&amp;Beverage, Retail, Water&amp;wastewater, Printing, Building, Automotive, Marine, Textile, Leather, Woodworking, Furniture, Minerals&amp;Metals, Cement</ns0:t>
            </ns0:r>
          </ns0:p>
        </ns0:tc>
        <ns0:tc>
          <ns0:tcPr/>
          <ns0:p>
            <ns0:pPr>
              <ns0:pStyle ns0:val="Compact"/>
            </ns0:pPr>
            <ns0:r>
              <ns0:t xml:space="preserve">2019-06-30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印制电路板行业规范条件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出台PCB行业规范条件，</ns0:t>
            </ns0:r>
            <ns0:r>
              <ns0:rPr>
                <ns0:rFonts ns0:hint="eastAsia"/>
                <ns0:b/>
                <ns0:bCs/>
              </ns0:rPr>
              <ns0:t xml:space="preserve">引导产业有序发展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Electronicindustry</ns0:t>
            </ns0:r>
          </ns0:p>
        </ns0:tc>
        <ns0:tc>
          <ns0:tcPr/>
          <ns0:p>
            <ns0:pPr>
              <ns0:pStyle ns0:val="Compact"/>
            </ns0:pPr>
            <ns0:r>
              <ns0:t xml:space="preserve">2018-12-28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t xml:space="preserve">Material &amp; Substance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生产者责任延伸制度推行方案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推行生产者责任延伸，</ns0:t>
            </ns0:r>
            <ns0:r>
              <ns0:rPr>
                <ns0:rFonts ns0:hint="eastAsia"/>
                <ns0:b/>
                <ns0:bCs/>
              </ns0:rPr>
              <ns0:t xml:space="preserve">全生命周期回收与信息公开</ns0:t>
            </ns0:r>
            <ns0:r>
              <ns0:t xml:space="preserve">。</ns0:t>
            </ns0:r>
          </ns0:p>
        </ns0:tc>
        <ns0:tc>
          <ns0:tcPr/>
          <ns0:p>
            <ns0:pPr>
              <ns0:pStyle ns0:val="Compact"/>
            </ns0:pPr>
            <ns0:r>
              <ns0:t xml:space="preserve">—</ns0:t>
            </ns0:r>
          </ns0:p>
        </ns0:tc>
        <ns0:tc>
          <ns0:tcPr/>
          <ns0:p>
            <ns0:pPr>
              <ns0:pStyle ns0:val="Compact"/>
            </ns0:pPr>
            <ns0:r>
              <ns0:t xml:space="preserve">Electronicindustry, Automobile, Electricvehicle, Newenergy, Food&amp;Beverage, PowerOEM, Utilities</ns0:t>
            </ns0:r>
          </ns0:p>
        </ns0:tc>
        <ns0:tc>
          <ns0:tcPr/>
          <ns0:p>
            <ns0:pPr>
              <ns0:pStyle ns0:val="Compact"/>
            </ns0:pPr>
            <ns0:r>
              <ns0:t xml:space="preserve">2017-01-03</ns0:t>
            </ns0:r>
          </ns0:p>
        </ns0:tc>
      </ns0:tr>
    </ns0:tbl>
    <ns0:bookmarkEnd ns0:id="12"/>
    <ns0:bookmarkStart ns0:id="13" ns0:name="key-insights"/>
    <ns0:p>
      <ns0:pPr>
        <ns0:pStyle ns0:val="Heading2"/>
      </ns0:pPr>
      <ns0:r>
        <ns0:t xml:space="preserve">Key Insights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现行有效条目共</ns0:t>
      </ns0:r>
      <ns0:r>
        <ns0:t xml:space="preserve"> </ns0:t>
      </ns0:r>
      <ns0:r>
        <ns0:rPr>
          <ns0:b/>
          <ns0:bCs/>
        </ns0:rPr>
        <ns0:t xml:space="preserve">640</ns0:t>
      </ns0:r>
      <ns0:r>
        <ns0:t xml:space="preserve"> </ns0:t>
      </ns0:r>
      <ns0:r>
        <ns0:rPr>
          <ns0:rFonts ns0:hint="eastAsia"/>
        </ns0:rPr>
        <ns0:t xml:space="preserve">条，更新最集中在</ns0:t>
      </ns0:r>
      <ns0:r>
        <ns0:t xml:space="preserve"> </ns0:t>
      </ns0:r>
      <ns0:r>
        <ns0:rPr>
          <ns0:b/>
          <ns0:bCs/>
        </ns0:rPr>
        <ns0:t xml:space="preserve">Material &amp; </ns0:t>
      </ns0:r>
      <ns0:r>
        <ns0:rPr>
          <ns0:rFonts ns0:hint="eastAsia"/>
          <ns0:b/>
          <ns0:bCs/>
        </ns0:rPr>
        <ns0:t xml:space="preserve">Substance（259条）</ns0:t>
      </ns0:r>
      <ns0:r>
        <ns0:t xml:space="preserve">。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其次为</ns0:t>
      </ns0:r>
      <ns0:r>
        <ns0:t xml:space="preserve"> </ns0:t>
      </ns0:r>
      <ns0:r>
        <ns0:rPr>
          <ns0:b/>
          <ns0:bCs/>
        </ns0:rPr>
        <ns0:t xml:space="preserve">PKG &amp; </ns0:t>
      </ns0:r>
      <ns0:r>
        <ns0:rPr>
          <ns0:rFonts ns0:hint="eastAsia"/>
          <ns0:b/>
          <ns0:bCs/>
        </ns0:rPr>
        <ns0:t xml:space="preserve">Operation（135条）</ns0:t>
      </ns0:r>
      <ns0:r>
        <ns0:t xml:space="preserve">。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Impact </ns0:t>
      </ns0:r>
      <ns0:r>
        <ns0:rPr>
          <ns0:rFonts ns0:hint="eastAsia"/>
        </ns0:rPr>
        <ns0:t xml:space="preserve">分布：</ns0:t>
      </ns0:r>
      <ns0:r>
        <ns0:rPr>
          <ns0:b/>
          <ns0:bCs/>
        </ns0:rPr>
        <ns0:t xml:space="preserve">Low 321 / Medium 183 / High 136</ns0:t>
      </ns0:r>
      <ns0:r>
        <ns0:rPr>
          <ns0:rFonts ns0:hint="eastAsia"/>
        </ns0:rPr>
        <ns0:t xml:space="preserve">（High</ns0:t>
      </ns0:r>
      <ns0:r>
        <ns0:t xml:space="preserve"> </ns0:t>
      </ns0:r>
      <ns0:r>
        <ns0:rPr>
          <ns0:rFonts ns0:hint="eastAsia"/>
        </ns0:rPr>
        <ns0:t xml:space="preserve">占</ns0:t>
      </ns0:r>
      <ns0:r>
        <ns0:t xml:space="preserve"> </ns0:t>
      </ns0:r>
      <ns0:r>
        <ns0:rPr>
          <ns0:b/>
          <ns0:bCs/>
        </ns0:rPr>
        <ns0:t xml:space="preserve">21.2%</ns0:t>
      </ns0:r>
      <ns0:r>
        <ns0:rPr>
          <ns0:rFonts ns0:hint="eastAsia"/>
        </ns0:rPr>
        <ns0:t xml:space="preserve">）。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高影响条目优先反映与</ns0:t>
      </ns0:r>
      <ns0:r>
        <ns0:t xml:space="preserve"> </ns0:t>
      </ns0:r>
      <ns0:r>
        <ns0:rPr>
          <ns0:rFonts ns0:hint="eastAsia"/>
          <ns0:b/>
          <ns0:bCs/>
        </ns0:rPr>
        <ns0:t xml:space="preserve">电气设备与能效</ns0:t>
      </ns0:r>
      <ns0:r>
        <ns0:rPr>
          <ns0:rFonts ns0:hint="eastAsia"/>
        </ns0:rPr>
        <ns0:t xml:space="preserve">、合规认证/标准相关的要求变化。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重点关注</ns0:t>
      </ns0:r>
      <ns0:r>
        <ns0:t xml:space="preserve"> </ns0:t>
      </ns0:r>
      <ns0:r>
        <ns0:rPr>
          <ns0:rFonts ns0:hint="eastAsia"/>
          <ns0:b/>
          <ns0:bCs/>
        </ns0:rPr>
        <ns0:t xml:space="preserve">电力装备、建筑/园区、数据中心、制造业</ns0:t>
      </ns0:r>
      <ns0:r>
        <ns0:t xml:space="preserve"> </ns0:t>
      </ns0:r>
      <ns0:r>
        <ns0:rPr>
          <ns0:rFonts ns0:hint="eastAsia"/>
        </ns0:rPr>
        <ns0:t xml:space="preserve">等场景的合规变化与机会点。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可结合产品线与客户行业分布，优先评估</ns0:t>
      </ns0:r>
      <ns0:r>
        <ns0:t xml:space="preserve"> </ns0:t>
      </ns0:r>
      <ns0:r>
        <ns0:rPr>
          <ns0:rFonts ns0:hint="eastAsia"/>
          <ns0:b/>
          <ns0:bCs/>
        </ns0:rPr>
        <ns0:t xml:space="preserve">高影响条目</ns0:t>
      </ns0:r>
      <ns0:r>
        <ns0:t xml:space="preserve"> </ns0:t>
      </ns0:r>
      <ns0:r>
        <ns0:rPr>
          <ns0:rFonts ns0:hint="eastAsia"/>
        </ns0:rPr>
        <ns0:t xml:space="preserve">对认证、材料合规与能效指标的影响。</ns0:t>
      </ns0:r>
    </ns0:p>
    <ns0:bookmarkEnd ns0:id="13"/>
    <ns0:bookmarkStart ns0:id="14" ns0:name="impact-rules"/>
    <ns0:p>
      <ns0:pPr>
        <ns0:pStyle ns0:val="Heading2"/>
      </ns0:pPr>
      <ns0:r>
        <ns0:t xml:space="preserve">Impact Rules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Low</ns0:t>
      </ns0:r>
      <ns0:r>
        <ns0:rPr>
          <ns0:rFonts ns0:hint="eastAsia"/>
        </ns0:rPr>
        <ns0:t xml:space="preserve">：适用行业为空/</ns0:t>
      </ns0:r>
      <ns0:r>
        <ns0:rPr>
          <ns0:rStyle ns0:val="VerbatimChar"/>
        </ns0:rPr>
        <ns0:t xml:space="preserve">N/A</ns0:t>
      </ns0:r>
      <ns0:r>
        <ns0:rPr>
          <ns0:rFonts ns0:hint="eastAsia"/>
        </ns0:rPr>
        <ns0:t xml:space="preserve">，或与施耐德相关性较弱的通用信息。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Medium</ns0:t>
      </ns0:r>
      <ns0:r>
        <ns0:rPr>
          <ns0:rFonts ns0:hint="eastAsia"/>
        </ns0:rPr>
        <ns0:t xml:space="preserve">：命中行业/领域关键词（如工业、数据中心、能源等）或政策/环保关键词（如能效、排放、标准等），但缺少明确产品/技术指向。</ns0:t>
      </ns0:r>
    </ns0:p>
    <ns0:p>
      <ns0:pPr>
        <ns0:pStyle ns0:val="Compact"/>
        <ns0:numPr>
          <ns0:ilvl ns0:val="0"/>
          <ns0:numId ns0:val="1002"/>
        </ns0:numPr>
      </ns0:pPr>
      <ns0:r>
        <ns0:rPr>
          <ns0:rStyle ns0:val="VerbatimChar"/>
        </ns0:rPr>
        <ns0:t xml:space="preserve">High</ns0:t>
      </ns0:r>
      <ns0:r>
        <ns0:rPr>
          <ns0:rFonts ns0:hint="eastAsia"/>
        </ns0:rPr>
        <ns0:t xml:space="preserve">：在</ns0:t>
      </ns0:r>
      <ns0:r>
        <ns0:t xml:space="preserve"> </ns0:t>
      </ns0:r>
      <ns0:r>
        <ns0:rPr>
          <ns0:rStyle ns0:val="VerbatimChar"/>
        </ns0:rPr>
        <ns0:t xml:space="preserve">Medium</ns0:t>
      </ns0:r>
      <ns0:r>
        <ns0:t xml:space="preserve"> </ns0:t>
      </ns0:r>
      <ns0:r>
        <ns0:rPr>
          <ns0:rFonts ns0:hint="eastAsia"/>
        </ns0:rPr>
        <ns0:t xml:space="preserve">基础上，进一步命中施耐德/电气/能效产品关键词（如</ns0:t>
      </ns0:r>
      <ns0:r>
        <ns0:t xml:space="preserve"> </ns0:t>
      </ns0:r>
      <ns0:r>
        <ns0:rPr>
          <ns0:rFonts ns0:hint="eastAsia"/>
        </ns0:rPr>
        <ns0:t xml:space="preserve">UPS、断路器、控制器等），或与施耐德/电气相关信息更直接。</ns0:t>
      </ns0:r>
    </ns0:p>
    <ns0:bookmarkEnd ns0:id="14"/>
    <ns0:sectPr>
      <ns0:footnotePr>
        <ns0:numRestart ns0:val="eachSect"/>
      </ns0:footnotePr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color ns0:val="000000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color ns0:val="000000"/>
    </ns0:rPr>
  </ns0:style>
  <ns0:style ns0:customStyle="1" ns0:styleId="FirstParagraph" ns0:type="paragraph">
    <ns0:name ns0:val="First Paragraph"/>
    <ns0:basedOn ns0:val="BodyText"/>
    <ns0:next ns0:val="BodyText"/>
    <ns0:qFormat/>
    <ns0:rPr>
      <ns0:color ns0:val="000000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color ns0:val="000000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Theme="majorHAnsi" ns0:cstheme="majorBidi" ns0:eastAsiaTheme="majorEastAsia" ns0:hAnsiTheme="majorHAnsi"/>
      <ns0:sz ns0:val="56"/>
      <ns0:szCs ns0:val="56"/>
      <ns0:color ns0:val="000000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Theme="majorHAnsi" ns0:cstheme="majorBidi" ns0:eastAsiaTheme="majorEastAsia" ns0:hAnsiTheme="majorHAnsi"/>
      <ns0:sz ns0:val="56"/>
      <ns0:szCs ns0:val="56"/>
      <ns0:color ns0:val="000000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cstheme="majorBidi" ns0:eastAsiaTheme="majorEastAsia"/>
      <ns0:spacing ns0:val="15"/>
      <ns0:sz ns0:val="28"/>
      <ns0:szCs ns0:val="28"/>
      <ns0:color ns0:val="000000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cstheme="majorBidi" ns0:eastAsiaTheme="majorEastAsia"/>
      <ns0:color ns0:themeColor="text1" ns0:themeTint="A6" ns0:val="000000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sz ns0:val="24"/>
      <ns0:szCs ns0:val="24"/>
      <ns0:color ns0:val="000000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sz ns0:val="24"/>
      <ns0:szCs ns0:val="24"/>
      <ns0:color ns0:val="000000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b/>
      <ns0:sz ns0:val="20"/>
      <ns0:szCs ns0:val="20"/>
      <ns0:color ns0:val="00000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sz ns0:val="20"/>
      <ns0:szCs ns0:val="20"/>
      <ns0:color ns0:val="000000"/>
    </ns0:rPr>
  </ns0:style>
  <ns0:style ns0:styleId="Bibliography" ns0:type="paragraph">
    <ns0:name ns0:val="Bibliography"/>
    <ns0:basedOn ns0:val="Normal"/>
    <ns0:next ns0:val="Bibliography"/>
    <ns0:qFormat/>
    <ns0:pPr/>
    <ns0:rPr>
      <ns0:color ns0:val="000000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Theme="majorHAnsi" ns0:cstheme="majorBidi" ns0:eastAsiaTheme="majorEastAsia" ns0:hAnsiTheme="majorHAnsi"/>
      <ns0:color ns0:themeColor="accent1" ns0:themeShade="BF" ns0:val="000000"/>
      <ns0:sz ns0:val="40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Theme="majorHAnsi" ns0:cstheme="majorBidi" ns0:eastAsiaTheme="majorEastAsia" ns0:hAnsiTheme="majorHAnsi"/>
      <ns0:color ns0:themeColor="accent1" ns0:themeShade="BF" ns0:val="000000"/>
      <ns0:sz ns0:val="32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cstheme="majorBidi" ns0:eastAsiaTheme="majorEastAsia"/>
      <ns0:color ns0:themeColor="accent1" ns0:themeShade="BF" ns0:val="000000"/>
      <ns0:sz ns0:val="28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cstheme="majorBidi" ns0:eastAsiaTheme="majorEastAsia"/>
      <ns0:i/>
      <ns0:iCs/>
      <ns0:color ns0:themeColor="accent1" ns0:themeShade="BF" ns0:val="000000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cstheme="majorBidi" ns0:eastAsiaTheme="majorEastAsia"/>
      <ns0:color ns0:themeColor="accent1" ns0:themeShade="BF" ns0:val="000000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cstheme="majorBidi" ns0:eastAsiaTheme="majorEastAsia"/>
      <ns0:i/>
      <ns0:iCs/>
      <ns0:color ns0:themeColor="text1" ns0:themeTint="A6" ns0:val="000000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cstheme="majorBidi" ns0:eastAsiaTheme="majorEastAsia"/>
      <ns0:color ns0:themeColor="text1" ns0:themeTint="A6" ns0:val="000000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cstheme="majorBidi" ns0:eastAsiaTheme="majorEastAsia"/>
      <ns0:i/>
      <ns0:iCs/>
      <ns0:color ns0:themeColor="text1" ns0:themeTint="D8" ns0:val="000000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cstheme="majorBidi" ns0:eastAsiaTheme="majorEastAsia"/>
      <ns0:color ns0:themeColor="text1" ns0:themeTint="D8" ns0:val="000000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Theme="majorHAnsi" ns0:cstheme="majorBidi" ns0:eastAsiaTheme="majorEastAsia" ns0:hAnsiTheme="majorHAnsi"/>
      <ns0:color ns0:themeColor="accent1" ns0:themeShade="BF" ns0:val="000000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cstheme="majorBidi" ns0:eastAsiaTheme="majorEastAsia" ns0:hAnsiTheme="majorHAnsi"/>
      <ns0:color ns0:themeColor="accent1" ns0:themeShade="BF" ns0:val="000000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cstheme="majorBidi" ns0:eastAsiaTheme="majorEastAsia"/>
      <ns0:color ns0:themeColor="accent1" ns0:themeShade="BF" ns0:val="000000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cstheme="majorBidi" ns0:eastAsiaTheme="majorEastAsia"/>
      <ns0:i/>
      <ns0:iCs/>
      <ns0:color ns0:themeColor="accent1" ns0:themeShade="BF" ns0:val="000000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cstheme="majorBidi" ns0:eastAsiaTheme="majorEastAsia"/>
      <ns0:color ns0:themeColor="accent1" ns0:themeShade="BF" ns0:val="000000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cstheme="majorBidi" ns0:eastAsiaTheme="majorEastAsia"/>
      <ns0:i/>
      <ns0:iCs/>
      <ns0:color ns0:themeColor="text1" ns0:themeTint="A6" ns0:val="000000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cstheme="majorBidi" ns0:eastAsiaTheme="majorEastAsia"/>
      <ns0:color ns0:themeColor="text1" ns0:themeTint="A6" ns0:val="000000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cstheme="majorBidi" ns0:eastAsiaTheme="majorEastAsia"/>
      <ns0:i/>
      <ns0:iCs/>
      <ns0:color ns0:themeColor="text1" ns0:themeTint="D8" ns0:val="000000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cstheme="majorBidi" ns0:eastAsiaTheme="majorEastAsia"/>
      <ns0:color ns0:themeColor="text1" ns0:themeTint="D8" ns0:val="000000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color ns0:val="000000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color ns0:val="000000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color ns0:val="000000"/>
    </ns0:rPr>
  </ns0:style>
  <ns0:style ns0:default="1" ns0:styleId="DefaultParagraphFont" ns0:type="character">
    <ns0:name ns0:val="Default Paragraph Font"/>
    <ns0:semiHidden/>
    <ns0:unhideWhenUsed/>
    <ns0:rPr>
      <ns0:color ns0:val="000000"/>
    </ns0:rPr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  <ns0:rPr>
      <ns0:color ns0:val="000000"/>
    </ns0:r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  <ns0:color ns0:val="000000"/>
    </ns0:rPr>
  </ns0:style>
  <ns0:style ns0:customStyle="1" ns0:styleId="Definition" ns0:type="paragraph">
    <ns0:name ns0:val="Definition"/>
    <ns0:basedOn ns0:val="Normal"/>
    <ns0:rPr>
      <ns0:color ns0:val="000000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  <ns0:color ns0:val="000000"/>
    </ns0:rPr>
  </ns0:style>
  <ns0:style ns0:customStyle="1" ns0:styleId="TableCaption" ns0:type="paragraph">
    <ns0:name ns0:val="Table Caption"/>
    <ns0:basedOn ns0:val="Caption"/>
    <ns0:pPr>
      <ns0:keepNext/>
    </ns0:pPr>
    <ns0:rPr>
      <ns0:color ns0:val="000000"/>
    </ns0:rPr>
  </ns0:style>
  <ns0:style ns0:customStyle="1" ns0:styleId="ImageCaption" ns0:type="paragraph">
    <ns0:name ns0:val="Image Caption"/>
    <ns0:basedOn ns0:val="Caption"/>
    <ns0:rPr>
      <ns0:color ns0:val="000000"/>
    </ns0:rPr>
  </ns0:style>
  <ns0:style ns0:customStyle="1" ns0:styleId="Figure" ns0:type="paragraph">
    <ns0:name ns0:val="Figure"/>
    <ns0:basedOn ns0:val="Normal"/>
    <ns0:rPr>
      <ns0:color ns0:val="000000"/>
    </ns0:rPr>
  </ns0:style>
  <ns0:style ns0:customStyle="1" ns0:styleId="CaptionedFigure" ns0:type="paragraph">
    <ns0:name ns0:val="Captioned Figure"/>
    <ns0:basedOn ns0:val="Figure"/>
    <ns0:pPr>
      <ns0:keepNext/>
    </ns0:pPr>
    <ns0:rPr>
      <ns0:color ns0:val="000000"/>
    </ns0:rPr>
  </ns0:style>
  <ns0:style ns0:customStyle="1" ns0:styleId="BodyTextChar" ns0:type="character">
    <ns0:name ns0:val="Body Text Char"/>
    <ns0:basedOn ns0:val="DefaultParagraphFont"/>
    <ns0:link ns0:val="BodyText"/>
    <ns0:rPr>
      <ns0:color ns0:val="000000"/>
    </ns0:rPr>
  </ns0:style>
  <ns0:style ns0:customStyle="1" ns0:styleId="VerbatimChar" ns0:type="character">
    <ns0:name ns0:val="Verbatim Char"/>
    <ns0:basedOn ns0:val="BodyTextChar"/>
    <ns0:rPr>
      <ns0:rFonts ns0:ascii="Consolas" ns0:hAnsi="Consolas"/>
      <ns0:sz ns0:val="22"/>
      <ns0:color ns0:val="000000"/>
    </ns0:rPr>
  </ns0:style>
  <ns0:style ns0:customStyle="1" ns0:styleId="SectionNumber" ns0:type="character">
    <ns0:name ns0:val="Section Number"/>
    <ns0:basedOn ns0:val="BodyTextChar"/>
    <ns0:rPr>
      <ns0:color ns0:val="000000"/>
    </ns0:rPr>
  </ns0:style>
  <ns0:style ns0:styleId="FootnoteReference" ns0:type="character">
    <ns0:name ns0:val="Footnote Reference"/>
    <ns0:basedOn ns0:val="BodyTextChar"/>
    <ns0:rPr>
      <ns0:vertAlign ns0:val="superscript"/>
      <ns0:color ns0:val="000000"/>
    </ns0:rPr>
  </ns0:style>
  <ns0:style ns0:styleId="Hyperlink" ns0:type="character">
    <ns0:name ns0:val="Hyperlink"/>
    <ns0:basedOn ns0:val="BodyTextChar"/>
    <ns0:rPr>
      <ns0:color ns0:themeColor="accent1" ns0:val="000000"/>
      <ns0:u ns0:val="none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cstheme="majorBidi" ns0:eastAsiaTheme="majorEastAsia" ns0:hAnsiTheme="majorHAnsi"/>
      <ns0:b ns0:val="0"/>
      <ns0:bCs ns0:val="0"/>
      <ns0:color ns0:themeColor="accent1" ns0:themeShade="BF" ns0:val="000000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  <ns0:rPr>
      <ns0:color ns0:val="000000"/>
    </ns0:rPr>
  </ns0:style>
  <ns0:style ns0:type="character" ns0:customStyle="1" ns0:styleId="KeywordTok">
    <ns0:name ns0:val="KeywordTok"/>
    <ns0:basedOn ns0:val="VerbatimChar"/>
    <ns0:rPr>
      <ns0:b/>
      <ns0:color ns0:val="000000"/>
    </ns0:rPr>
  </ns0:style>
  <ns0:style ns0:type="character" ns0:customStyle="1" ns0:styleId="DataTypeTok">
    <ns0:name ns0:val="DataTypeTok"/>
    <ns0:basedOn ns0:val="VerbatimChar"/>
    <ns0:rPr>
      <ns0:color ns0:val="000000"/>
    </ns0:rPr>
  </ns0:style>
  <ns0:style ns0:type="character" ns0:customStyle="1" ns0:styleId="DecValTok">
    <ns0:name ns0:val="DecValTok"/>
    <ns0:basedOn ns0:val="VerbatimChar"/>
    <ns0:rPr>
      <ns0:color ns0:val="000000"/>
    </ns0:rPr>
  </ns0:style>
  <ns0:style ns0:type="character" ns0:customStyle="1" ns0:styleId="BaseNTok">
    <ns0:name ns0:val="BaseNTok"/>
    <ns0:basedOn ns0:val="VerbatimChar"/>
    <ns0:rPr>
      <ns0:color ns0:val="000000"/>
    </ns0:rPr>
  </ns0:style>
  <ns0:style ns0:type="character" ns0:customStyle="1" ns0:styleId="FloatTok">
    <ns0:name ns0:val="FloatTok"/>
    <ns0:basedOn ns0:val="VerbatimChar"/>
    <ns0:rPr>
      <ns0:color ns0:val="000000"/>
    </ns0:rPr>
  </ns0:style>
  <ns0:style ns0:type="character" ns0:customStyle="1" ns0:styleId="ConstantTok">
    <ns0:name ns0:val="ConstantTok"/>
    <ns0:basedOn ns0:val="VerbatimChar"/>
    <ns0:rPr>
      <ns0:color ns0:val="000000"/>
    </ns0:rPr>
  </ns0:style>
  <ns0:style ns0:type="character" ns0:customStyle="1" ns0:styleId="CharTok">
    <ns0:name ns0:val="CharTok"/>
    <ns0:basedOn ns0:val="VerbatimChar"/>
    <ns0:rPr>
      <ns0:color ns0:val="000000"/>
    </ns0:rPr>
  </ns0:style>
  <ns0:style ns0:type="character" ns0:customStyle="1" ns0:styleId="SpecialCharTok">
    <ns0:name ns0:val="SpecialCharTok"/>
    <ns0:basedOn ns0:val="VerbatimChar"/>
    <ns0:rPr>
      <ns0:color ns0:val="000000"/>
    </ns0:rPr>
  </ns0:style>
  <ns0:style ns0:type="character" ns0:customStyle="1" ns0:styleId="StringTok">
    <ns0:name ns0:val="StringTok"/>
    <ns0:basedOn ns0:val="VerbatimChar"/>
    <ns0:rPr>
      <ns0:color ns0:val="000000"/>
    </ns0:rPr>
  </ns0:style>
  <ns0:style ns0:type="character" ns0:customStyle="1" ns0:styleId="VerbatimStringTok">
    <ns0:name ns0:val="VerbatimStringTok"/>
    <ns0:basedOn ns0:val="VerbatimChar"/>
    <ns0:rPr>
      <ns0:color ns0:val="000000"/>
    </ns0:rPr>
  </ns0:style>
  <ns0:style ns0:type="character" ns0:customStyle="1" ns0:styleId="SpecialStringTok">
    <ns0:name ns0:val="SpecialStringTok"/>
    <ns0:basedOn ns0:val="VerbatimChar"/>
    <ns0:rPr>
      <ns0:color ns0:val="000000"/>
    </ns0:rPr>
  </ns0:style>
  <ns0:style ns0:type="character" ns0:customStyle="1" ns0:styleId="ImportTok">
    <ns0:name ns0:val="ImportTok"/>
    <ns0:basedOn ns0:val="VerbatimChar"/>
    <ns0:rPr>
      <ns0:b/>
      <ns0:color ns0:val="000000"/>
    </ns0:rPr>
  </ns0:style>
  <ns0:style ns0:type="character" ns0:customStyle="1" ns0:styleId="CommentTok">
    <ns0:name ns0:val="CommentTok"/>
    <ns0:basedOn ns0:val="VerbatimChar"/>
    <ns0:rPr>
      <ns0:i/>
      <ns0:color ns0:val="000000"/>
    </ns0:rPr>
  </ns0:style>
  <ns0:style ns0:type="character" ns0:customStyle="1" ns0:styleId="DocumentationTok">
    <ns0:name ns0:val="DocumentationTok"/>
    <ns0:basedOn ns0:val="VerbatimChar"/>
    <ns0:rPr>
      <ns0:i/>
      <ns0:color ns0:val="000000"/>
    </ns0:rPr>
  </ns0:style>
  <ns0:style ns0:type="character" ns0:customStyle="1" ns0:styleId="AnnotationTok">
    <ns0:name ns0:val="AnnotationTok"/>
    <ns0:basedOn ns0:val="VerbatimChar"/>
    <ns0:rPr>
      <ns0:b/>
      <ns0:i/>
      <ns0:color ns0:val="000000"/>
    </ns0:rPr>
  </ns0:style>
  <ns0:style ns0:type="character" ns0:customStyle="1" ns0:styleId="CommentVarTok">
    <ns0:name ns0:val="CommentVarTok"/>
    <ns0:basedOn ns0:val="VerbatimChar"/>
    <ns0:rPr>
      <ns0:b/>
      <ns0:i/>
      <ns0:color ns0:val="000000"/>
    </ns0:rPr>
  </ns0:style>
  <ns0:style ns0:type="character" ns0:customStyle="1" ns0:styleId="OtherTok">
    <ns0:name ns0:val="OtherTok"/>
    <ns0:basedOn ns0:val="VerbatimChar"/>
    <ns0:rPr>
      <ns0:color ns0:val="000000"/>
    </ns0:rPr>
  </ns0:style>
  <ns0:style ns0:type="character" ns0:customStyle="1" ns0:styleId="FunctionTok">
    <ns0:name ns0:val="FunctionTok"/>
    <ns0:basedOn ns0:val="VerbatimChar"/>
    <ns0:rPr>
      <ns0:color ns0:val="000000"/>
    </ns0:rPr>
  </ns0:style>
  <ns0:style ns0:type="character" ns0:customStyle="1" ns0:styleId="VariableTok">
    <ns0:name ns0:val="VariableTok"/>
    <ns0:basedOn ns0:val="VerbatimChar"/>
    <ns0:rPr>
      <ns0:color ns0:val="000000"/>
    </ns0:rPr>
  </ns0:style>
  <ns0:style ns0:type="character" ns0:customStyle="1" ns0:styleId="ControlFlowTok">
    <ns0:name ns0:val="ControlFlowTok"/>
    <ns0:basedOn ns0:val="VerbatimChar"/>
    <ns0:rPr>
      <ns0:b/>
      <ns0:color ns0:val="000000"/>
    </ns0:rPr>
  </ns0:style>
  <ns0:style ns0:type="character" ns0:customStyle="1" ns0:styleId="OperatorTok">
    <ns0:name ns0:val="OperatorTok"/>
    <ns0:basedOn ns0:val="VerbatimChar"/>
    <ns0:rPr>
      <ns0:color ns0:val="000000"/>
    </ns0:rPr>
  </ns0:style>
  <ns0:style ns0:type="character" ns0:customStyle="1" ns0:styleId="BuiltInTok">
    <ns0:name ns0:val="BuiltInTok"/>
    <ns0:basedOn ns0:val="VerbatimChar"/>
    <ns0:rPr>
      <ns0:color ns0:val="000000"/>
    </ns0:rPr>
  </ns0:style>
  <ns0:style ns0:type="character" ns0:customStyle="1" ns0:styleId="ExtensionTok">
    <ns0:name ns0:val="ExtensionTok"/>
    <ns0:basedOn ns0:val="VerbatimChar"/>
    <ns0:rPr>
      <ns0:color ns0:val="000000"/>
    </ns0:rPr>
  </ns0:style>
  <ns0:style ns0:type="character" ns0:customStyle="1" ns0:styleId="PreprocessorTok">
    <ns0:name ns0:val="PreprocessorTok"/>
    <ns0:basedOn ns0:val="VerbatimChar"/>
    <ns0:rPr>
      <ns0:color ns0:val="000000"/>
    </ns0:rPr>
  </ns0:style>
  <ns0:style ns0:type="character" ns0:customStyle="1" ns0:styleId="AttributeTok">
    <ns0:name ns0:val="AttributeTok"/>
    <ns0:basedOn ns0:val="VerbatimChar"/>
    <ns0:rPr>
      <ns0:color ns0:val="000000"/>
    </ns0:rPr>
  </ns0:style>
  <ns0:style ns0:type="character" ns0:customStyle="1" ns0:styleId="RegionMarkerTok">
    <ns0:name ns0:val="RegionMarkerTok"/>
    <ns0:basedOn ns0:val="VerbatimChar"/>
    <ns0:rPr>
      <ns0:color ns0:val="000000"/>
    </ns0:rPr>
  </ns0:style>
  <ns0:style ns0:type="character" ns0:customStyle="1" ns0:styleId="InformationTok">
    <ns0:name ns0:val="InformationTok"/>
    <ns0:basedOn ns0:val="VerbatimChar"/>
    <ns0:rPr>
      <ns0:b/>
      <ns0:i/>
      <ns0:color ns0:val="000000"/>
    </ns0:rPr>
  </ns0:style>
  <ns0:style ns0:type="character" ns0:customStyle="1" ns0:styleId="WarningTok">
    <ns0:name ns0:val="WarningTok"/>
    <ns0:basedOn ns0:val="VerbatimChar"/>
    <ns0:rPr>
      <ns0:b/>
      <ns0:i/>
      <ns0:color ns0:val="000000"/>
    </ns0:rPr>
  </ns0:style>
  <ns0:style ns0:type="character" ns0:customStyle="1" ns0:styleId="AlertTok">
    <ns0:name ns0:val="AlertTok"/>
    <ns0:basedOn ns0:val="VerbatimChar"/>
    <ns0:rPr>
      <ns0:b/>
      <ns0:color ns0:val="000000"/>
    </ns0:rPr>
  </ns0:style>
  <ns0:style ns0:type="character" ns0:customStyle="1" ns0:styleId="ErrorTok">
    <ns0:name ns0:val="ErrorTok"/>
    <ns0:basedOn ns0:val="VerbatimChar"/>
    <ns0:rPr>
      <ns0:b/>
      <ns0:color ns0:val="000000"/>
    </ns0:rPr>
  </ns0:style>
  <ns0:style ns0:type="character" ns0:customStyle="1" ns0:styleId="NormalTok">
    <ns0:name ns0:val="NormalTok"/>
    <ns0:basedOn ns0:val="VerbatimChar"/>
    <ns0:rPr>
      <ns0:color ns0:val="000000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2025-12-24T01:23:26Z</dcterms:created>
  <dcterms:modified xsi:type="dcterms:W3CDTF">2025-12-24T01:23:26Z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