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世界核武变化表.xlsx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（偏）自相关分析(pacf/acf)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变量:{Stockpile}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差分阶层:{2}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（偏）自相关分析展现了不同滞后阶数的（偏）自相关系数，请看详细结论。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倘若自相关与偏自相关图均截尾，可以选择更换更高的差分，或不适合建立ARMA模型。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Tips：截尾是在置信区间内，ACF或PACF在某阶后就恒等于零（或在0附近随机波动）；拖尾是在置信区间内，ACF或PACF始终有非零取值，不呈现在某阶后就恒等于零（或在0附近随机波动）。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上图展示了自相关图(ACF)，包括系数、置信上限和置信下限。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倘若自相关与偏自相关图均拖尾，可结合PACF、ACF图中最显著的阶数（最小值）作为p、q值。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截尾是在置信区间内，ACF或PACF在某阶后就恒等于零（或在0附近随机波动）。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拖尾是在置信区间内，ACF或PACF始终有非零取值，不呈现在某阶后就恒等于零（或在0附近随机波动）。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于宁莉,易东云,涂先勤.时间序列中自相关与偏相关函数分析[J].数学理论与应用,2007(01):54-57.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n_vb7mg471lwq8qqtnuf.png"/><Relationship Id="rId6" Type="http://schemas.openxmlformats.org/officeDocument/2006/relationships/image" Target="media/aqoiwpzuicu2krhjxz0p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2023-01-06T09:22:51.203Z</dcterms:created>
  <dcterms:modified xsi:type="dcterms:W3CDTF">2023-01-06T09:22:51.203Z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