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EE808">
      <w:pPr>
        <w:pStyle w:val="166"/>
        <w:spacing w:after="240"/>
        <w:jc w:val="center"/>
        <w:rPr>
          <w:sz w:val="32"/>
          <w:szCs w:val="32"/>
          <w:lang w:eastAsia="zh-CN"/>
        </w:rPr>
      </w:pPr>
      <w:r>
        <w:rPr>
          <w:rFonts w:cs="Times New Roman"/>
          <w:color w:val="000000"/>
          <w:szCs w:val="32"/>
          <w:lang w:eastAsia="zh-CN"/>
        </w:rPr>
        <w:t>低空经济场景下的物流无人机调度算法</w:t>
      </w:r>
    </w:p>
    <w:p w14:paraId="39285A24">
      <w:pPr>
        <w:pStyle w:val="2"/>
        <w:jc w:val="left"/>
        <w:rPr>
          <w:rFonts w:hint="eastAsia" w:ascii="黑体" w:hAnsi="黑体" w:cs="黑体"/>
          <w:color w:val="auto"/>
          <w:lang w:eastAsia="zh-CN"/>
        </w:rPr>
      </w:pPr>
      <w:r>
        <w:rPr>
          <w:rFonts w:hint="eastAsia"/>
          <w:lang w:eastAsia="zh-CN"/>
        </w:rPr>
        <w:t>1 引言</w:t>
      </w:r>
    </w:p>
    <w:p w14:paraId="5C16EBBF">
      <w:pPr>
        <w:ind w:firstLineChars="200"/>
        <w:rPr>
          <w:lang w:eastAsia="zh-CN"/>
        </w:rPr>
      </w:pPr>
      <w:r>
        <w:rPr>
          <w:lang w:eastAsia="zh-CN"/>
        </w:rPr>
        <w:t>近年来，无人机技术快速成熟，叠加低空空域管理政策逐步放开，无人机物流正由试点验证迈向常态化运营[2]。2021年《国家综合立体交通网规划纲要》首次提出发展低空经济，此后相关产业政策与法规框架持续完善；《无人驾驶航空器飞行管理暂行条例》的施行与民用航空法修订进一步夯实了安全运营基础。在此背景下，末端配送、园区集配、山区应急投送与医疗急救等场景加快落地[1]。</w:t>
      </w:r>
    </w:p>
    <w:p w14:paraId="765EE1F7">
      <w:pPr>
        <w:ind w:firstLineChars="200"/>
        <w:rPr>
          <w:lang w:eastAsia="zh-CN"/>
        </w:rPr>
      </w:pPr>
      <w:r>
        <w:rPr>
          <w:lang w:eastAsia="zh-CN"/>
        </w:rPr>
        <w:t>无人机配送因成本、速度和路径直达性优势受到持续关注[19]。现有研究已覆盖配送路径[16,19,24]、多机协同[10]和时间约束[6,25]等问题。随着即时零售与同城配送需求增长，一对一取送服务逐渐成为新的研究场景，即无人机从一处取货后直接送往另一位置，无需中间仓储。深圳已开展面向本地商店与周边居民的无人机取送实践[22]；Luo et al.（2022）[9]进一步从优化角度研究了一对一取送与多访问无人机行程的联合规划。</w:t>
      </w:r>
    </w:p>
    <w:p w14:paraId="61FE5A45">
      <w:pPr>
        <w:ind w:firstLineChars="200"/>
        <w:rPr>
          <w:lang w:eastAsia="zh-CN"/>
        </w:rPr>
      </w:pPr>
      <w:r>
        <w:rPr>
          <w:lang w:eastAsia="zh-CN"/>
        </w:rPr>
        <w:t>相比之下，面向纯无人机的一对一取送调度仍相对有限。现有文献多聚焦配送或卡车—无人机协同；当取送配对、容量限制与最晚送达时限同时存在时，任务分配与访问顺序高度耦合，多机场景还需协调跨无人机任务划分与路径构造。与此同时，车辆同步与非客户汇合位置已被用于提升协同灵活性：Drexl（2012）系统总结了空间、时间和载荷同步问题，Mahmoudi and Eshghi（2022）进一步研究了包含非客户汇合位置的多无人机协同路径[29,30]。</w:t>
      </w:r>
    </w:p>
    <w:p w14:paraId="40F6EA33">
      <w:pPr>
        <w:ind w:firstLineChars="200"/>
        <w:rPr>
          <w:lang w:eastAsia="zh-CN"/>
        </w:rPr>
      </w:pPr>
      <w:r>
        <w:rPr>
          <w:lang w:eastAsia="zh-CN"/>
        </w:rPr>
        <w:t>受飞行距离与载重限制[23]，无人机取送调度的可行访问序列受到容量和先取后送关系共同约束，叠加最晚送达时限后，可行空间进一步收缩。多机场景下，任务分配与单机路径规划相互影响，问题复杂度随任务规模显著增长。为直观说明访问顺序对路径的影响，图1给出两个取送任务的一对一取送示例；每项任务由一对取件—送达节点构成，且必须满足先取后送。</w:t>
      </w:r>
    </w:p>
    <w:p w14:paraId="7D9CEE1A">
      <w:pPr>
        <w:ind w:firstLineChars="200"/>
        <w:rPr>
          <w:rFonts w:hint="eastAsia"/>
          <w:lang w:eastAsia="zh-CN"/>
        </w:rPr>
      </w:pPr>
      <w:r>
        <w:rPr>
          <w:lang w:eastAsia="zh-CN"/>
        </w:rPr>
        <w:t>上述研究缺口指向一个明确的科学问题：在无人机单次最多携带2件包裹、任务满足“先取后送”并具有最晚送达要求的条件下，如何在单机与多机场景中联合优化任务分配与访问顺序，在优先提高准时完成水平的基础上降低总飞行里程；进一步地，在多机场景下，能否通过经固定中继站的异步接力扩大可行的任务重组空间？</w:t>
      </w:r>
    </w:p>
    <w:p w14:paraId="5EAF8A04">
      <w:pPr>
        <w:ind w:firstLine="0"/>
        <w:rPr>
          <w:rFonts w:hint="eastAsia"/>
          <w:lang w:eastAsia="zh-CN"/>
        </w:rPr>
      </w:pPr>
    </w:p>
    <w:p w14:paraId="0F4EB48A">
      <w:pPr>
        <w:ind w:firstLineChars="200"/>
        <w:jc w:val="center"/>
        <w:rPr>
          <w:lang w:eastAsia="zh-CN"/>
        </w:rPr>
      </w:pPr>
      <w:r>
        <w:rPr>
          <w:rFonts w:hint="eastAsia"/>
          <w:lang w:eastAsia="zh-CN"/>
        </w:rPr>
        <w:drawing>
          <wp:inline distT="0" distB="0" distL="114300" distR="114300">
            <wp:extent cx="4319905" cy="1791335"/>
            <wp:effectExtent l="0" t="0" r="10795" b="12065"/>
            <wp:docPr id="3" name="图片 3" descr="da8bd455-f6e5-40b3-9d7a-6bf4c104b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a8bd455-f6e5-40b3-9d7a-6bf4c104ba86"/>
                    <pic:cNvPicPr>
                      <a:picLocks noChangeAspect="1"/>
                    </pic:cNvPicPr>
                  </pic:nvPicPr>
                  <pic:blipFill>
                    <a:blip r:embed="rId5"/>
                    <a:srcRect t="21638" b="23071"/>
                    <a:stretch>
                      <a:fillRect/>
                    </a:stretch>
                  </pic:blipFill>
                  <pic:spPr>
                    <a:xfrm>
                      <a:off x="0" y="0"/>
                      <a:ext cx="4319905" cy="1791335"/>
                    </a:xfrm>
                    <a:prstGeom prst="rect">
                      <a:avLst/>
                    </a:prstGeom>
                  </pic:spPr>
                </pic:pic>
              </a:graphicData>
            </a:graphic>
          </wp:inline>
        </w:drawing>
      </w:r>
    </w:p>
    <w:p w14:paraId="5970D9FD">
      <w:pPr>
        <w:ind w:firstLineChars="200"/>
        <w:jc w:val="center"/>
        <w:rPr>
          <w:lang w:eastAsia="zh-CN"/>
        </w:rPr>
      </w:pPr>
      <w:r>
        <w:rPr>
          <w:lang w:eastAsia="zh-CN"/>
        </w:rPr>
        <w:t>图1 不同访问顺序下的一对一取送调度示意</w:t>
      </w:r>
    </w:p>
    <w:p w14:paraId="7778629E">
      <w:pPr>
        <w:ind w:firstLineChars="200"/>
        <w:rPr>
          <w:lang w:eastAsia="zh-CN"/>
        </w:rPr>
      </w:pPr>
      <w:r>
        <w:rPr>
          <w:lang w:eastAsia="zh-CN"/>
        </w:rPr>
        <w:t>针对上述问题，本文聚焦低空经济场景下的物流无人机一对一取送调度。首先，构建同时适用于单机与多机场景的开放式混合整数规划模型，并采用“逾期任务数优先、总逾期时长次之、飞行里程再次之”的三层字典序目标；其次，在统一约束口径和分层评价实现下设计面向较大规模实例的自适应大邻域搜索方法，并在多机场景中嵌入固定中继站异步接力这一可选协同策略；最后，结合题设两任务示例、正式数据前缀实例与给定200任务数据开展数值实验，检验算法的求解质量、计算效率和规模适应性。具体而言，每项任务可在“直送”和“接力送”之间择一：前者由同一架无人机完成取送，后者经求解前确定的固定中继站拆分为两段；中继站还可作为无人机的预部署起点。</w:t>
      </w:r>
    </w:p>
    <w:p w14:paraId="606C2ECC">
      <w:pPr>
        <w:ind w:firstLineChars="200"/>
        <w:rPr>
          <w:lang w:eastAsia="zh-CN"/>
        </w:rPr>
      </w:pPr>
      <w:r>
        <w:rPr>
          <w:lang w:eastAsia="zh-CN"/>
        </w:rPr>
        <w:t>本文其余部分结构如下：第 2 节综述相关文献；第 3 节给出问题描述与数学模型；第 4 节阐述求解方法；第 5 节报告算法有效性实验；第 6 节给出正式应用案例与敏感性分析；第 7 节总结全文并提出展望。</w:t>
      </w:r>
    </w:p>
    <w:p w14:paraId="314C3B6D">
      <w:pPr>
        <w:pStyle w:val="2"/>
        <w:jc w:val="left"/>
        <w:rPr>
          <w:rFonts w:hint="eastAsia" w:ascii="黑体" w:hAnsi="黑体" w:cs="黑体"/>
          <w:color w:val="auto"/>
          <w:lang w:eastAsia="zh-CN"/>
        </w:rPr>
      </w:pPr>
      <w:r>
        <w:rPr>
          <w:lang w:eastAsia="zh-CN"/>
        </w:rPr>
        <w:t>2 文献综述</w:t>
      </w:r>
    </w:p>
    <w:p w14:paraId="54908CFA">
      <w:pPr>
        <w:ind w:firstLineChars="200"/>
        <w:rPr>
          <w:lang w:eastAsia="zh-CN"/>
        </w:rPr>
      </w:pPr>
      <w:r>
        <w:rPr>
          <w:lang w:eastAsia="zh-CN"/>
        </w:rPr>
        <w:t>围绕一对一取送、容量限制、最晚送达与多机协同，相关研究主要沿无人机取送货路径优化、时间约束下的取送货问题以及多无人机并行调度三条脉络展开。现有无人机物流研究中相当一部分以卡车—无人机协同为对象；本文则以纯无人机开放式取送为基础场景，并在多机求解中考虑可选的固定中继站异步接力。各无人机从调度中心或固定中继站的预部署起点出发，完成最后一项送达后无需返航。</w:t>
      </w:r>
    </w:p>
    <w:p w14:paraId="487D3E7E">
      <w:pPr>
        <w:pStyle w:val="4"/>
        <w:spacing w:after="80" w:line="360" w:lineRule="auto"/>
        <w:jc w:val="left"/>
        <w:rPr>
          <w:rFonts w:hint="eastAsia" w:ascii="黑体" w:hAnsi="黑体" w:cs="黑体"/>
          <w:szCs w:val="24"/>
          <w:lang w:eastAsia="zh-CN"/>
        </w:rPr>
      </w:pPr>
      <w:r>
        <w:rPr>
          <w:rFonts w:hint="eastAsia"/>
          <w:szCs w:val="24"/>
          <w:lang w:eastAsia="zh-CN"/>
        </w:rPr>
        <w:t>2.1 无人机取送货路径优化研究</w:t>
      </w:r>
    </w:p>
    <w:p w14:paraId="07D3424A">
      <w:pPr>
        <w:ind w:firstLineChars="200"/>
        <w:rPr>
          <w:lang w:eastAsia="zh-CN"/>
        </w:rPr>
      </w:pPr>
      <w:r>
        <w:rPr>
          <w:lang w:eastAsia="zh-CN"/>
        </w:rPr>
        <w:t>无人机路径优化研究首先围绕配送路径结构与求解方法展开。Murray &amp; Chu（2015）[16]、Wang et al.（2017）[24]等工作奠定了无人机辅助路径问题的基本建模基础；Sacramento et al.（2019）[19]采用自适应大邻域搜索处理较大规模的车辆—无人机路径问题；Schmidt et al.（2025）[21]进一步提出分支定价切割算法，为小规模实例提供高质量的精确求解基准。这些研究虽主要以配送或车辆—无人机协同为背景，但在路径表示、邻域搜索和精确算法设计方面为后续取送货问题提供了重要方法基础。</w:t>
      </w:r>
    </w:p>
    <w:p w14:paraId="4EA2D48B">
      <w:pPr>
        <w:ind w:firstLineChars="200"/>
        <w:rPr>
          <w:lang w:eastAsia="zh-CN"/>
        </w:rPr>
      </w:pPr>
      <w:r>
        <w:rPr>
          <w:lang w:eastAsia="zh-CN"/>
        </w:rPr>
        <w:t>从单纯配送向取送货一体化扩展，是与本文最直接相关的研究方向。Luo et al.（2022）[9]研究多访问无人机行程下的一对一取送货问题，明确刻画了同一任务“先取后送”的优先关系；Meng et al.（2023）[12]进一步在multi-visit框架下统一考虑取件与送货，并显式描述载荷变化。在容量约束方面，Masmoudi et al.（2022）[10]讨论了多包裹载荷结构；Mulumba &amp; Diabat（2024）[15]则通过数学规划强化与任务重分配机制提升取送货问题的求解效率。</w:t>
      </w:r>
    </w:p>
    <w:p w14:paraId="57C0B328">
      <w:pPr>
        <w:ind w:firstLineChars="200"/>
        <w:rPr>
          <w:lang w:eastAsia="zh-CN"/>
        </w:rPr>
      </w:pPr>
      <w:r>
        <w:rPr>
          <w:lang w:eastAsia="zh-CN"/>
        </w:rPr>
        <w:t>在场景扩展方面，Zhu et al.（2024）[28]以多无人机总飞行距离最小化为目标，说明了里程型目标在多机物流网络中的适用性。在动态订单方面，Pina-Pardo et al.（2024）[18]将无人机补给决策拓展至实时环境，体现了相关路径模型向动态场景延伸的可能性。对本文而言，这些扩展工作的主要启示在于：当任务规模扩大后，仅依赖精确算法往往难以兼顾解质量与计算时效，需要将数学模型与高效启发式搜索结合。</w:t>
      </w:r>
    </w:p>
    <w:p w14:paraId="16A5FD7F">
      <w:pPr>
        <w:ind w:firstLineChars="200"/>
        <w:rPr>
          <w:lang w:eastAsia="zh-CN"/>
        </w:rPr>
      </w:pPr>
      <w:r>
        <w:rPr>
          <w:lang w:eastAsia="zh-CN"/>
        </w:rPr>
        <w:t>总体来看，现有研究已经分别覆盖取送配对、多包裹容量与路径优化等关键要素，但与本文场景仍存在两点差异：其一，许多研究依赖卡车接驳、站点同步或返航机制，而本文考虑从调度中心或预部署起点出发、完成最后一项送达后即可终止的纯无人机开放式路径；其二，本文需要在较紧容量约束下同时处理多任务交叉取送。因此，现有方法可作为建模与算法设计基础，但仍需针对本问题的路径结构进行处理。</w:t>
      </w:r>
    </w:p>
    <w:p w14:paraId="78FA9D31">
      <w:pPr>
        <w:pStyle w:val="4"/>
        <w:spacing w:after="80" w:line="360" w:lineRule="auto"/>
        <w:jc w:val="left"/>
        <w:rPr>
          <w:rFonts w:hint="eastAsia" w:ascii="黑体" w:hAnsi="黑体" w:cs="黑体"/>
          <w:szCs w:val="24"/>
          <w:lang w:eastAsia="zh-CN"/>
        </w:rPr>
      </w:pPr>
      <w:r>
        <w:rPr>
          <w:lang w:eastAsia="zh-CN"/>
        </w:rPr>
        <w:t>2.2 时间约束下的取送货问题及求解研究</w:t>
      </w:r>
    </w:p>
    <w:p w14:paraId="416D5983">
      <w:pPr>
        <w:ind w:firstLineChars="200"/>
        <w:rPr>
          <w:lang w:eastAsia="zh-CN"/>
        </w:rPr>
      </w:pPr>
      <w:r>
        <w:rPr>
          <w:lang w:eastAsia="zh-CN"/>
        </w:rPr>
        <w:t>时间约束直接决定无人机调度方案的服务可行性。Di Puglia Pugliese &amp; Guerriero（2017）[6]较早将时间要求纳入无人机末端配送；Yin et al.（2023）[25]进一步将时间窗与multi-visit路径联合建模，并利用分支定价切割方法进行精确求解；Joo &amp; Lee（2025）[7]则从鲁棒优化角度扩展了带时间窗的无人机路径问题。这类研究为到达时间变量、时间传播约束以及时间可行性判定提供了成熟的建模思路。</w:t>
      </w:r>
    </w:p>
    <w:p w14:paraId="1B0FC20C">
      <w:pPr>
        <w:ind w:firstLineChars="200"/>
        <w:rPr>
          <w:lang w:eastAsia="zh-CN"/>
        </w:rPr>
      </w:pPr>
      <w:r>
        <w:rPr>
          <w:lang w:eastAsia="zh-CN"/>
        </w:rPr>
        <w:t>在取送货与时间约束的融合方面，Meng et al.（2024）[13]将取件、送达、配对服务和时间窗统一纳入多访问无人机路径模型，并设计定制化ALNS求解，为本文同时处理配对关系与时效要求提供了最直接的参考。Deng et al.（2023）[4]在经典PDPTW中系统处理取送优先关系、时间窗传播与不相容约束，其结构化约束同样可迁移至无人机取送调度。Deng et al.（2024）[5]从最晚送达期限出发研究卡车—无人机路径优化，也表明deadline型服务要求可以与路径成本共同纳入优化框架。</w:t>
      </w:r>
    </w:p>
    <w:p w14:paraId="4693F677">
      <w:pPr>
        <w:ind w:firstLineChars="200"/>
        <w:rPr>
          <w:lang w:eastAsia="zh-CN"/>
        </w:rPr>
      </w:pPr>
      <w:r>
        <w:rPr>
          <w:lang w:eastAsia="zh-CN"/>
        </w:rPr>
        <w:t>进一步地，Meng et al.（2024）[14]研究软时间窗与随机旅行时间下的无人机辅助路径问题，Cheng et al.（2024）[3]则从天气不确定性角度构建鲁棒无人机配送模型。上述工作拓展了时间约束研究的现实性，但本文依据题设采用确定性环境，不考虑天气、随机旅行时间与空域冲突，因此相关文献的价值主要体现在软时效处理和算法机制。</w:t>
      </w:r>
    </w:p>
    <w:p w14:paraId="3562FE3C">
      <w:pPr>
        <w:ind w:firstLineChars="200"/>
        <w:rPr>
          <w:lang w:eastAsia="zh-CN"/>
        </w:rPr>
      </w:pPr>
      <w:r>
        <w:rPr>
          <w:lang w:eastAsia="zh-CN"/>
        </w:rPr>
        <w:t>与一般双边时间窗不同，本文仅对每项任务规定最晚送达时刻；同时，题设允许在全部任务无法同时准时完成时合理牺牲个别任务的时效，以优先保障更多任务准时完成。基于这一服务逻辑，本文不采用将不同指标简单加权的单一目标函数，而采用三层字典序目标：首先最小化逾期任务数，其次最小化总逾期时长，最后最小化总飞行里程。</w:t>
      </w:r>
    </w:p>
    <w:p w14:paraId="31C016D2">
      <w:pPr>
        <w:pStyle w:val="4"/>
        <w:spacing w:after="80" w:line="360" w:lineRule="auto"/>
        <w:jc w:val="left"/>
        <w:rPr>
          <w:rFonts w:hint="eastAsia" w:ascii="黑体" w:hAnsi="黑体" w:cs="黑体"/>
          <w:szCs w:val="24"/>
          <w:lang w:eastAsia="zh-CN"/>
        </w:rPr>
      </w:pPr>
      <w:r>
        <w:rPr>
          <w:szCs w:val="24"/>
          <w:lang w:eastAsia="zh-CN"/>
        </w:rPr>
        <w:t>2.3 多无人机协同调度研究</w:t>
      </w:r>
    </w:p>
    <w:p w14:paraId="313833A8">
      <w:pPr>
        <w:ind w:firstLineChars="200"/>
        <w:rPr>
          <w:lang w:eastAsia="zh-CN"/>
        </w:rPr>
      </w:pPr>
      <w:r>
        <w:rPr>
          <w:lang w:eastAsia="zh-CN"/>
        </w:rPr>
        <w:t>由单架无人机扩展至无人机集群后，问题的核心由单一路径排序转变为“任务分配—单机路径构造”的联合优化。Mbiadou Saleu et al.（2022）[11]研究多无人机并行调度与任务分割；Nguyen et al.（2022）[17]进一步面向最小成本并行无人机调度设计Ruin-and-Recreate元启发式，并验证了其处理200任务级实例的能力。该类研究表明，破坏—修复机制适合在大规模任务集中同时调整任务归属与访问顺序，对本文集群算法具有直接借鉴意义。</w:t>
      </w:r>
    </w:p>
    <w:p w14:paraId="542284CE">
      <w:pPr>
        <w:ind w:firstLineChars="200"/>
        <w:rPr>
          <w:lang w:eastAsia="zh-CN"/>
        </w:rPr>
      </w:pPr>
      <w:r>
        <w:rPr>
          <w:lang w:eastAsia="zh-CN"/>
        </w:rPr>
        <w:t>从更一般的协同调度角度看，Salama &amp; Srinivas（2022）[20]、Zhou et al.（2023）[27]和Zhen et al.（2025）[26]分别从任务—时序协同、两级网络与按需配送角度讨论资源配置，Kloster et al.（2023）[8]则采用分解式启发式处理并行服务问题。尽管这些研究包含卡车、站点或两级网络等额外结构，其共同启示在于：多机系统需要在有限运力下联合协调任务归属与路径重排。本文据此聚焦纯无人机开放式调度，不考虑卡车同步、航线冲突和中途补给。</w:t>
      </w:r>
    </w:p>
    <w:p w14:paraId="58C0BB14">
      <w:pPr>
        <w:ind w:firstLineChars="200"/>
        <w:rPr>
          <w:lang w:eastAsia="zh-CN"/>
        </w:rPr>
      </w:pPr>
      <w:r>
        <w:rPr>
          <w:lang w:eastAsia="zh-CN"/>
        </w:rPr>
        <w:t>与本文的固定中继站异步接力策略相关，已有研究表明，非客户汇合节点和柔性停靠能够提升不同运载单元之间的协同灵活性[30,31]。不同于主要面向卡车—无人机发射、回收或停靠的既有研究，本文将无人机之间的包裹交接作为多机调度的可选策略，用于扩展任务重组与路径协同空间。本文进一步区分直送与接力送：接力送最多经过一个固定中继站，并采用“先卸后取”的异步交接；中继站可缓存包裹，也可独立作为无人机预部署起点，因而不要求两架无人机同时到站。</w:t>
      </w:r>
    </w:p>
    <w:p w14:paraId="4B4DA555">
      <w:pPr>
        <w:ind w:firstLineChars="200"/>
        <w:rPr>
          <w:lang w:eastAsia="zh-CN"/>
        </w:rPr>
      </w:pPr>
      <w:r>
        <w:rPr>
          <w:lang w:eastAsia="zh-CN"/>
        </w:rPr>
        <w:t>综上，本文研究框架包括三方面：构建带最晚送达时限的开放式一对一取送模型；采用“逾期任务数—总逾期时长—总飞行里程”的三层字典序目标；面向较大规模多机实例设计自适应大邻域搜索与结构化邻域，并将直送、接力送及中继站预部署纳入统一协同框架。对应内容分别见第3—6节。</w:t>
      </w:r>
    </w:p>
    <w:p w14:paraId="7CCC8731">
      <w:pPr>
        <w:pStyle w:val="2"/>
        <w:jc w:val="left"/>
        <w:rPr>
          <w:rFonts w:hint="eastAsia" w:ascii="黑体" w:hAnsi="黑体" w:cs="黑体"/>
          <w:color w:val="auto"/>
          <w:lang w:eastAsia="zh-CN"/>
        </w:rPr>
      </w:pPr>
      <w:r>
        <w:rPr>
          <w:lang w:eastAsia="zh-CN"/>
        </w:rPr>
        <w:t>3 问题描述与数学模型</w:t>
      </w:r>
    </w:p>
    <w:p w14:paraId="4D6B506C">
      <w:pPr>
        <w:pStyle w:val="170"/>
        <w:rPr>
          <w:rFonts w:hint="eastAsia" w:ascii="宋体" w:hAnsi="宋体" w:cs="宋体"/>
          <w:sz w:val="24"/>
          <w:szCs w:val="24"/>
          <w:lang w:eastAsia="zh-CN"/>
        </w:rPr>
      </w:pPr>
      <w:r>
        <w:rPr>
          <w:lang w:eastAsia="zh-CN"/>
        </w:rPr>
        <w:t>本文参考Meng et al.[13]的有向图、路径流、时间传播与载荷流建模方式，构建开放式多无人机一对一取送货基础模型，并在其上给出固定中继站异步接力策略的扩展数学刻画；随后利用问题结构构造有效不等式。</w:t>
      </w:r>
    </w:p>
    <w:p w14:paraId="28F90F2F">
      <w:pPr>
        <w:pStyle w:val="4"/>
        <w:spacing w:after="80" w:line="360" w:lineRule="auto"/>
        <w:jc w:val="left"/>
        <w:rPr>
          <w:rFonts w:hint="eastAsia" w:ascii="黑体" w:hAnsi="黑体" w:cs="黑体"/>
          <w:szCs w:val="24"/>
          <w:lang w:eastAsia="zh-CN"/>
        </w:rPr>
      </w:pPr>
      <w:r>
        <w:rPr>
          <w:szCs w:val="24"/>
          <w:lang w:eastAsia="zh-CN"/>
        </w:rPr>
        <w:t>3.1 问题描述</w:t>
      </w:r>
    </w:p>
    <w:p w14:paraId="75C850A4">
      <w:pPr>
        <w:ind w:firstLineChars="200"/>
        <w:rPr>
          <w:lang w:eastAsia="zh-CN"/>
        </w:rPr>
      </w:pPr>
      <w:r>
        <w:rPr>
          <w:lang w:eastAsia="zh-CN"/>
        </w:rPr>
        <w:t>本文研究低空物流场景下的多无人机一对一取送货调度。每项任务由相互关联的取件与送达操作构成，基础直接服务要求同一任务由同一架无人机完成，并严格满足先取后送；不同任务的取、送节点可在同一路径中交叉访问。路径连续性、取送优先关系、载荷容量与最晚送达时限共同决定调度可行性。Luo et al.[9]、Meng et al.[12,13]分别从一对一取送、多访问载荷变化和时间窗等方面提供了直接建模基础；在此基础上，本文进一步考虑纯无人机、多机并行和开放式终止。</w:t>
      </w:r>
    </w:p>
    <w:p w14:paraId="20CAAA3A">
      <w:pPr>
        <w:ind w:firstLineChars="200"/>
        <w:rPr>
          <w:lang w:eastAsia="zh-CN"/>
        </w:rPr>
      </w:pPr>
      <w:r>
        <w:rPr>
          <w:lang w:eastAsia="zh-CN"/>
        </w:rPr>
        <w:t>具体而言，系统由单一调度中心、若干架性能相同的物流无人机、一组固定中继站和一组成对取送任务构成。任务信息、站点位置及节点间距离在调度前已知，每项任务对应1件包裹；无人机可按任务需求预部署在调度中心或中继站，均从t=0空载出发。基础直送下同一任务不拆分或跨机转运，不同任务的取送操作可交叉执行。无人机最多同时携带2件包裹，并受单机累计负责最终送达的原始任务数上限约束；所有任务均须完成，允许个别任务超过最晚送达时刻。完成最后一项送达后无人机即可结束作业，无需返航。本文采用确定性规划，不考虑装卸时间、电量消耗、空域冲突与随机扰动。</w:t>
      </w:r>
    </w:p>
    <w:p w14:paraId="22E8364F">
      <w:pPr>
        <w:ind w:firstLineChars="200"/>
        <w:rPr>
          <w:lang w:eastAsia="zh-CN"/>
        </w:rPr>
      </w:pPr>
      <w:r>
        <w:rPr>
          <w:lang w:eastAsia="zh-CN"/>
        </w:rPr>
        <w:t>在多无人机场景下，每项任务可在直送与接力送两种服务方式中择一。直送由同一架无人机依次完成取件和最终送达；接力送则经求解前生成且在本次求解中位置固定的候选中继站，将任务拆分为“取件—中继站卸货”和“中继站取货—最终送达”两段，两段可由同一架或不同无人机承担，跨机时形成包裹交接。每项任务至多经过一个中继站；中继站承担缓存与交接；当前模型不设置最大缓存时长、库存容量、服务容量与长期库存决策。若末程无人机先到，则等待首程卸货；若包裹先到，则在站内缓存至末程取货，因此只要求取货时刻不早于卸货时刻，而不强制两架无人机同时到站。任务是否逾期及其逾期时长均以最终送达时刻判定。中继站还可作为无人机预部署起点，预部署与该站是否实际承担接力相互独立。该设定与车辆路径中的时空同步、非客户汇合与柔性停靠机制相衔接[29-31]。</w:t>
      </w:r>
    </w:p>
    <w:p w14:paraId="19F13649">
      <w:pPr>
        <w:ind w:firstLineChars="200"/>
        <w:rPr>
          <w:lang w:eastAsia="zh-CN"/>
        </w:rPr>
      </w:pPr>
      <w:r>
        <w:rPr>
          <w:lang w:eastAsia="zh-CN"/>
        </w:rPr>
        <w:t>所有任务均须完成。模型采用三层字典序目标：首先最小化逾期任务数，其次在第一层最优解集合中最小化总逾期时长，最后在前两层最优解集合中最小化总飞行里程。节点间距离采用二维欧氏距离[26]。下文将该问题称为“带最晚送达时限的开放式多无人机一对一取送货问题”。</w:t>
      </w:r>
    </w:p>
    <w:p w14:paraId="2D9AA845">
      <w:pPr>
        <w:ind w:firstLineChars="200"/>
        <w:jc w:val="both"/>
        <w:rPr>
          <w:rFonts w:hint="eastAsia" w:eastAsia="宋体"/>
          <w:lang w:eastAsia="zh-CN"/>
        </w:rPr>
      </w:pPr>
      <w:r>
        <w:rPr>
          <w:rFonts w:hint="eastAsia"/>
          <w:lang w:eastAsia="zh-CN"/>
        </w:rPr>
        <w:t>图2给出一个包含2项配送任务的小规模可行调度示例。记0为无人机初始位置，1+/1−和2+/2−分别表示任务1、2的取件/送达节点；任意节点间距离由题设给定。具体数据与求解结果将在第5节进一步报告。</w:t>
      </w:r>
    </w:p>
    <w:p w14:paraId="55BC3F5F">
      <w:pPr>
        <w:ind w:firstLineChars="200"/>
        <w:jc w:val="center"/>
        <w:rPr>
          <w:rFonts w:hint="eastAsia" w:eastAsia="宋体"/>
          <w:lang w:eastAsia="zh-CN"/>
        </w:rPr>
      </w:pPr>
      <w:r>
        <w:rPr>
          <w:rFonts w:hint="eastAsia" w:eastAsia="宋体"/>
          <w:lang w:eastAsia="zh-CN"/>
        </w:rPr>
        <w:drawing>
          <wp:inline distT="0" distB="0" distL="114300" distR="114300">
            <wp:extent cx="3239770" cy="1978660"/>
            <wp:effectExtent l="0" t="0" r="11430" b="2540"/>
            <wp:docPr id="6" name="图片 6" descr="4c6353dc-5a67-4750-bacc-f011c3cbe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c6353dc-5a67-4750-bacc-f011c3cbe41e"/>
                    <pic:cNvPicPr>
                      <a:picLocks noChangeAspect="1"/>
                    </pic:cNvPicPr>
                  </pic:nvPicPr>
                  <pic:blipFill>
                    <a:blip r:embed="rId6"/>
                    <a:srcRect l="11722" t="7803" r="14748" b="12403"/>
                    <a:stretch>
                      <a:fillRect/>
                    </a:stretch>
                  </pic:blipFill>
                  <pic:spPr>
                    <a:xfrm>
                      <a:off x="0" y="0"/>
                      <a:ext cx="3239770" cy="1978660"/>
                    </a:xfrm>
                    <a:prstGeom prst="rect">
                      <a:avLst/>
                    </a:prstGeom>
                  </pic:spPr>
                </pic:pic>
              </a:graphicData>
            </a:graphic>
          </wp:inline>
        </w:drawing>
      </w:r>
    </w:p>
    <w:p w14:paraId="0D6E2691">
      <w:pPr>
        <w:ind w:firstLineChars="200"/>
        <w:jc w:val="center"/>
        <w:rPr>
          <w:lang w:eastAsia="zh-CN"/>
        </w:rPr>
      </w:pPr>
      <w:r>
        <w:rPr>
          <w:lang w:eastAsia="zh-CN"/>
        </w:rPr>
        <w:t>图</w:t>
      </w:r>
      <w:r>
        <w:rPr>
          <w:rFonts w:hint="eastAsia"/>
          <w:lang w:val="en-US" w:eastAsia="zh-CN"/>
        </w:rPr>
        <w:t>2</w:t>
      </w:r>
      <w:r>
        <w:rPr>
          <w:lang w:eastAsia="zh-CN"/>
        </w:rPr>
        <w:t xml:space="preserve"> </w:t>
      </w:r>
      <w:r>
        <w:rPr>
          <w:rFonts w:hint="eastAsia"/>
          <w:lang w:val="en-US" w:eastAsia="zh-CN"/>
        </w:rPr>
        <w:t>小规模算例可行解示意</w:t>
      </w:r>
    </w:p>
    <w:p w14:paraId="31D809D6">
      <w:pPr>
        <w:pStyle w:val="4"/>
        <w:spacing w:after="80" w:line="360" w:lineRule="auto"/>
        <w:jc w:val="left"/>
        <w:rPr>
          <w:rFonts w:hint="eastAsia" w:ascii="黑体" w:hAnsi="黑体" w:cs="黑体"/>
          <w:szCs w:val="24"/>
          <w:lang w:eastAsia="zh-CN"/>
        </w:rPr>
      </w:pPr>
      <w:r>
        <w:rPr>
          <w:lang w:eastAsia="zh-CN"/>
        </w:rPr>
        <w:t>3.2 符号说明</w:t>
      </w:r>
    </w:p>
    <w:p w14:paraId="47FE26EA">
      <w:pPr>
        <w:rPr>
          <w:szCs w:val="21"/>
          <w:lang w:eastAsia="zh-CN"/>
        </w:rPr>
      </w:pPr>
      <w:bookmarkStart w:id="0" w:name="数学模型"/>
      <w:r>
        <w:rPr>
          <w:lang w:eastAsia="zh-CN"/>
        </w:rPr>
        <w:t>上述带最晚送达时限的开放式多无人机一对一取送货问题可表示为有向图</w:t>
      </w:r>
      <m:oMath>
        <m:r>
          <m:rPr/>
          <w:rPr>
            <w:rFonts w:ascii="Cambria Math" w:hAnsi="Cambria Math" w:eastAsia="Cambria Math" w:cs="Cambria Math"/>
            <w:szCs w:val="21"/>
            <w:lang w:eastAsia="zh-CN"/>
          </w:rPr>
          <m:t>G=(V,A)</m:t>
        </m:r>
      </m:oMath>
      <w:r>
        <w:rPr>
          <w:lang w:eastAsia="zh-CN"/>
        </w:rPr>
        <w:t>，其中</w:t>
      </w:r>
      <m:oMath>
        <m:r>
          <m:rPr/>
          <w:rPr>
            <w:rFonts w:ascii="Cambria Math" w:hAnsi="Cambria Math" w:eastAsia="Cambria Math" w:cs="Cambria Math"/>
            <w:szCs w:val="21"/>
            <w:lang w:eastAsia="zh-CN"/>
          </w:rPr>
          <m:t>V</m:t>
        </m:r>
      </m:oMath>
      <w:r>
        <w:rPr>
          <w:lang w:eastAsia="zh-CN"/>
        </w:rPr>
        <w:t>为节点集合，</w:t>
      </w:r>
      <m:oMath>
        <m:r>
          <m:rPr/>
          <w:rPr>
            <w:rFonts w:ascii="Cambria Math" w:hAnsi="Cambria Math" w:eastAsia="Cambria Math" w:cs="Cambria Math"/>
            <w:szCs w:val="21"/>
            <w:lang w:eastAsia="zh-CN"/>
          </w:rPr>
          <m:t>A</m:t>
        </m:r>
      </m:oMath>
      <w:r>
        <w:rPr>
          <w:lang w:eastAsia="zh-CN"/>
        </w:rPr>
        <w:t>为候选有向弧集合。设系统包含</w:t>
      </w:r>
      <m:oMath>
        <m:r>
          <m:rPr/>
          <w:rPr>
            <w:rFonts w:ascii="Cambria Math" w:hAnsi="Cambria Math" w:eastAsia="Cambria Math" w:cs="Cambria Math"/>
            <w:szCs w:val="21"/>
            <w:lang w:eastAsia="zh-CN"/>
          </w:rPr>
          <m:t>N</m:t>
        </m:r>
      </m:oMath>
      <w:r>
        <w:rPr>
          <w:lang w:eastAsia="zh-CN"/>
        </w:rPr>
        <w:t>项一对一取送任务，任务集合记为</w:t>
      </w:r>
      <m:oMath>
        <m:r>
          <m:rPr/>
          <w:rPr>
            <w:rFonts w:ascii="Cambria Math" w:hAnsi="Cambria Math" w:eastAsia="Cambria Math" w:cs="Cambria Math"/>
            <w:szCs w:val="21"/>
            <w:lang w:eastAsia="zh-CN"/>
          </w:rPr>
          <m:t>R={1,2,…,N}</m:t>
        </m:r>
      </m:oMath>
      <w:r>
        <w:rPr>
          <w:lang w:eastAsia="zh-CN"/>
        </w:rPr>
        <w:t>；可用无人机数量为</w:t>
      </w:r>
      <m:oMath>
        <m:r>
          <m:rPr/>
          <w:rPr>
            <w:rFonts w:ascii="Cambria Math" w:hAnsi="Cambria Math" w:eastAsia="Cambria Math" w:cs="Cambria Math"/>
            <w:szCs w:val="21"/>
            <w:lang w:eastAsia="zh-CN"/>
          </w:rPr>
          <m:t>M</m:t>
        </m:r>
      </m:oMath>
      <w:r>
        <w:rPr>
          <w:lang w:eastAsia="zh-CN"/>
        </w:rPr>
        <w:t>，无人机集合记为</w:t>
      </w:r>
      <m:oMath>
        <m:r>
          <m:rPr/>
          <w:rPr>
            <w:rFonts w:ascii="Cambria Math" w:hAnsi="Cambria Math" w:eastAsia="Cambria Math" w:cs="Cambria Math"/>
            <w:szCs w:val="21"/>
            <w:lang w:eastAsia="zh-CN"/>
          </w:rPr>
          <m:t>D={1,2,…,M}</m:t>
        </m:r>
      </m:oMath>
      <w:r>
        <w:rPr>
          <w:lang w:eastAsia="zh-CN"/>
        </w:rPr>
        <w:t>，并以</w:t>
      </w:r>
      <m:oMath>
        <m:r>
          <m:rPr/>
          <w:rPr>
            <w:rFonts w:ascii="Cambria Math" w:hAnsi="Cambria Math" w:eastAsia="Cambria Math" w:cs="Cambria Math"/>
            <w:szCs w:val="21"/>
            <w:lang w:eastAsia="zh-CN"/>
          </w:rPr>
          <m:t>k∈D</m:t>
        </m:r>
      </m:oMath>
      <w:r>
        <w:rPr>
          <w:lang w:eastAsia="zh-CN"/>
        </w:rPr>
        <w:t>表示第</w:t>
      </w:r>
      <m:oMath>
        <m:r>
          <m:rPr/>
          <w:rPr>
            <w:rFonts w:ascii="Cambria Math" w:hAnsi="Cambria Math" w:eastAsia="Cambria Math" w:cs="Cambria Math"/>
            <w:szCs w:val="21"/>
            <w:lang w:eastAsia="zh-CN"/>
          </w:rPr>
          <m:t>k</m:t>
        </m:r>
      </m:oMath>
      <w:r>
        <w:rPr>
          <w:lang w:eastAsia="zh-CN"/>
        </w:rPr>
        <w:t>架无人机。</w:t>
      </w:r>
    </w:p>
    <w:p w14:paraId="0E55F4D0">
      <w:pPr>
        <w:rPr>
          <w:lang w:eastAsia="zh-CN"/>
        </w:rPr>
      </w:pPr>
      <w:r>
        <w:rPr>
          <w:lang w:eastAsia="zh-CN"/>
        </w:rPr>
        <w:t>基础直送模型的节点集合包含调度中心、取件节点集合、送达节点集合以及虚拟终止节点，即</w:t>
      </w:r>
      <m:oMath>
        <m:r>
          <m:rPr/>
          <m:t>V</m:t>
        </m:r>
        <m:r>
          <m:rPr>
            <m:sty m:val="p"/>
          </m:rPr>
          <m:t>={</m:t>
        </m:r>
        <m:r>
          <m:rPr/>
          <m:t>0</m:t>
        </m:r>
        <m:r>
          <m:rPr>
            <m:sty m:val="p"/>
          </m:rPr>
          <m:t>}∪</m:t>
        </m:r>
        <m:sSup>
          <m:sSupPr/>
          <m:e>
            <m:r>
              <m:rPr/>
              <m:t>V</m:t>
            </m:r>
          </m:e>
          <m:sup>
            <m:r>
              <m:rPr/>
              <m:t>p</m:t>
            </m:r>
          </m:sup>
        </m:sSup>
        <m:r>
          <m:rPr>
            <m:sty m:val="p"/>
          </m:rPr>
          <m:t>∪</m:t>
        </m:r>
        <m:sSup>
          <m:sSupPr/>
          <m:e>
            <m:r>
              <m:rPr/>
              <m:t>V</m:t>
            </m:r>
          </m:e>
          <m:sup>
            <m:r>
              <m:rPr/>
              <m:t>d</m:t>
            </m:r>
          </m:sup>
        </m:sSup>
        <m:r>
          <m:rPr>
            <m:sty m:val="p"/>
          </m:rPr>
          <m:t>∪{</m:t>
        </m:r>
        <m:r>
          <m:rPr/>
          <m:t>2N</m:t>
        </m:r>
        <m:r>
          <m:rPr>
            <m:sty m:val="p"/>
          </m:rPr>
          <m:t>+</m:t>
        </m:r>
        <m:r>
          <m:rPr/>
          <m:t>1</m:t>
        </m:r>
        <m:r>
          <m:rPr>
            <m:sty m:val="p"/>
          </m:rPr>
          <m:t>}</m:t>
        </m:r>
      </m:oMath>
      <w:r>
        <w:rPr>
          <w:lang w:eastAsia="zh-CN"/>
        </w:rPr>
        <w:t>。对于任意任务</w:t>
      </w:r>
      <m:oMath>
        <m:r>
          <m:rPr/>
          <m:t>i</m:t>
        </m:r>
        <m:r>
          <m:rPr>
            <m:sty m:val="p"/>
          </m:rPr>
          <m:t>∈</m:t>
        </m:r>
        <m:r>
          <m:rPr/>
          <m:t>R</m:t>
        </m:r>
      </m:oMath>
      <w:r>
        <w:rPr>
          <w:lang w:eastAsia="zh-CN"/>
        </w:rPr>
        <w:t>，节点</w:t>
      </w:r>
      <m:oMath>
        <m:r>
          <m:rPr/>
          <m:t>i</m:t>
        </m:r>
      </m:oMath>
      <w:r>
        <w:rPr>
          <w:lang w:eastAsia="zh-CN"/>
        </w:rPr>
        <w:t>为取件节点，节点</w:t>
      </w:r>
      <m:oMath>
        <m:r>
          <m:rPr/>
          <m:t>i</m:t>
        </m:r>
        <m:r>
          <m:rPr>
            <m:sty m:val="p"/>
          </m:rPr>
          <m:t>+</m:t>
        </m:r>
        <m:r>
          <m:rPr/>
          <m:t>N</m:t>
        </m:r>
      </m:oMath>
      <w:r>
        <w:rPr>
          <w:lang w:eastAsia="zh-CN"/>
        </w:rPr>
        <w:t>为其唯一对应的送达节点。直送方式要求二者由同一架无人机服务且先取后送；接力送方式在3.3.7中通过中继虚拟操作节点扩展。</w:t>
      </w:r>
    </w:p>
    <w:p w14:paraId="34B06AB5">
      <w:pPr>
        <w:rPr>
          <w:lang w:eastAsia="zh-CN"/>
        </w:rPr>
      </w:pPr>
      <w:r>
        <w:rPr>
          <w:lang w:eastAsia="zh-CN"/>
        </w:rPr>
        <w:t>设固定中继站集合为</w:t>
      </w:r>
      <m:oMath>
        <m:sSup>
          <m:sSupPr/>
          <m:e>
            <m:r>
              <m:rPr/>
              <m:t>V</m:t>
            </m:r>
          </m:e>
          <m:sup>
            <m:r>
              <m:rPr/>
              <m:t>r</m:t>
            </m:r>
          </m:sup>
        </m:sSup>
      </m:oMath>
      <w:r>
        <w:rPr>
          <w:lang w:eastAsia="zh-CN"/>
        </w:rPr>
        <w:t>，索引为</w:t>
      </w:r>
      <m:oMath>
        <m:r>
          <m:rPr/>
          <m:t>ℎ</m:t>
        </m:r>
      </m:oMath>
      <w:r>
        <w:rPr>
          <w:lang w:eastAsia="zh-CN"/>
        </w:rPr>
        <w:t>；其位置由选址预处理给定，并在一次求解内保持不变。任务</w:t>
      </w:r>
      <m:oMath>
        <m:r>
          <m:rPr/>
          <m:t>i</m:t>
        </m:r>
      </m:oMath>
      <w:r>
        <w:rPr>
          <w:lang w:eastAsia="zh-CN"/>
        </w:rPr>
        <w:t>仅在候选集合</w:t>
      </w:r>
      <m:oMath>
        <m:sSubSup>
          <m:sSubSupPr/>
          <m:e>
            <m:r>
              <m:rPr/>
              <m:t>V</m:t>
            </m:r>
          </m:e>
          <m:sub>
            <m:r>
              <m:rPr/>
              <m:t>i</m:t>
            </m:r>
          </m:sub>
          <m:sup>
            <m:r>
              <m:rPr/>
              <m:t>r</m:t>
            </m:r>
          </m:sup>
        </m:sSubSup>
        <m:r>
          <m:rPr>
            <m:sty m:val="p"/>
          </m:rPr>
          <m:t>⊆</m:t>
        </m:r>
        <m:sSup>
          <m:sSupPr/>
          <m:e>
            <m:r>
              <m:rPr/>
              <m:t>V</m:t>
            </m:r>
          </m:e>
          <m:sup>
            <m:r>
              <m:rPr/>
              <m:t>r</m:t>
            </m:r>
          </m:sup>
        </m:sSup>
      </m:oMath>
      <w:r>
        <w:rPr>
          <w:lang w:eastAsia="zh-CN"/>
        </w:rPr>
        <w:t>中选择中继站。对任务—站点组合</w:t>
      </w:r>
      <m:oMath>
        <m:d>
          <m:dPr>
            <m:sepChr m:val=""/>
          </m:dPr>
          <m:e>
            <m:r>
              <m:rPr/>
              <m:t>i</m:t>
            </m:r>
            <m:r>
              <m:rPr>
                <m:sty m:val="p"/>
              </m:rPr>
              <m:t>,</m:t>
            </m:r>
            <m:r>
              <m:rPr/>
              <m:t>ℎ</m:t>
            </m:r>
          </m:e>
        </m:d>
      </m:oMath>
      <w:r>
        <w:rPr>
          <w:lang w:eastAsia="zh-CN"/>
        </w:rPr>
        <w:t>构造物理位置相同的卸货节点</w:t>
      </w:r>
      <m:oMath>
        <m:sSubSup>
          <m:sSubSupPr/>
          <m:e>
            <m:r>
              <m:rPr/>
              <m:t>η</m:t>
            </m:r>
          </m:e>
          <m:sub>
            <m:r>
              <m:rPr/>
              <m:t>iℎ</m:t>
            </m:r>
          </m:sub>
          <m:sup>
            <m:r>
              <m:rPr>
                <m:sty m:val="p"/>
              </m:rPr>
              <m:t>−</m:t>
            </m:r>
          </m:sup>
        </m:sSubSup>
      </m:oMath>
      <w:r>
        <w:rPr>
          <w:lang w:eastAsia="zh-CN"/>
        </w:rPr>
        <w:t>和取货节点</w:t>
      </w:r>
      <m:oMath>
        <m:sSubSup>
          <m:sSubSupPr/>
          <m:e>
            <m:r>
              <m:rPr/>
              <m:t>η</m:t>
            </m:r>
          </m:e>
          <m:sub>
            <m:r>
              <m:rPr/>
              <m:t>iℎ</m:t>
            </m:r>
          </m:sub>
          <m:sup>
            <m:r>
              <m:rPr>
                <m:sty m:val="p"/>
              </m:rPr>
              <m:t>+</m:t>
            </m:r>
          </m:sup>
        </m:sSubSup>
      </m:oMath>
      <w:r>
        <w:rPr>
          <w:lang w:eastAsia="zh-CN"/>
        </w:rPr>
        <w:t>。中继站也可作为无人机预部署起点，但某站是否部署无人机与其能否承担交接相互独立。</w:t>
      </w:r>
    </w:p>
    <w:p w14:paraId="1CF656F8">
      <w:pPr>
        <w:rPr>
          <w:szCs w:val="21"/>
          <w:lang w:eastAsia="zh-CN"/>
        </w:rPr>
      </w:pPr>
      <w:r>
        <w:rPr>
          <w:lang w:eastAsia="zh-CN"/>
        </w:rPr>
        <w:t>为刻画开放式路径，令</w:t>
      </w:r>
      <m:oMath>
        <m:sSup>
          <m:sSupPr/>
          <m:e>
            <m:r>
              <m:rPr/>
              <m:t>V</m:t>
            </m:r>
          </m:e>
          <m:sup>
            <m:r>
              <m:rPr/>
              <m:t>o</m:t>
            </m:r>
          </m:sup>
        </m:sSup>
        <m:r>
          <m:rPr>
            <m:sty m:val="p"/>
          </m:rPr>
          <m:t>=</m:t>
        </m:r>
        <m:r>
          <m:rPr/>
          <m:t>V</m:t>
        </m:r>
        <m:r>
          <m:rPr>
            <m:sty m:val="p"/>
          </m:rPr>
          <m:t>∖{</m:t>
        </m:r>
        <m:r>
          <m:rPr/>
          <m:t>2N</m:t>
        </m:r>
        <m:r>
          <m:rPr>
            <m:sty m:val="p"/>
          </m:rPr>
          <m:t>+</m:t>
        </m:r>
        <m:r>
          <m:rPr/>
          <m:t>1</m:t>
        </m:r>
        <m:r>
          <m:rPr>
            <m:sty m:val="p"/>
          </m:rPr>
          <m:t>}</m:t>
        </m:r>
      </m:oMath>
      <w:r>
        <w:rPr>
          <w:lang w:eastAsia="zh-CN"/>
        </w:rPr>
        <w:t>为允许产生出弧的节点集合，</w:t>
      </w:r>
      <m:oMath>
        <m:sSup>
          <m:sSupPr/>
          <m:e>
            <m:r>
              <m:rPr/>
              <m:t>V</m:t>
            </m:r>
          </m:e>
          <m:sup>
            <m:r>
              <m:rPr/>
              <m:t>e</m:t>
            </m:r>
          </m:sup>
        </m:sSup>
        <m:r>
          <m:rPr>
            <m:sty m:val="p"/>
          </m:rPr>
          <m:t>=</m:t>
        </m:r>
        <m:r>
          <m:rPr/>
          <m:t>V</m:t>
        </m:r>
        <m:r>
          <m:rPr>
            <m:sty m:val="p"/>
          </m:rPr>
          <m:t>∖{</m:t>
        </m:r>
        <m:r>
          <m:rPr/>
          <m:t>0</m:t>
        </m:r>
        <m:r>
          <m:rPr>
            <m:sty m:val="p"/>
          </m:rPr>
          <m:t>}</m:t>
        </m:r>
      </m:oMath>
      <w:r>
        <w:rPr>
          <w:lang w:eastAsia="zh-CN"/>
        </w:rPr>
        <w:t>为允许接受入弧的节点集合，并定义基础候选弧集</w:t>
      </w:r>
      <m:oMath>
        <m:r>
          <m:rPr/>
          <m:t>A</m:t>
        </m:r>
        <m:r>
          <m:rPr>
            <m:sty m:val="p"/>
          </m:rPr>
          <m:t>={</m:t>
        </m:r>
        <m:d>
          <m:dPr>
            <m:sepChr m:val=""/>
          </m:dPr>
          <m:e>
            <m:r>
              <m:rPr/>
              <m:t>i</m:t>
            </m:r>
            <m:r>
              <m:rPr>
                <m:sty m:val="p"/>
              </m:rPr>
              <m:t>,</m:t>
            </m:r>
            <m:r>
              <m:rPr/>
              <m:t>j</m:t>
            </m:r>
          </m:e>
        </m:d>
        <m:r>
          <m:rPr>
            <m:sty m:val="p"/>
          </m:rPr>
          <m:t>∣</m:t>
        </m:r>
        <m:r>
          <m:rPr/>
          <m:t>i</m:t>
        </m:r>
        <m:r>
          <m:rPr>
            <m:sty m:val="p"/>
          </m:rPr>
          <m:t>∈</m:t>
        </m:r>
        <m:sSup>
          <m:sSupPr/>
          <m:e>
            <m:r>
              <m:rPr/>
              <m:t>V</m:t>
            </m:r>
          </m:e>
          <m:sup>
            <m:r>
              <m:rPr/>
              <m:t>o</m:t>
            </m:r>
          </m:sup>
        </m:sSup>
        <m:r>
          <m:rPr>
            <m:sty m:val="p"/>
          </m:rPr>
          <m:t>,</m:t>
        </m:r>
        <m:r>
          <m:rPr/>
          <m:t>j</m:t>
        </m:r>
        <m:r>
          <m:rPr>
            <m:sty m:val="p"/>
          </m:rPr>
          <m:t>∈</m:t>
        </m:r>
        <m:sSup>
          <m:sSupPr/>
          <m:e>
            <m:r>
              <m:rPr/>
              <m:t>V</m:t>
            </m:r>
          </m:e>
          <m:sup>
            <m:r>
              <m:rPr/>
              <m:t>e</m:t>
            </m:r>
          </m:sup>
        </m:sSup>
        <m:r>
          <m:rPr>
            <m:sty m:val="p"/>
          </m:rPr>
          <m:t>,</m:t>
        </m:r>
        <m:r>
          <m:rPr/>
          <m:t>i</m:t>
        </m:r>
        <m:r>
          <m:rPr>
            <m:sty m:val="p"/>
          </m:rPr>
          <m:t>≠</m:t>
        </m:r>
        <m:r>
          <m:rPr/>
          <m:t>j</m:t>
        </m:r>
        <m:r>
          <m:rPr>
            <m:sty m:val="p"/>
          </m:rPr>
          <m:t>}</m:t>
        </m:r>
      </m:oMath>
      <w:r>
        <w:rPr>
          <w:lang w:eastAsia="zh-CN"/>
        </w:rPr>
        <w:t>。另记</w:t>
      </w:r>
      <m:oMath>
        <m:sSup>
          <m:sSupPr/>
          <m:e>
            <m:r>
              <m:rPr/>
              <m:t>V</m:t>
            </m:r>
          </m:e>
          <m:sup>
            <m:r>
              <m:rPr/>
              <m:t>s</m:t>
            </m:r>
          </m:sup>
        </m:sSup>
        <m:r>
          <m:rPr>
            <m:sty m:val="p"/>
          </m:rPr>
          <m:t>={</m:t>
        </m:r>
        <m:r>
          <m:rPr/>
          <m:t>0</m:t>
        </m:r>
        <m:r>
          <m:rPr>
            <m:sty m:val="p"/>
          </m:rPr>
          <m:t>}∪</m:t>
        </m:r>
        <m:sSup>
          <m:sSupPr/>
          <m:e>
            <m:r>
              <m:rPr/>
              <m:t>V</m:t>
            </m:r>
          </m:e>
          <m:sup>
            <m:r>
              <m:rPr/>
              <m:t>r</m:t>
            </m:r>
          </m:sup>
        </m:sSup>
      </m:oMath>
      <w:r>
        <w:rPr>
          <w:lang w:eastAsia="zh-CN"/>
        </w:rPr>
        <w:t>，以</w:t>
      </w:r>
      <m:oMath>
        <m:sSub>
          <m:sSubPr/>
          <m:e>
            <m:r>
              <m:rPr/>
              <m:t>o</m:t>
            </m:r>
          </m:e>
          <m:sub>
            <m:r>
              <m:rPr/>
              <m:t>k</m:t>
            </m:r>
          </m:sub>
        </m:sSub>
        <m:r>
          <m:rPr>
            <m:sty m:val="p"/>
          </m:rPr>
          <m:t>∈</m:t>
        </m:r>
        <m:sSup>
          <m:sSupPr/>
          <m:e>
            <m:r>
              <m:rPr/>
              <m:t>V</m:t>
            </m:r>
          </m:e>
          <m:sup>
            <m:r>
              <m:rPr/>
              <m:t>s</m:t>
            </m:r>
          </m:sup>
        </m:sSup>
      </m:oMath>
      <w:r>
        <w:rPr>
          <w:lang w:eastAsia="zh-CN"/>
        </w:rPr>
        <w:t>表示无人机</w:t>
      </w:r>
      <m:oMath>
        <m:r>
          <m:rPr/>
          <m:t>k</m:t>
        </m:r>
      </m:oMath>
      <w:r>
        <w:rPr>
          <w:lang w:eastAsia="zh-CN"/>
        </w:rPr>
        <w:t>在时刻0的固定起点，并将从</w:t>
      </w:r>
      <m:oMath>
        <m:sSub>
          <m:sSubPr/>
          <m:e>
            <m:r>
              <m:rPr/>
              <m:t>o</m:t>
            </m:r>
          </m:e>
          <m:sub>
            <m:r>
              <m:rPr/>
              <m:t>k</m:t>
            </m:r>
          </m:sub>
        </m:sSub>
      </m:oMath>
      <w:r>
        <w:rPr>
          <w:lang w:eastAsia="zh-CN"/>
        </w:rPr>
        <w:t>出发的首段飞行纳入相应路线。虚拟终止节点仅用于数学闭合，不对应返航。</w:t>
      </w:r>
    </w:p>
    <w:p w14:paraId="31732C5B">
      <w:pPr>
        <w:rPr>
          <w:szCs w:val="21"/>
          <w:lang w:eastAsia="zh-CN"/>
        </w:rPr>
      </w:pPr>
      <w:r>
        <w:rPr>
          <w:szCs w:val="21"/>
          <w:lang w:eastAsia="zh-CN"/>
        </w:rPr>
        <w:t>为避免在后续模型中重复刻画显然不可行的连接，构造候选弧集合时直接排除三类弧：由初始节点直接进入送达节点的弧、由取件节点直接进入虚拟终止节点的弧，以及同一任务由送达节点返回其取件节点的弧。</w:t>
      </w:r>
    </w:p>
    <w:p w14:paraId="2F1302DF">
      <w:pPr>
        <w:rPr>
          <w:lang w:eastAsia="zh-CN"/>
        </w:rPr>
      </w:pPr>
      <w:r>
        <w:rPr>
          <w:lang w:eastAsia="zh-CN"/>
        </w:rPr>
        <w:t>对于任意弧(i,j)∈A，以cij和τij分别表示欧氏飞行距离与飞行时间；以Tmax,i表示任务i的最晚送达时刻，以Q和K分别表示无人机最大同时载货量和单机累计最多负责最终送达的原始任务数。模型进一步引入路径选择、无人机启用、直送分配、接力方案选择、准时完成、最终送达时刻、逾期时长、节点服务时刻与动态载荷等变量。为避免符号定义重复分散，相关集合、参数与变量统一汇总于表3-1。</w:t>
      </w:r>
    </w:p>
    <w:p w14:paraId="20C4AF01">
      <w:pPr>
        <w:rPr>
          <w:rFonts w:hAnsi="Cambria Math" w:eastAsia="Cambria Math" w:cs="Cambria Math"/>
          <w:i w:val="0"/>
          <w:szCs w:val="21"/>
          <w:lang w:eastAsia="zh-CN"/>
        </w:rPr>
      </w:pPr>
      <w:r>
        <w:rPr>
          <w:lang w:eastAsia="zh-CN"/>
        </w:rPr>
        <w:t>为使开放式路径与弧流模型保持统一，规定任一最终送达节点至虚拟终止节点的距离和飞行时间均为0，因此该节点不产生额外返航成本。对于任意弧</w:t>
      </w:r>
      <m:oMath>
        <m:d>
          <m:dPr>
            <m:sepChr m:val=""/>
          </m:dPr>
          <m:e>
            <m:r>
              <m:rPr/>
              <m:t>i</m:t>
            </m:r>
            <m:r>
              <m:rPr>
                <m:sty m:val="p"/>
              </m:rPr>
              <m:t>,</m:t>
            </m:r>
            <m:r>
              <m:rPr/>
              <m:t>j</m:t>
            </m:r>
          </m:e>
        </m:d>
        <m:r>
          <m:rPr>
            <m:sty m:val="p"/>
          </m:rPr>
          <m:t>∈</m:t>
        </m:r>
        <m:r>
          <m:rPr/>
          <m:t>A</m:t>
        </m:r>
      </m:oMath>
      <w:r>
        <w:rPr>
          <w:lang w:eastAsia="zh-CN"/>
        </w:rPr>
        <w:t>，飞行时间由欧氏距离与恒定速度确定：</w:t>
      </w:r>
      <m:oMath>
        <m:sSub>
          <m:sSubPr/>
          <m:e>
            <m:r>
              <m:rPr/>
              <m:t>τ</m:t>
            </m:r>
          </m:e>
          <m:sub>
            <m:r>
              <m:rPr/>
              <m:t>ij</m:t>
            </m:r>
          </m:sub>
        </m:sSub>
        <m:r>
          <m:rPr>
            <m:sty m:val="p"/>
          </m:rPr>
          <m:t>=</m:t>
        </m:r>
        <m:sSub>
          <m:sSubPr/>
          <m:e>
            <m:r>
              <m:rPr/>
              <m:t>c</m:t>
            </m:r>
          </m:e>
          <m:sub>
            <m:r>
              <m:rPr/>
              <m:t>ij</m:t>
            </m:r>
          </m:sub>
        </m:sSub>
        <m:r>
          <m:rPr>
            <m:sty m:val="p"/>
          </m:rPr>
          <m:t>/</m:t>
        </m:r>
        <m:r>
          <m:rPr/>
          <m:t>v</m:t>
        </m:r>
      </m:oMath>
      <w:r>
        <w:rPr>
          <w:lang w:eastAsia="zh-CN"/>
        </w:rPr>
        <w:t>。</w:t>
      </w:r>
    </w:p>
    <w:p w14:paraId="4E2C1173">
      <w:pPr>
        <w:pStyle w:val="3"/>
        <w:tabs>
          <w:tab w:val="center" w:pos="4400"/>
          <w:tab w:val="right" w:pos="8800"/>
        </w:tabs>
        <w:spacing w:before="60" w:after="60" w:line="240" w:lineRule="auto"/>
        <w:ind w:firstLineChars="200"/>
        <w:rPr>
          <w:szCs w:val="21"/>
          <w:lang w:eastAsia="zh-CN"/>
        </w:rPr>
      </w:pPr>
      <w:r>
        <w:rPr>
          <w:lang w:eastAsia="zh-CN"/>
        </w:rPr>
        <w:t>为刻画取件与送达操作引起的动态载荷变化，定义实际任务节点</w:t>
      </w:r>
      <m:oMath>
        <m:r>
          <m:rPr/>
          <w:rPr>
            <w:rFonts w:ascii="Cambria Math" w:hAnsi="Cambria Math" w:eastAsia="Cambria Math" w:cs="Cambria Math"/>
            <w:szCs w:val="21"/>
            <w:lang w:eastAsia="zh-CN"/>
          </w:rPr>
          <m:t>i</m:t>
        </m:r>
      </m:oMath>
      <w:r>
        <w:rPr>
          <w:lang w:eastAsia="zh-CN"/>
        </w:rPr>
        <w:t>的载荷增量为：</w:t>
      </w:r>
    </w:p>
    <w:p w14:paraId="23168F40">
      <w:pPr>
        <w:pStyle w:val="3"/>
        <w:tabs>
          <w:tab w:val="center" w:pos="4400"/>
          <w:tab w:val="right" w:pos="8800"/>
        </w:tabs>
        <w:spacing w:before="60" w:after="60" w:line="240" w:lineRule="auto"/>
        <w:rPr>
          <w:szCs w:val="21"/>
        </w:rPr>
      </w:pPr>
      <w:r>
        <w:rPr>
          <w:szCs w:val="21"/>
          <w:lang w:eastAsia="zh-CN"/>
        </w:rPr>
        <w:tab/>
      </w:r>
      <m:oMath>
        <m:sSub>
          <m:sSubPr>
            <m:ctrlPr>
              <w:rPr>
                <w:rFonts w:ascii="Cambria Math" w:hAnsi="Cambria Math"/>
                <w:szCs w:val="21"/>
              </w:rPr>
            </m:ctrlPr>
          </m:sSubPr>
          <m:e>
            <m:r>
              <m:rPr/>
              <w:rPr>
                <w:rFonts w:ascii="Cambria Math" w:hAnsi="Cambria Math" w:eastAsia="Cambria Math" w:cs="Cambria Math"/>
                <w:szCs w:val="21"/>
              </w:rPr>
              <m:t>q</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Sub>
        <m:r>
          <m:rPr/>
          <w:rPr>
            <w:rFonts w:ascii="Cambria Math" w:hAnsi="Cambria Math" w:eastAsia="Cambria Math" w:cs="Cambria Math"/>
            <w:szCs w:val="21"/>
          </w:rPr>
          <m:t>=</m:t>
        </m:r>
        <m:d>
          <m:dPr>
            <m:begChr m:val="{"/>
            <m:endChr m:val=""/>
            <m:ctrlPr>
              <w:rPr>
                <w:rFonts w:ascii="Cambria Math" w:hAnsi="Cambria Math"/>
                <w:szCs w:val="21"/>
              </w:rPr>
            </m:ctrlPr>
          </m:dPr>
          <m:e>
            <m:m>
              <m:mPr>
                <m:mcs>
                  <m:mc>
                    <m:mcPr>
                      <m:count m:val="2"/>
                      <m:mcJc m:val="left"/>
                    </m:mcPr>
                  </m:mc>
                </m:mcs>
                <m:plcHide m:val="1"/>
                <m:ctrlPr>
                  <w:rPr>
                    <w:rFonts w:ascii="Cambria Math" w:hAnsi="Cambria Math"/>
                    <w:szCs w:val="21"/>
                  </w:rPr>
                </m:ctrlPr>
              </m:mPr>
              <m:mr>
                <m:e>
                  <m:r>
                    <m:rPr/>
                    <w:rPr>
                      <w:rFonts w:ascii="Cambria Math" w:hAnsi="Cambria Math" w:eastAsia="Cambria Math" w:cs="Cambria Math"/>
                      <w:szCs w:val="21"/>
                    </w:rPr>
                    <m:t>1,</m:t>
                  </m:r>
                  <m:ctrlPr>
                    <w:rPr>
                      <w:rFonts w:ascii="Cambria Math" w:hAnsi="Cambria Math"/>
                      <w:szCs w:val="21"/>
                    </w:rPr>
                  </m:ctrlPr>
                </m:e>
                <m:e>
                  <m:r>
                    <m:rPr/>
                    <w:rPr>
                      <w:rFonts w:ascii="Cambria Math" w:hAnsi="Cambria Math" w:eastAsia="Cambria Math" w:cs="Cambria Math"/>
                      <w:szCs w:val="21"/>
                    </w:rPr>
                    <m:t>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p</m:t>
                      </m:r>
                      <m:ctrlPr>
                        <w:rPr>
                          <w:rFonts w:ascii="Cambria Math" w:hAnsi="Cambria Math"/>
                          <w:szCs w:val="21"/>
                        </w:rPr>
                      </m:ctrlPr>
                    </m:sup>
                  </m:sSup>
                  <m:r>
                    <m:rPr/>
                    <w:rPr>
                      <w:rFonts w:ascii="Cambria Math" w:hAnsi="Cambria Math" w:eastAsia="Cambria Math" w:cs="Cambria Math"/>
                      <w:szCs w:val="21"/>
                    </w:rPr>
                    <m:t>,</m:t>
                  </m:r>
                  <m:ctrlPr>
                    <w:rPr>
                      <w:rFonts w:ascii="Cambria Math" w:hAnsi="Cambria Math"/>
                      <w:szCs w:val="21"/>
                    </w:rPr>
                  </m:ctrlPr>
                </m:e>
              </m:mr>
              <m:mr>
                <m:e>
                  <m:r>
                    <m:rPr/>
                    <w:rPr>
                      <w:rFonts w:ascii="Cambria Math" w:hAnsi="Cambria Math" w:eastAsia="Cambria Math" w:cs="Cambria Math"/>
                      <w:szCs w:val="21"/>
                    </w:rPr>
                    <m:t>−1,</m:t>
                  </m:r>
                  <m:ctrlPr>
                    <w:rPr>
                      <w:rFonts w:ascii="Cambria Math" w:hAnsi="Cambria Math"/>
                      <w:szCs w:val="21"/>
                    </w:rPr>
                  </m:ctrlPr>
                </m:e>
                <m:e>
                  <m:r>
                    <m:rPr/>
                    <w:rPr>
                      <w:rFonts w:ascii="Cambria Math" w:hAnsi="Cambria Math" w:eastAsia="Cambria Math" w:cs="Cambria Math"/>
                      <w:szCs w:val="21"/>
                    </w:rPr>
                    <m:t>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d</m:t>
                      </m:r>
                      <m:ctrlPr>
                        <w:rPr>
                          <w:rFonts w:ascii="Cambria Math" w:hAnsi="Cambria Math"/>
                          <w:szCs w:val="21"/>
                        </w:rPr>
                      </m:ctrlPr>
                    </m:sup>
                  </m:sSup>
                  <m:r>
                    <m:rPr/>
                    <w:rPr>
                      <w:rFonts w:ascii="Cambria Math" w:hAnsi="Cambria Math" w:eastAsia="Cambria Math" w:cs="Cambria Math"/>
                      <w:szCs w:val="21"/>
                    </w:rPr>
                    <m:t>.</m:t>
                  </m:r>
                  <m:ctrlPr>
                    <w:rPr>
                      <w:rFonts w:ascii="Cambria Math" w:hAnsi="Cambria Math"/>
                      <w:szCs w:val="21"/>
                    </w:rPr>
                  </m:ctrlPr>
                </m:e>
              </m:mr>
            </m:m>
            <m:ctrlPr>
              <w:rPr>
                <w:rFonts w:ascii="Cambria Math" w:hAnsi="Cambria Math"/>
                <w:szCs w:val="21"/>
              </w:rPr>
            </m:ctrlPr>
          </m:e>
        </m:d>
      </m:oMath>
      <w:r>
        <w:rPr>
          <w:szCs w:val="21"/>
        </w:rPr>
        <w:tab/>
      </w:r>
    </w:p>
    <w:p w14:paraId="1A44823C">
      <w:pPr>
        <w:rPr>
          <w:lang w:eastAsia="zh-CN"/>
        </w:rPr>
      </w:pPr>
      <w:r>
        <w:rPr>
          <w:lang w:eastAsia="zh-CN"/>
        </w:rPr>
        <w:t>时间传播约束中的充分大常数不采用任意经验取值。令</w:t>
      </w:r>
      <m:oMath>
        <m:sSub>
          <m:sSubPr>
            <m:ctrlPr>
              <w:rPr>
                <w:rFonts w:ascii="Cambria Math" w:hAnsi="Cambria Math"/>
              </w:rPr>
            </m:ctrlPr>
          </m:sSubPr>
          <m:e>
            <m:r>
              <m:rPr/>
              <w:rPr>
                <w:rFonts w:ascii="Cambria Math" w:hAnsi="Cambria Math" w:eastAsia="Cambria Math" w:cs="Cambria Math"/>
                <w:szCs w:val="21"/>
                <w:lang w:eastAsia="zh-CN"/>
              </w:rPr>
              <m:t>τ</m:t>
            </m:r>
            <m:ctrlPr>
              <w:rPr>
                <w:rFonts w:ascii="Cambria Math" w:hAnsi="Cambria Math"/>
              </w:rPr>
            </m:ctrlPr>
          </m:e>
          <m:sub>
            <m:r>
              <m:rPr/>
              <w:rPr>
                <w:rFonts w:ascii="Cambria Math" w:hAnsi="Cambria Math" w:eastAsia="Cambria Math" w:cs="Cambria Math"/>
                <w:szCs w:val="21"/>
                <w:lang w:eastAsia="zh-CN"/>
              </w:rPr>
              <m:t>max</m:t>
            </m:r>
            <m:ctrlPr>
              <w:rPr>
                <w:rFonts w:ascii="Cambria Math" w:hAnsi="Cambria Math"/>
              </w:rPr>
            </m:ctrlPr>
          </m:sub>
        </m:sSub>
        <m:r>
          <m:rPr/>
          <w:rPr>
            <w:rFonts w:ascii="Cambria Math" w:hAnsi="Cambria Math" w:eastAsia="Cambria Math" w:cs="Cambria Math"/>
            <w:szCs w:val="21"/>
            <w:lang w:eastAsia="zh-CN"/>
          </w:rPr>
          <m:t>=max{</m:t>
        </m:r>
        <m:sSub>
          <m:sSubPr>
            <m:ctrlPr>
              <w:rPr>
                <w:rFonts w:ascii="Cambria Math" w:hAnsi="Cambria Math"/>
              </w:rPr>
            </m:ctrlPr>
          </m:sSubPr>
          <m:e>
            <m:r>
              <m:rPr/>
              <w:rPr>
                <w:rFonts w:ascii="Cambria Math" w:hAnsi="Cambria Math" w:eastAsia="Cambria Math" w:cs="Cambria Math"/>
                <w:szCs w:val="21"/>
                <w:lang w:eastAsia="zh-CN"/>
              </w:rPr>
              <m:t>τ</m:t>
            </m:r>
            <m:ctrlPr>
              <w:rPr>
                <w:rFonts w:ascii="Cambria Math" w:hAnsi="Cambria Math"/>
              </w:rPr>
            </m:ctrlPr>
          </m:e>
          <m:sub>
            <m:r>
              <m:rPr/>
              <w:rPr>
                <w:rFonts w:ascii="Cambria Math" w:hAnsi="Cambria Math" w:eastAsia="Cambria Math" w:cs="Cambria Math"/>
                <w:szCs w:val="21"/>
                <w:lang w:eastAsia="zh-CN"/>
              </w:rPr>
              <m:t>ij</m:t>
            </m:r>
            <m:ctrlPr>
              <w:rPr>
                <w:rFonts w:ascii="Cambria Math" w:hAnsi="Cambria Math"/>
              </w:rPr>
            </m:ctrlPr>
          </m:sub>
        </m:sSub>
        <m:r>
          <m:rPr/>
          <w:rPr>
            <w:rFonts w:ascii="Cambria Math" w:hAnsi="Cambria Math" w:eastAsia="Cambria Math" w:cs="Cambria Math"/>
            <w:szCs w:val="21"/>
            <w:lang w:eastAsia="zh-CN"/>
          </w:rPr>
          <m:t>∣(i,j)∈A}</m:t>
        </m:r>
      </m:oMath>
      <w:r>
        <w:rPr>
          <w:lang w:eastAsia="zh-CN"/>
        </w:rPr>
        <w:t>表示候选弧中的最大飞行时间。由于单架无人机最多承担</w:t>
      </w:r>
      <m:oMath>
        <m:r>
          <m:rPr/>
          <w:rPr>
            <w:rFonts w:ascii="Cambria Math" w:hAnsi="Cambria Math" w:eastAsia="Cambria Math" w:cs="Cambria Math"/>
            <w:szCs w:val="21"/>
            <w:lang w:eastAsia="zh-CN"/>
          </w:rPr>
          <m:t>K</m:t>
        </m:r>
      </m:oMath>
      <w:r>
        <w:rPr>
          <w:lang w:eastAsia="zh-CN"/>
        </w:rPr>
        <w:t>项任务，因而最多访问</w:t>
      </w:r>
      <m:oMath>
        <m:r>
          <m:rPr/>
          <w:rPr>
            <w:rFonts w:ascii="Cambria Math" w:hAnsi="Cambria Math" w:eastAsia="Cambria Math" w:cs="Cambria Math"/>
            <w:szCs w:val="21"/>
            <w:lang w:eastAsia="zh-CN"/>
          </w:rPr>
          <m:t>2K</m:t>
        </m:r>
      </m:oMath>
      <w:r>
        <w:rPr>
          <w:lang w:eastAsia="zh-CN"/>
        </w:rPr>
        <w:t>个实际任务节点，可取：</w:t>
      </w:r>
      <m:oMath>
        <m:r>
          <m:rPr/>
          <w:rPr>
            <w:rFonts w:ascii="Cambria Math" w:hAnsi="Cambria Math" w:eastAsia="Cambria Math" w:cs="Cambria Math"/>
            <w:szCs w:val="21"/>
            <w:lang w:eastAsia="zh-CN"/>
          </w:rPr>
          <m:t>H=2K</m:t>
        </m:r>
        <m:sSub>
          <m:sSubPr>
            <m:ctrlPr>
              <w:rPr>
                <w:rFonts w:ascii="Cambria Math" w:hAnsi="Cambria Math"/>
                <w:szCs w:val="21"/>
              </w:rPr>
            </m:ctrlPr>
          </m:sSubPr>
          <m:e>
            <m:r>
              <m:rPr/>
              <w:rPr>
                <w:rFonts w:ascii="Cambria Math" w:hAnsi="Cambria Math" w:eastAsia="Cambria Math" w:cs="Cambria Math"/>
                <w:szCs w:val="21"/>
                <w:lang w:eastAsia="zh-CN"/>
              </w:rPr>
              <m:t>τ</m:t>
            </m:r>
            <m:ctrlPr>
              <w:rPr>
                <w:rFonts w:ascii="Cambria Math" w:hAnsi="Cambria Math"/>
                <w:szCs w:val="21"/>
              </w:rPr>
            </m:ctrlPr>
          </m:e>
          <m:sub>
            <m:r>
              <m:rPr/>
              <w:rPr>
                <w:rFonts w:ascii="Cambria Math" w:hAnsi="Cambria Math" w:eastAsia="Cambria Math" w:cs="Cambria Math"/>
                <w:szCs w:val="21"/>
                <w:lang w:eastAsia="zh-CN"/>
              </w:rPr>
              <m:t>max</m:t>
            </m:r>
            <m:ctrlPr>
              <w:rPr>
                <w:rFonts w:ascii="Cambria Math" w:hAnsi="Cambria Math"/>
                <w:szCs w:val="21"/>
              </w:rPr>
            </m:ctrlPr>
          </m:sub>
        </m:sSub>
        <m:r>
          <m:rPr/>
          <w:rPr>
            <w:rFonts w:ascii="Cambria Math" w:hAnsi="Cambria Math" w:eastAsia="Cambria Math" w:cs="Cambria Math"/>
            <w:szCs w:val="21"/>
            <w:lang w:eastAsia="zh-CN"/>
          </w:rPr>
          <m:t>,</m:t>
        </m:r>
        <m:sSup>
          <m:sSupPr>
            <m:ctrlPr>
              <w:rPr>
                <w:rFonts w:ascii="Cambria Math" w:hAnsi="Cambria Math"/>
                <w:szCs w:val="21"/>
              </w:rPr>
            </m:ctrlPr>
          </m:sSupPr>
          <m:e>
            <m:r>
              <m:rPr/>
              <w:rPr>
                <w:rFonts w:ascii="Cambria Math" w:hAnsi="Cambria Math" w:eastAsia="Cambria Math" w:cs="Cambria Math"/>
                <w:szCs w:val="21"/>
                <w:lang w:eastAsia="zh-CN"/>
              </w:rPr>
              <m:t>M</m:t>
            </m:r>
            <m:ctrlPr>
              <w:rPr>
                <w:rFonts w:ascii="Cambria Math" w:hAnsi="Cambria Math"/>
                <w:szCs w:val="21"/>
              </w:rPr>
            </m:ctrlPr>
          </m:e>
          <m:sup>
            <m:r>
              <m:rPr/>
              <w:rPr>
                <w:rFonts w:ascii="Cambria Math" w:hAnsi="Cambria Math" w:eastAsia="Cambria Math" w:cs="Cambria Math"/>
                <w:szCs w:val="21"/>
                <w:lang w:eastAsia="zh-CN"/>
              </w:rPr>
              <m:t>T</m:t>
            </m:r>
            <m:ctrlPr>
              <w:rPr>
                <w:rFonts w:ascii="Cambria Math" w:hAnsi="Cambria Math"/>
                <w:szCs w:val="21"/>
              </w:rPr>
            </m:ctrlPr>
          </m:sup>
        </m:sSup>
        <m:r>
          <m:rPr/>
          <w:rPr>
            <w:rFonts w:ascii="Cambria Math" w:hAnsi="Cambria Math" w:eastAsia="Cambria Math" w:cs="Cambria Math"/>
            <w:szCs w:val="21"/>
            <w:lang w:eastAsia="zh-CN"/>
          </w:rPr>
          <m:t>=H+</m:t>
        </m:r>
        <m:sSub>
          <m:sSubPr>
            <m:ctrlPr>
              <w:rPr>
                <w:rFonts w:ascii="Cambria Math" w:hAnsi="Cambria Math"/>
                <w:szCs w:val="21"/>
              </w:rPr>
            </m:ctrlPr>
          </m:sSubPr>
          <m:e>
            <m:r>
              <m:rPr/>
              <w:rPr>
                <w:rFonts w:ascii="Cambria Math" w:hAnsi="Cambria Math" w:eastAsia="Cambria Math" w:cs="Cambria Math"/>
                <w:szCs w:val="21"/>
                <w:lang w:eastAsia="zh-CN"/>
              </w:rPr>
              <m:t>τ</m:t>
            </m:r>
            <m:ctrlPr>
              <w:rPr>
                <w:rFonts w:ascii="Cambria Math" w:hAnsi="Cambria Math"/>
                <w:szCs w:val="21"/>
              </w:rPr>
            </m:ctrlPr>
          </m:e>
          <m:sub>
            <m:r>
              <m:rPr/>
              <w:rPr>
                <w:rFonts w:ascii="Cambria Math" w:hAnsi="Cambria Math" w:eastAsia="Cambria Math" w:cs="Cambria Math"/>
                <w:szCs w:val="21"/>
                <w:lang w:eastAsia="zh-CN"/>
              </w:rPr>
              <m:t>max</m:t>
            </m:r>
            <m:ctrlPr>
              <w:rPr>
                <w:rFonts w:ascii="Cambria Math" w:hAnsi="Cambria Math"/>
                <w:szCs w:val="21"/>
              </w:rPr>
            </m:ctrlPr>
          </m:sub>
        </m:sSub>
      </m:oMath>
      <w:r>
        <w:rPr>
          <w:rFonts w:hint="eastAsia" w:hAnsi="Cambria Math"/>
          <w:i w:val="0"/>
          <w:szCs w:val="21"/>
          <w:lang w:eastAsia="zh-CN"/>
        </w:rPr>
        <w:t>；</w:t>
      </w:r>
      <w:r>
        <w:rPr>
          <w:lang w:eastAsia="zh-CN"/>
        </w:rPr>
        <w:t>上述取值能够覆盖任一可行路径的时间传播范围</w:t>
      </w:r>
      <w:r>
        <w:rPr>
          <w:rFonts w:hint="eastAsia"/>
          <w:lang w:eastAsia="zh-CN"/>
        </w:rPr>
        <w:t>.</w:t>
      </w:r>
    </w:p>
    <w:p w14:paraId="36D8514F">
      <w:pPr>
        <w:rPr>
          <w:lang w:eastAsia="zh-CN"/>
        </w:rPr>
      </w:pPr>
    </w:p>
    <w:p w14:paraId="0762018D">
      <w:pPr>
        <w:keepNext/>
        <w:spacing w:before="80" w:after="40"/>
        <w:ind w:firstLine="0"/>
        <w:jc w:val="center"/>
        <w:rPr>
          <w:szCs w:val="21"/>
        </w:rPr>
      </w:pPr>
      <w:r>
        <w:t>表 3-1 符号说明</w:t>
      </w:r>
    </w:p>
    <w:tbl>
      <w:tblPr>
        <w:tblStyle w:val="171"/>
        <w:tblW w:w="9179" w:type="dxa"/>
        <w:jc w:val="center"/>
        <w:tblInd w:w="0" w:type="dxa"/>
        <w:tblLayout w:type="fixed"/>
        <w:tblCellMar>
          <w:top w:w="0" w:type="dxa"/>
          <w:left w:w="108" w:type="dxa"/>
          <w:bottom w:w="0" w:type="dxa"/>
          <w:right w:w="108" w:type="dxa"/>
        </w:tblCellMar>
      </w:tblPr>
      <w:tblGrid>
        <w:gridCol w:w="3442"/>
        <w:gridCol w:w="5737"/>
      </w:tblGrid>
      <w:tr w14:paraId="469ACD28">
        <w:tblPrEx>
          <w:tblLayout w:type="fixed"/>
        </w:tblPrEx>
        <w:trPr>
          <w:trHeight w:val="0" w:hRule="atLeast"/>
          <w:tblHeader/>
          <w:jc w:val="center"/>
          <w:cantSplit/>
          <w:tblHeader w:val="true"/>
        </w:trPr>
        <w:tc>
          <w:tcPr>
            <w:tcW w:w="3442" w:type="dxa"/>
            <w:tcBorders>
              <w:top w:val="single" w:color="auto" w:sz="12" w:space="0"/>
              <w:left w:val="nil"/>
              <w:bottom w:val="single" w:color="auto" w:sz="4" w:space="0"/>
              <w:right w:val="nil"/>
            </w:tcBorders>
            <w:tcMar>
              <w:top w:w="10" w:type="dxa"/>
              <w:left w:w="80" w:type="dxa"/>
              <w:bottom w:w="10" w:type="dxa"/>
              <w:right w:w="80" w:type="dxa"/>
            </w:tcMar>
            <w:vAlign w:val="center"/>
          </w:tcPr>
          <w:p w14:paraId="55E23E36">
            <w:pPr>
              <w:keepNext/>
              <w:snapToGrid w:val="0"/>
              <w:spacing w:line="240" w:lineRule="auto"/>
              <w:ind w:left="0" w:leftChars="0" w:right="0" w:rightChars="0" w:firstLine="0" w:firstLineChars="0"/>
              <w:jc w:val="center"/>
              <w:rPr>
                <w:rFonts w:ascii="Times New Roman" w:eastAsia="黑体"/>
                <w:b/>
                <w:sz w:val="21"/>
                <w:szCs w:val="21"/>
              </w:rPr>
            </w:pPr>
            <w:r>
              <w:rPr>
                <w:rFonts w:ascii="Times New Roman" w:eastAsia="黑体"/>
                <w:b/>
                <w:sz w:val="21"/>
                <w:szCs w:val="21"/>
              </w:rPr>
              <w:t>符号</w:t>
            </w:r>
          </w:p>
        </w:tc>
        <w:tc>
          <w:tcPr>
            <w:tcW w:w="5737" w:type="dxa"/>
            <w:tcBorders>
              <w:top w:val="single" w:color="auto" w:sz="12" w:space="0"/>
              <w:left w:val="nil"/>
              <w:bottom w:val="single" w:color="auto" w:sz="4" w:space="0"/>
              <w:right w:val="nil"/>
            </w:tcBorders>
            <w:tcMar>
              <w:top w:w="10" w:type="dxa"/>
              <w:left w:w="80" w:type="dxa"/>
              <w:bottom w:w="10" w:type="dxa"/>
              <w:right w:w="80" w:type="dxa"/>
            </w:tcMar>
            <w:vAlign w:val="center"/>
          </w:tcPr>
          <w:p w14:paraId="63797C1A">
            <w:pPr>
              <w:keepNext/>
              <w:snapToGrid w:val="0"/>
              <w:spacing w:line="240" w:lineRule="auto"/>
              <w:ind w:left="0" w:leftChars="0" w:right="0" w:rightChars="0" w:firstLine="0" w:firstLineChars="0"/>
              <w:jc w:val="center"/>
              <w:rPr>
                <w:rFonts w:ascii="Times New Roman" w:eastAsia="黑体"/>
                <w:b/>
                <w:sz w:val="21"/>
                <w:szCs w:val="21"/>
              </w:rPr>
            </w:pPr>
            <w:r>
              <w:rPr>
                <w:rFonts w:ascii="Times New Roman" w:eastAsia="黑体"/>
                <w:b/>
                <w:sz w:val="21"/>
                <w:szCs w:val="21"/>
              </w:rPr>
              <w:t>含义</w:t>
            </w:r>
          </w:p>
        </w:tc>
      </w:tr>
      <w:tr w14:paraId="3AC35CA7">
        <w:tblPrEx>
          <w:tblLayout w:type="fixed"/>
        </w:tblPrEx>
        <w:trPr>
          <w:trHeight w:val="0" w:hRule="atLeast"/>
          <w:jc w:val="center"/>
          <w:cantSplit/>
        </w:trPr>
        <w:tc>
          <w:tcPr>
            <w:tcW w:w="3442" w:type="dxa"/>
            <w:tcBorders>
              <w:top w:val="single" w:color="auto" w:sz="4" w:space="0"/>
              <w:left w:val="nil"/>
              <w:right w:val="nil"/>
            </w:tcBorders>
            <w:tcMar>
              <w:top w:w="8" w:type="dxa"/>
              <w:left w:w="80" w:type="dxa"/>
              <w:bottom w:w="8" w:type="dxa"/>
              <w:right w:w="80" w:type="dxa"/>
            </w:tcMar>
            <w:vAlign w:val="center"/>
          </w:tcPr>
          <w:p w14:paraId="3ACBFF53">
            <w:pPr>
              <w:pStyle w:val="172"/>
              <w:keepNext/>
              <w:snapToGrid w:val="0"/>
              <w:spacing w:before="0" w:after="0" w:line="240" w:lineRule="auto"/>
              <w:ind w:left="0" w:leftChars="0" w:right="0" w:rightChars="0" w:firstLine="0" w:firstLineChars="0"/>
              <w:jc w:val="left"/>
              <w:rPr>
                <w:rFonts w:ascii="Times New Roman" w:eastAsia="宋体"/>
                <w:sz w:val="21"/>
                <w:szCs w:val="21"/>
              </w:rPr>
            </w:pPr>
            <w:r>
              <w:rPr>
                <w:lang w:eastAsia="zh-CN"/>
              </w:rPr>
              <w:t>集合与索引</w:t>
            </w:r>
          </w:p>
        </w:tc>
        <w:tc>
          <w:tcPr>
            <w:tcW w:w="5737" w:type="dxa"/>
            <w:tcBorders>
              <w:top w:val="single" w:color="auto" w:sz="4" w:space="0"/>
              <w:left w:val="nil"/>
              <w:right w:val="nil"/>
            </w:tcBorders>
            <w:tcMar>
              <w:top w:w="8" w:type="dxa"/>
              <w:left w:w="80" w:type="dxa"/>
              <w:bottom w:w="8" w:type="dxa"/>
              <w:right w:w="80" w:type="dxa"/>
            </w:tcMar>
            <w:vAlign w:val="center"/>
          </w:tcPr>
          <w:p w14:paraId="3F0EEDBE">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p>
        </w:tc>
      </w:tr>
      <w:tr w14:paraId="2E912C32">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1A31118">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R</m:t>
                </m:r>
                <m:r>
                  <m:rPr>
                    <m:sty m:val="p"/>
                  </m:rPr>
                  <m:t>={</m:t>
                </m:r>
                <m:r>
                  <m:rPr/>
                  <m:t>1</m:t>
                </m:r>
                <m:r>
                  <m:rPr>
                    <m:sty m:val="p"/>
                  </m:rPr>
                  <m:t>,</m:t>
                </m:r>
                <m:r>
                  <m:rPr/>
                  <m:t>2</m:t>
                </m:r>
                <m:r>
                  <m:rPr>
                    <m:sty m:val="p"/>
                  </m:rPr>
                  <m:t>,…,</m:t>
                </m:r>
                <m:r>
                  <m:rPr/>
                  <m:t>N</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17D3AC99">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配送任务集合，共 N 项任务</w:t>
            </w:r>
          </w:p>
        </w:tc>
      </w:tr>
      <w:tr w14:paraId="0D2E2F9D">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40CA5E7F">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D</m:t>
                </m:r>
                <m:r>
                  <m:rPr>
                    <m:sty m:val="p"/>
                  </m:rPr>
                  <m:t>={</m:t>
                </m:r>
                <m:r>
                  <m:rPr/>
                  <m:t>1</m:t>
                </m:r>
                <m:r>
                  <m:rPr>
                    <m:sty m:val="p"/>
                  </m:rPr>
                  <m:t>,</m:t>
                </m:r>
                <m:r>
                  <m:rPr/>
                  <m:t>2</m:t>
                </m:r>
                <m:r>
                  <m:rPr>
                    <m:sty m:val="p"/>
                  </m:rPr>
                  <m:t>,…,</m:t>
                </m:r>
                <m:r>
                  <m:rPr/>
                  <m:t>M</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4D3C1EDA">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可用无人机集合，共 M 架无人机，索引为 k、ℓ 或 p</w:t>
            </w:r>
          </w:p>
        </w:tc>
      </w:tr>
      <w:tr w14:paraId="579D23E3">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51119CEB">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V</m:t>
                    </m:r>
                  </m:e>
                  <m:sup>
                    <m:r>
                      <m:rPr/>
                      <m:t>p</m:t>
                    </m:r>
                  </m:sup>
                </m:sSup>
                <m:r>
                  <m:rPr>
                    <m:sty m:val="p"/>
                  </m:rPr>
                  <m:t>={</m:t>
                </m:r>
                <m:r>
                  <m:rPr/>
                  <m:t>1</m:t>
                </m:r>
                <m:r>
                  <m:rPr>
                    <m:sty m:val="p"/>
                  </m:rPr>
                  <m:t>,</m:t>
                </m:r>
                <m:r>
                  <m:rPr/>
                  <m:t>2</m:t>
                </m:r>
                <m:r>
                  <m:rPr>
                    <m:sty m:val="p"/>
                  </m:rPr>
                  <m:t>,…,</m:t>
                </m:r>
                <m:r>
                  <m:rPr/>
                  <m:t>N</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3E9CE7D8">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取件节点集合</w:t>
            </w:r>
          </w:p>
        </w:tc>
      </w:tr>
      <w:tr w14:paraId="36F6E1E4">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22B07E34">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V</m:t>
                    </m:r>
                  </m:e>
                  <m:sup>
                    <m:r>
                      <m:rPr/>
                      <m:t>d</m:t>
                    </m:r>
                  </m:sup>
                </m:sSup>
                <m:r>
                  <m:rPr>
                    <m:sty m:val="p"/>
                  </m:rPr>
                  <m:t>={</m:t>
                </m:r>
                <m:r>
                  <m:rPr/>
                  <m:t>N</m:t>
                </m:r>
                <m:r>
                  <m:rPr>
                    <m:sty m:val="p"/>
                  </m:rPr>
                  <m:t>+</m:t>
                </m:r>
                <m:r>
                  <m:rPr/>
                  <m:t>1</m:t>
                </m:r>
                <m:r>
                  <m:rPr>
                    <m:sty m:val="p"/>
                  </m:rPr>
                  <m:t>,</m:t>
                </m:r>
                <m:r>
                  <m:rPr/>
                  <m:t>N</m:t>
                </m:r>
                <m:r>
                  <m:rPr>
                    <m:sty m:val="p"/>
                  </m:rPr>
                  <m:t>+</m:t>
                </m:r>
                <m:r>
                  <m:rPr/>
                  <m:t>2</m:t>
                </m:r>
                <m:r>
                  <m:rPr>
                    <m:sty m:val="p"/>
                  </m:rPr>
                  <m:t>,…,</m:t>
                </m:r>
                <m:r>
                  <m:rPr/>
                  <m:t>2N</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2B02A042">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送达节点集合；任务 i 的对应送达节点为 i+N</w:t>
            </w:r>
          </w:p>
        </w:tc>
      </w:tr>
      <w:tr w14:paraId="3E08DF10">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5FEE9BB9">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0</m:t>
                </m:r>
              </m:oMath>
            </m:oMathPara>
          </w:p>
        </w:tc>
        <w:tc>
          <w:tcPr>
            <w:tcW w:w="5737" w:type="dxa"/>
            <w:tcBorders>
              <w:left w:val="nil"/>
              <w:bottom w:val="nil"/>
              <w:right w:val="nil"/>
            </w:tcBorders>
            <w:tcMar>
              <w:top w:w="8" w:type="dxa"/>
              <w:left w:w="80" w:type="dxa"/>
              <w:bottom w:w="8" w:type="dxa"/>
              <w:right w:w="80" w:type="dxa"/>
            </w:tcMar>
            <w:vAlign w:val="center"/>
          </w:tcPr>
          <w:p w14:paraId="5FA16DD9">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调度中心（原始共同起点）</w:t>
            </w:r>
          </w:p>
        </w:tc>
      </w:tr>
      <w:tr w14:paraId="442FD1AB">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492370BE">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2N</m:t>
                </m:r>
                <m:r>
                  <m:rPr>
                    <m:sty m:val="p"/>
                  </m:rPr>
                  <m:t>+</m:t>
                </m:r>
                <m:r>
                  <m:rPr/>
                  <m:t>1</m:t>
                </m:r>
              </m:oMath>
            </m:oMathPara>
          </w:p>
        </w:tc>
        <w:tc>
          <w:tcPr>
            <w:tcW w:w="5737" w:type="dxa"/>
            <w:tcBorders>
              <w:left w:val="nil"/>
              <w:bottom w:val="nil"/>
              <w:right w:val="nil"/>
            </w:tcBorders>
            <w:tcMar>
              <w:top w:w="8" w:type="dxa"/>
              <w:left w:w="80" w:type="dxa"/>
              <w:bottom w:w="8" w:type="dxa"/>
              <w:right w:w="80" w:type="dxa"/>
            </w:tcMar>
            <w:vAlign w:val="center"/>
          </w:tcPr>
          <w:p w14:paraId="7F0D6FD7">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虚拟终止节点，用于刻画开放式路径</w:t>
            </w:r>
          </w:p>
        </w:tc>
      </w:tr>
      <w:tr w14:paraId="1A364E61">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1ED3CDDF">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V</m:t>
                </m:r>
                <m:r>
                  <m:rPr>
                    <m:sty m:val="p"/>
                  </m:rPr>
                  <m:t>={</m:t>
                </m:r>
                <m:r>
                  <m:rPr/>
                  <m:t>0</m:t>
                </m:r>
                <m:r>
                  <m:rPr>
                    <m:sty m:val="p"/>
                  </m:rPr>
                  <m:t>}∪</m:t>
                </m:r>
                <m:sSup>
                  <m:sSupPr/>
                  <m:e>
                    <m:r>
                      <m:rPr/>
                      <m:t>V</m:t>
                    </m:r>
                  </m:e>
                  <m:sup>
                    <m:r>
                      <m:rPr/>
                      <m:t>p</m:t>
                    </m:r>
                  </m:sup>
                </m:sSup>
                <m:r>
                  <m:rPr>
                    <m:sty m:val="p"/>
                  </m:rPr>
                  <m:t>∪</m:t>
                </m:r>
                <m:sSup>
                  <m:sSupPr/>
                  <m:e>
                    <m:r>
                      <m:rPr/>
                      <m:t>V</m:t>
                    </m:r>
                  </m:e>
                  <m:sup>
                    <m:r>
                      <m:rPr/>
                      <m:t>d</m:t>
                    </m:r>
                  </m:sup>
                </m:sSup>
                <m:r>
                  <m:rPr>
                    <m:sty m:val="p"/>
                  </m:rPr>
                  <m:t>∪{</m:t>
                </m:r>
                <m:r>
                  <m:rPr/>
                  <m:t>2N</m:t>
                </m:r>
                <m:r>
                  <m:rPr>
                    <m:sty m:val="p"/>
                  </m:rPr>
                  <m:t>+</m:t>
                </m:r>
                <m:r>
                  <m:rPr/>
                  <m:t>1</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4A788E6D">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基础直送模型的节点集合</w:t>
            </w:r>
          </w:p>
        </w:tc>
      </w:tr>
      <w:tr w14:paraId="7EACF5F4">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3F9429B7">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V</m:t>
                    </m:r>
                  </m:e>
                  <m:sup>
                    <m:r>
                      <m:rPr/>
                      <m:t>o</m:t>
                    </m:r>
                  </m:sup>
                </m:sSup>
                <m:r>
                  <m:rPr>
                    <m:sty m:val="p"/>
                  </m:rPr>
                  <m:t>=</m:t>
                </m:r>
                <m:r>
                  <m:rPr/>
                  <m:t>V</m:t>
                </m:r>
                <m:r>
                  <m:rPr>
                    <m:sty m:val="p"/>
                  </m:rPr>
                  <m:t>∖{</m:t>
                </m:r>
                <m:r>
                  <m:rPr/>
                  <m:t>2N</m:t>
                </m:r>
                <m:r>
                  <m:rPr>
                    <m:sty m:val="p"/>
                  </m:rPr>
                  <m:t>+</m:t>
                </m:r>
                <m:r>
                  <m:rPr/>
                  <m:t>1</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1BC85171">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允许产生出弧的基础节点集合</w:t>
            </w:r>
          </w:p>
        </w:tc>
      </w:tr>
      <w:tr w14:paraId="607F1AF2">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7D9970E">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V</m:t>
                    </m:r>
                  </m:e>
                  <m:sup>
                    <m:r>
                      <m:rPr/>
                      <m:t>e</m:t>
                    </m:r>
                  </m:sup>
                </m:sSup>
                <m:r>
                  <m:rPr>
                    <m:sty m:val="p"/>
                  </m:rPr>
                  <m:t>=</m:t>
                </m:r>
                <m:r>
                  <m:rPr/>
                  <m:t>V</m:t>
                </m:r>
                <m:r>
                  <m:rPr>
                    <m:sty m:val="p"/>
                  </m:rPr>
                  <m:t>∖{</m:t>
                </m:r>
                <m:r>
                  <m:rPr/>
                  <m:t>0</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1D6D4B35">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允许接受入弧的基础节点集合</w:t>
            </w:r>
          </w:p>
        </w:tc>
      </w:tr>
      <w:tr w14:paraId="0861B869">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6837ECD7">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A</m:t>
                </m:r>
                <m:r>
                  <m:rPr>
                    <m:sty m:val="p"/>
                  </m:rPr>
                  <m:t>={</m:t>
                </m:r>
                <m:d>
                  <m:dPr>
                    <m:sepChr m:val=""/>
                  </m:dPr>
                  <m:e>
                    <m:r>
                      <m:rPr/>
                      <m:t>i</m:t>
                    </m:r>
                    <m:r>
                      <m:rPr>
                        <m:sty m:val="p"/>
                      </m:rPr>
                      <m:t>,</m:t>
                    </m:r>
                    <m:r>
                      <m:rPr/>
                      <m:t>j</m:t>
                    </m:r>
                  </m:e>
                </m:d>
                <m:r>
                  <m:rPr>
                    <m:sty m:val="p"/>
                  </m:rPr>
                  <m:t>∣</m:t>
                </m:r>
                <m:r>
                  <m:rPr/>
                  <m:t>i</m:t>
                </m:r>
                <m:r>
                  <m:rPr>
                    <m:sty m:val="p"/>
                  </m:rPr>
                  <m:t>∈</m:t>
                </m:r>
                <m:sSup>
                  <m:sSupPr/>
                  <m:e>
                    <m:r>
                      <m:rPr/>
                      <m:t>V</m:t>
                    </m:r>
                  </m:e>
                  <m:sup>
                    <m:r>
                      <m:rPr/>
                      <m:t>o</m:t>
                    </m:r>
                  </m:sup>
                </m:sSup>
                <m:r>
                  <m:rPr>
                    <m:sty m:val="p"/>
                  </m:rPr>
                  <m:t>,</m:t>
                </m:r>
                <m:r>
                  <m:rPr/>
                  <m:t>j</m:t>
                </m:r>
                <m:r>
                  <m:rPr>
                    <m:sty m:val="p"/>
                  </m:rPr>
                  <m:t>∈</m:t>
                </m:r>
                <m:sSup>
                  <m:sSupPr/>
                  <m:e>
                    <m:r>
                      <m:rPr/>
                      <m:t>V</m:t>
                    </m:r>
                  </m:e>
                  <m:sup>
                    <m:r>
                      <m:rPr/>
                      <m:t>e</m:t>
                    </m:r>
                  </m:sup>
                </m:sSup>
                <m:r>
                  <m:rPr>
                    <m:sty m:val="p"/>
                  </m:rPr>
                  <m:t>,</m:t>
                </m:r>
                <m:r>
                  <m:rPr/>
                  <m:t>i</m:t>
                </m:r>
                <m:r>
                  <m:rPr>
                    <m:sty m:val="p"/>
                  </m:rPr>
                  <m:t>≠</m:t>
                </m:r>
                <m:r>
                  <m:rPr/>
                  <m:t>j</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6434B3C8">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候选有向弧集合；另含各无人机固定起点发出的初始弧</w:t>
            </w:r>
          </w:p>
        </w:tc>
      </w:tr>
      <w:tr w14:paraId="7AD7F8DC">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52E6ACEA">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V</m:t>
                    </m:r>
                  </m:e>
                  <m:sup>
                    <m:r>
                      <m:rPr/>
                      <m:t>r</m:t>
                    </m:r>
                  </m:sup>
                </m:sSup>
              </m:oMath>
            </m:oMathPara>
          </w:p>
        </w:tc>
        <w:tc>
          <w:tcPr>
            <w:tcW w:w="5737" w:type="dxa"/>
            <w:tcBorders>
              <w:left w:val="nil"/>
              <w:bottom w:val="nil"/>
              <w:right w:val="nil"/>
            </w:tcBorders>
            <w:tcMar>
              <w:top w:w="8" w:type="dxa"/>
              <w:left w:w="80" w:type="dxa"/>
              <w:bottom w:w="8" w:type="dxa"/>
              <w:right w:w="80" w:type="dxa"/>
            </w:tcMar>
            <w:vAlign w:val="center"/>
          </w:tcPr>
          <w:p w14:paraId="2F890B69">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固定中继站集合，索引为 h；由选址预处理生成，一次求解内坐标不变</w:t>
            </w:r>
          </w:p>
        </w:tc>
      </w:tr>
      <w:tr w14:paraId="60DBCC23">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4C53F90">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V</m:t>
                    </m:r>
                  </m:e>
                  <m:sub>
                    <m:r>
                      <m:rPr/>
                      <m:t>i</m:t>
                    </m:r>
                  </m:sub>
                  <m:sup>
                    <m:r>
                      <m:rPr/>
                      <m:t>r</m:t>
                    </m:r>
                  </m:sup>
                </m:sSubSup>
                <m:r>
                  <m:rPr>
                    <m:sty m:val="p"/>
                  </m:rPr>
                  <m:t>⊆</m:t>
                </m:r>
                <m:sSup>
                  <m:sSupPr/>
                  <m:e>
                    <m:r>
                      <m:rPr/>
                      <m:t>V</m:t>
                    </m:r>
                  </m:e>
                  <m:sup>
                    <m:r>
                      <m:rPr/>
                      <m:t>r</m:t>
                    </m:r>
                  </m:sup>
                </m:sSup>
              </m:oMath>
            </m:oMathPara>
          </w:p>
        </w:tc>
        <w:tc>
          <w:tcPr>
            <w:tcW w:w="5737" w:type="dxa"/>
            <w:tcBorders>
              <w:left w:val="nil"/>
              <w:bottom w:val="nil"/>
              <w:right w:val="nil"/>
            </w:tcBorders>
            <w:tcMar>
              <w:top w:w="8" w:type="dxa"/>
              <w:left w:w="80" w:type="dxa"/>
              <w:bottom w:w="8" w:type="dxa"/>
              <w:right w:w="80" w:type="dxa"/>
            </w:tcMar>
            <w:vAlign w:val="center"/>
          </w:tcPr>
          <w:p w14:paraId="0DE01CEA">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任务 i 的候选中继站集合，由绕行筛选规则预先确定</w:t>
            </w:r>
          </w:p>
        </w:tc>
      </w:tr>
      <w:tr w14:paraId="610E5E63">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06D7BEF7">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η</m:t>
                    </m:r>
                  </m:e>
                  <m:sub>
                    <m:r>
                      <m:rPr/>
                      <m:t>iℎ</m:t>
                    </m:r>
                  </m:sub>
                  <m:sup>
                    <m:r>
                      <m:rPr>
                        <m:sty m:val="p"/>
                      </m:rPr>
                      <m:t>−</m:t>
                    </m:r>
                  </m:sup>
                </m:sSubSup>
                <m:r>
                  <m:rPr>
                    <m:sty m:val="p"/>
                  </m:rPr>
                  <m:t>,</m:t>
                </m:r>
                <m:r>
                  <m:rPr/>
                  <m:t> </m:t>
                </m:r>
                <m:sSubSup>
                  <m:sSubSupPr/>
                  <m:e>
                    <m:r>
                      <m:rPr/>
                      <m:t>η</m:t>
                    </m:r>
                  </m:e>
                  <m:sub>
                    <m:r>
                      <m:rPr/>
                      <m:t>iℎ</m:t>
                    </m:r>
                  </m:sub>
                  <m:sup>
                    <m:r>
                      <m:rPr>
                        <m:sty m:val="p"/>
                      </m:rPr>
                      <m:t>+</m:t>
                    </m:r>
                  </m:sup>
                </m:sSubSup>
              </m:oMath>
            </m:oMathPara>
          </w:p>
        </w:tc>
        <w:tc>
          <w:tcPr>
            <w:tcW w:w="5737" w:type="dxa"/>
            <w:tcBorders>
              <w:left w:val="nil"/>
              <w:bottom w:val="nil"/>
              <w:right w:val="nil"/>
            </w:tcBorders>
            <w:tcMar>
              <w:top w:w="8" w:type="dxa"/>
              <w:left w:w="80" w:type="dxa"/>
              <w:bottom w:w="8" w:type="dxa"/>
              <w:right w:w="80" w:type="dxa"/>
            </w:tcMar>
            <w:vAlign w:val="center"/>
          </w:tcPr>
          <w:p w14:paraId="5DCBC778">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任务 i 在中继站 h 的卸货/取货虚拟操作节点，二者物理位置相同</w:t>
            </w:r>
          </w:p>
        </w:tc>
      </w:tr>
      <w:tr w14:paraId="12FD2A1D">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182E88F2">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V</m:t>
                    </m:r>
                  </m:e>
                  <m:sup>
                    <m:r>
                      <m:rPr/>
                      <m:t>s</m:t>
                    </m:r>
                  </m:sup>
                </m:sSup>
                <m:r>
                  <m:rPr>
                    <m:sty m:val="p"/>
                  </m:rPr>
                  <m:t>={</m:t>
                </m:r>
                <m:r>
                  <m:rPr/>
                  <m:t>0</m:t>
                </m:r>
                <m:r>
                  <m:rPr>
                    <m:sty m:val="p"/>
                  </m:rPr>
                  <m:t>}∪</m:t>
                </m:r>
                <m:sSup>
                  <m:sSupPr/>
                  <m:e>
                    <m:r>
                      <m:rPr/>
                      <m:t>V</m:t>
                    </m:r>
                  </m:e>
                  <m:sup>
                    <m:r>
                      <m:rPr/>
                      <m:t>r</m:t>
                    </m:r>
                  </m:sup>
                </m:sSup>
              </m:oMath>
            </m:oMathPara>
          </w:p>
        </w:tc>
        <w:tc>
          <w:tcPr>
            <w:tcW w:w="5737" w:type="dxa"/>
            <w:tcBorders>
              <w:left w:val="nil"/>
              <w:bottom w:val="nil"/>
              <w:right w:val="nil"/>
            </w:tcBorders>
            <w:tcMar>
              <w:top w:w="8" w:type="dxa"/>
              <w:left w:w="80" w:type="dxa"/>
              <w:bottom w:w="8" w:type="dxa"/>
              <w:right w:w="80" w:type="dxa"/>
            </w:tcMar>
            <w:vAlign w:val="center"/>
          </w:tcPr>
          <w:p w14:paraId="09FD9963">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无人机候选预部署起点集合</w:t>
            </w:r>
          </w:p>
        </w:tc>
      </w:tr>
      <w:tr w14:paraId="77C248BD">
        <w:tblPrEx>
          <w:tblLayout w:type="fixed"/>
        </w:tblPrEx>
        <w:trPr>
          <w:trHeight w:val="0" w:hRule="atLeast"/>
          <w:jc w:val="center"/>
          <w:cantSplit/>
        </w:trPr>
        <w:tc>
          <w:tcPr>
            <w:tcW w:w="3442" w:type="dxa"/>
            <w:tcBorders>
              <w:top w:val="single" w:color="auto" w:sz="4" w:space="0"/>
              <w:left w:val="nil"/>
              <w:right w:val="nil"/>
            </w:tcBorders>
            <w:tcMar>
              <w:top w:w="8" w:type="dxa"/>
              <w:left w:w="80" w:type="dxa"/>
              <w:bottom w:w="8" w:type="dxa"/>
              <w:right w:w="80" w:type="dxa"/>
            </w:tcMar>
            <w:vAlign w:val="center"/>
          </w:tcPr>
          <w:p w14:paraId="52654F48">
            <w:pPr>
              <w:pStyle w:val="172"/>
              <w:keepNext/>
              <w:snapToGrid w:val="0"/>
              <w:spacing w:before="0" w:after="0" w:line="240" w:lineRule="auto"/>
              <w:ind w:left="0" w:leftChars="0" w:right="0" w:rightChars="0" w:firstLine="0" w:firstLineChars="0"/>
              <w:jc w:val="left"/>
              <w:rPr>
                <w:rFonts w:ascii="Times New Roman" w:eastAsia="宋体"/>
                <w:sz w:val="21"/>
                <w:szCs w:val="21"/>
              </w:rPr>
            </w:pPr>
            <w:r>
              <w:rPr>
                <w:lang w:eastAsia="zh-CN"/>
              </w:rPr>
              <w:t>参数</w:t>
            </w:r>
          </w:p>
        </w:tc>
        <w:tc>
          <w:tcPr>
            <w:tcW w:w="5737" w:type="dxa"/>
            <w:tcBorders>
              <w:top w:val="single" w:color="auto" w:sz="4" w:space="0"/>
              <w:left w:val="nil"/>
              <w:right w:val="nil"/>
            </w:tcBorders>
            <w:tcMar>
              <w:top w:w="8" w:type="dxa"/>
              <w:left w:w="80" w:type="dxa"/>
              <w:bottom w:w="8" w:type="dxa"/>
              <w:right w:w="80" w:type="dxa"/>
            </w:tcMar>
            <w:vAlign w:val="center"/>
          </w:tcPr>
          <w:p w14:paraId="4CE366AD">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p>
        </w:tc>
      </w:tr>
      <w:tr w14:paraId="474F3541">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59F96C53">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c</m:t>
                    </m:r>
                  </m:e>
                  <m:sub>
                    <m:r>
                      <m:rPr/>
                      <m:t>ij</m:t>
                    </m:r>
                  </m:sub>
                </m:sSub>
              </m:oMath>
            </m:oMathPara>
          </w:p>
        </w:tc>
        <w:tc>
          <w:tcPr>
            <w:tcW w:w="5737" w:type="dxa"/>
            <w:tcBorders>
              <w:left w:val="nil"/>
              <w:bottom w:val="nil"/>
              <w:right w:val="nil"/>
            </w:tcBorders>
            <w:tcMar>
              <w:top w:w="8" w:type="dxa"/>
              <w:left w:w="80" w:type="dxa"/>
              <w:bottom w:w="8" w:type="dxa"/>
              <w:right w:w="80" w:type="dxa"/>
            </w:tcMar>
            <w:vAlign w:val="center"/>
          </w:tcPr>
          <w:p w14:paraId="6ECDCEE2">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节点 i 到节点 j 的欧氏飞行距离</w:t>
            </w:r>
          </w:p>
        </w:tc>
      </w:tr>
      <w:tr w14:paraId="087F1E21">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50A81FEA">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τ</m:t>
                    </m:r>
                  </m:e>
                  <m:sub>
                    <m:r>
                      <m:rPr/>
                      <m:t>ij</m:t>
                    </m:r>
                  </m:sub>
                </m:sSub>
              </m:oMath>
            </m:oMathPara>
          </w:p>
        </w:tc>
        <w:tc>
          <w:tcPr>
            <w:tcW w:w="5737" w:type="dxa"/>
            <w:tcBorders>
              <w:left w:val="nil"/>
              <w:bottom w:val="nil"/>
              <w:right w:val="nil"/>
            </w:tcBorders>
            <w:tcMar>
              <w:top w:w="8" w:type="dxa"/>
              <w:left w:w="80" w:type="dxa"/>
              <w:bottom w:w="8" w:type="dxa"/>
              <w:right w:w="80" w:type="dxa"/>
            </w:tcMar>
            <w:vAlign w:val="center"/>
          </w:tcPr>
          <w:p w14:paraId="2D9890A8">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无人机由节点 i 飞往节点 j 的飞行时间</w:t>
            </w:r>
          </w:p>
        </w:tc>
      </w:tr>
      <w:tr w14:paraId="510676E2">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3A3810CB">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v</m:t>
                </m:r>
              </m:oMath>
            </m:oMathPara>
          </w:p>
        </w:tc>
        <w:tc>
          <w:tcPr>
            <w:tcW w:w="5737" w:type="dxa"/>
            <w:tcBorders>
              <w:left w:val="nil"/>
              <w:bottom w:val="nil"/>
              <w:right w:val="nil"/>
            </w:tcBorders>
            <w:tcMar>
              <w:top w:w="8" w:type="dxa"/>
              <w:left w:w="80" w:type="dxa"/>
              <w:bottom w:w="8" w:type="dxa"/>
              <w:right w:w="80" w:type="dxa"/>
            </w:tcMar>
            <w:vAlign w:val="center"/>
          </w:tcPr>
          <w:p w14:paraId="375AF9A8">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无人机恒定飞行速度</w:t>
            </w:r>
          </w:p>
        </w:tc>
      </w:tr>
      <w:tr w14:paraId="79726762">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3AC1A28C">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T</m:t>
                    </m:r>
                  </m:e>
                  <m:sub>
                    <m:r>
                      <m:rPr>
                        <m:sty m:val="p"/>
                      </m:rPr>
                      <m:t>max,</m:t>
                    </m:r>
                    <m:r>
                      <m:rPr/>
                      <m:t>i</m:t>
                    </m:r>
                  </m:sub>
                </m:sSub>
              </m:oMath>
            </m:oMathPara>
          </w:p>
        </w:tc>
        <w:tc>
          <w:tcPr>
            <w:tcW w:w="5737" w:type="dxa"/>
            <w:tcBorders>
              <w:left w:val="nil"/>
              <w:bottom w:val="nil"/>
              <w:right w:val="nil"/>
            </w:tcBorders>
            <w:tcMar>
              <w:top w:w="8" w:type="dxa"/>
              <w:left w:w="80" w:type="dxa"/>
              <w:bottom w:w="8" w:type="dxa"/>
              <w:right w:w="80" w:type="dxa"/>
            </w:tcMar>
            <w:vAlign w:val="center"/>
          </w:tcPr>
          <w:p w14:paraId="54386D85">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任务 i 的最晚送达时刻</w:t>
            </w:r>
          </w:p>
        </w:tc>
      </w:tr>
      <w:tr w14:paraId="2BE795FF">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B587848">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Q</m:t>
                </m:r>
              </m:oMath>
            </m:oMathPara>
          </w:p>
        </w:tc>
        <w:tc>
          <w:tcPr>
            <w:tcW w:w="5737" w:type="dxa"/>
            <w:tcBorders>
              <w:left w:val="nil"/>
              <w:bottom w:val="nil"/>
              <w:right w:val="nil"/>
            </w:tcBorders>
            <w:tcMar>
              <w:top w:w="8" w:type="dxa"/>
              <w:left w:w="80" w:type="dxa"/>
              <w:bottom w:w="8" w:type="dxa"/>
              <w:right w:w="80" w:type="dxa"/>
            </w:tcMar>
            <w:vAlign w:val="center"/>
          </w:tcPr>
          <w:p w14:paraId="6206BA49">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无人机最大同时载货量，本文取 2 件</w:t>
            </w:r>
          </w:p>
        </w:tc>
      </w:tr>
      <w:tr w14:paraId="687AF411">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17BB79AF">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K</m:t>
                </m:r>
              </m:oMath>
            </m:oMathPara>
          </w:p>
        </w:tc>
        <w:tc>
          <w:tcPr>
            <w:tcW w:w="5737" w:type="dxa"/>
            <w:tcBorders>
              <w:left w:val="nil"/>
              <w:bottom w:val="nil"/>
              <w:right w:val="nil"/>
            </w:tcBorders>
            <w:tcMar>
              <w:top w:w="8" w:type="dxa"/>
              <w:left w:w="80" w:type="dxa"/>
              <w:bottom w:w="8" w:type="dxa"/>
              <w:right w:w="80" w:type="dxa"/>
            </w:tcMar>
            <w:vAlign w:val="center"/>
          </w:tcPr>
          <w:p w14:paraId="6C99A521">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单架无人机累计最多负责最终送达的原始任务数</w:t>
            </w:r>
          </w:p>
        </w:tc>
      </w:tr>
      <w:tr w14:paraId="2D8C1BAD">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FD2CC9F">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q</m:t>
                    </m:r>
                  </m:e>
                  <m:sub>
                    <m:r>
                      <m:rPr/>
                      <m:t>i</m:t>
                    </m:r>
                  </m:sub>
                </m:sSub>
              </m:oMath>
            </m:oMathPara>
          </w:p>
        </w:tc>
        <w:tc>
          <w:tcPr>
            <w:tcW w:w="5737" w:type="dxa"/>
            <w:tcBorders>
              <w:left w:val="nil"/>
              <w:bottom w:val="nil"/>
              <w:right w:val="nil"/>
            </w:tcBorders>
            <w:tcMar>
              <w:top w:w="8" w:type="dxa"/>
              <w:left w:w="80" w:type="dxa"/>
              <w:bottom w:w="8" w:type="dxa"/>
              <w:right w:w="80" w:type="dxa"/>
            </w:tcMar>
            <w:vAlign w:val="center"/>
          </w:tcPr>
          <w:p w14:paraId="6268BD87">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访问节点 i 后引起的机载包裹数量变化</w:t>
            </w:r>
          </w:p>
        </w:tc>
      </w:tr>
      <w:tr w14:paraId="78D05E54">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0E5445A9">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H</m:t>
                </m:r>
              </m:oMath>
            </m:oMathPara>
          </w:p>
        </w:tc>
        <w:tc>
          <w:tcPr>
            <w:tcW w:w="5737" w:type="dxa"/>
            <w:tcBorders>
              <w:left w:val="nil"/>
              <w:bottom w:val="nil"/>
              <w:right w:val="nil"/>
            </w:tcBorders>
            <w:tcMar>
              <w:top w:w="8" w:type="dxa"/>
              <w:left w:w="80" w:type="dxa"/>
              <w:bottom w:w="8" w:type="dxa"/>
              <w:right w:w="80" w:type="dxa"/>
            </w:tcMar>
            <w:vAlign w:val="center"/>
          </w:tcPr>
          <w:p w14:paraId="7083D3CD">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单架无人机完成其所分配任务的时间上界</w:t>
            </w:r>
          </w:p>
        </w:tc>
      </w:tr>
      <w:tr w14:paraId="018D93C0">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27EBFC21">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M</m:t>
                    </m:r>
                  </m:e>
                  <m:sup>
                    <m:r>
                      <m:rPr/>
                      <m:t>T</m:t>
                    </m:r>
                  </m:sup>
                </m:sSup>
              </m:oMath>
            </m:oMathPara>
          </w:p>
        </w:tc>
        <w:tc>
          <w:tcPr>
            <w:tcW w:w="5737" w:type="dxa"/>
            <w:tcBorders>
              <w:left w:val="nil"/>
              <w:bottom w:val="nil"/>
              <w:right w:val="nil"/>
            </w:tcBorders>
            <w:tcMar>
              <w:top w:w="8" w:type="dxa"/>
              <w:left w:w="80" w:type="dxa"/>
              <w:bottom w:w="8" w:type="dxa"/>
              <w:right w:w="80" w:type="dxa"/>
            </w:tcMar>
            <w:vAlign w:val="center"/>
          </w:tcPr>
          <w:p w14:paraId="2B83A417">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时间传播约束中的充分大常数</w:t>
            </w:r>
          </w:p>
        </w:tc>
      </w:tr>
      <w:tr w14:paraId="16DD4DDA">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743A543">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o</m:t>
                    </m:r>
                  </m:e>
                  <m:sub>
                    <m:r>
                      <m:rPr/>
                      <m:t>k</m:t>
                    </m:r>
                  </m:sub>
                </m:sSub>
                <m:r>
                  <m:rPr>
                    <m:sty m:val="p"/>
                  </m:rPr>
                  <m:t>∈</m:t>
                </m:r>
                <m:sSup>
                  <m:sSupPr/>
                  <m:e>
                    <m:r>
                      <m:rPr/>
                      <m:t>V</m:t>
                    </m:r>
                  </m:e>
                  <m:sup>
                    <m:r>
                      <m:rPr/>
                      <m:t>s</m:t>
                    </m:r>
                  </m:sup>
                </m:sSup>
              </m:oMath>
            </m:oMathPara>
          </w:p>
        </w:tc>
        <w:tc>
          <w:tcPr>
            <w:tcW w:w="5737" w:type="dxa"/>
            <w:tcBorders>
              <w:left w:val="nil"/>
              <w:bottom w:val="nil"/>
              <w:right w:val="nil"/>
            </w:tcBorders>
            <w:tcMar>
              <w:top w:w="8" w:type="dxa"/>
              <w:left w:w="80" w:type="dxa"/>
              <w:bottom w:w="8" w:type="dxa"/>
              <w:right w:w="80" w:type="dxa"/>
            </w:tcMar>
            <w:vAlign w:val="center"/>
          </w:tcPr>
          <w:p w14:paraId="17EA8F54">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 k 在 t=0 的固定起点；由需求驱动的预部署步骤事先确定</w:t>
            </w:r>
          </w:p>
        </w:tc>
      </w:tr>
      <w:tr w14:paraId="0FEDB943">
        <w:tblPrEx>
          <w:tblLayout w:type="fixed"/>
        </w:tblPrEx>
        <w:trPr>
          <w:trHeight w:val="0" w:hRule="atLeast"/>
          <w:jc w:val="center"/>
          <w:cantSplit/>
        </w:trPr>
        <w:tc>
          <w:tcPr>
            <w:tcW w:w="3442" w:type="dxa"/>
            <w:tcBorders>
              <w:top w:val="single" w:color="auto" w:sz="4" w:space="0"/>
              <w:left w:val="nil"/>
              <w:right w:val="nil"/>
            </w:tcBorders>
            <w:tcMar>
              <w:top w:w="8" w:type="dxa"/>
              <w:left w:w="80" w:type="dxa"/>
              <w:bottom w:w="8" w:type="dxa"/>
              <w:right w:w="80" w:type="dxa"/>
            </w:tcMar>
            <w:vAlign w:val="center"/>
          </w:tcPr>
          <w:p w14:paraId="6A49BF83">
            <w:pPr>
              <w:pStyle w:val="172"/>
              <w:keepNext/>
              <w:snapToGrid w:val="0"/>
              <w:spacing w:before="0" w:after="0" w:line="240" w:lineRule="auto"/>
              <w:ind w:left="0" w:leftChars="0" w:right="0" w:rightChars="0" w:firstLine="0" w:firstLineChars="0"/>
              <w:jc w:val="left"/>
              <w:rPr>
                <w:rFonts w:ascii="Times New Roman" w:eastAsia="宋体"/>
                <w:sz w:val="21"/>
                <w:szCs w:val="21"/>
              </w:rPr>
            </w:pPr>
            <w:r>
              <w:rPr>
                <w:lang w:eastAsia="zh-CN"/>
              </w:rPr>
              <w:t>决策变量与评价变量</w:t>
            </w:r>
          </w:p>
        </w:tc>
        <w:tc>
          <w:tcPr>
            <w:tcW w:w="5737" w:type="dxa"/>
            <w:tcBorders>
              <w:top w:val="single" w:color="auto" w:sz="4" w:space="0"/>
              <w:left w:val="nil"/>
              <w:right w:val="nil"/>
            </w:tcBorders>
            <w:tcMar>
              <w:top w:w="8" w:type="dxa"/>
              <w:left w:w="80" w:type="dxa"/>
              <w:bottom w:w="8" w:type="dxa"/>
              <w:right w:w="80" w:type="dxa"/>
            </w:tcMar>
            <w:vAlign w:val="center"/>
          </w:tcPr>
          <w:p w14:paraId="29AE9D99">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p>
        </w:tc>
      </w:tr>
      <w:tr w14:paraId="5496EC2D">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00D9680">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x</m:t>
                    </m:r>
                  </m:e>
                  <m:sub>
                    <m:r>
                      <m:rPr/>
                      <m:t>ij</m:t>
                    </m:r>
                  </m:sub>
                  <m:sup>
                    <m:r>
                      <m:rPr/>
                      <m:t>k</m:t>
                    </m:r>
                  </m:sup>
                </m:sSubSup>
              </m:oMath>
            </m:oMathPara>
          </w:p>
        </w:tc>
        <w:tc>
          <w:tcPr>
            <w:tcW w:w="5737" w:type="dxa"/>
            <w:tcBorders>
              <w:left w:val="nil"/>
              <w:bottom w:val="nil"/>
              <w:right w:val="nil"/>
            </w:tcBorders>
            <w:tcMar>
              <w:top w:w="8" w:type="dxa"/>
              <w:left w:w="80" w:type="dxa"/>
              <w:bottom w:w="8" w:type="dxa"/>
              <w:right w:w="80" w:type="dxa"/>
            </w:tcMar>
            <w:vAlign w:val="center"/>
          </w:tcPr>
          <w:p w14:paraId="11FFF967">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若无人机 k 直接由节点 i 飞往节点 j，取 1；否则取 0</w:t>
            </w:r>
          </w:p>
        </w:tc>
      </w:tr>
      <w:tr w14:paraId="1B1860BF">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69D03DD6">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y</m:t>
                    </m:r>
                  </m:e>
                  <m:sub>
                    <m:r>
                      <m:rPr/>
                      <m:t>i</m:t>
                    </m:r>
                  </m:sub>
                  <m:sup>
                    <m:r>
                      <m:rPr/>
                      <m:t>k</m:t>
                    </m:r>
                  </m:sup>
                </m:sSubSup>
              </m:oMath>
            </m:oMathPara>
          </w:p>
        </w:tc>
        <w:tc>
          <w:tcPr>
            <w:tcW w:w="5737" w:type="dxa"/>
            <w:tcBorders>
              <w:left w:val="nil"/>
              <w:bottom w:val="nil"/>
              <w:right w:val="nil"/>
            </w:tcBorders>
            <w:tcMar>
              <w:top w:w="8" w:type="dxa"/>
              <w:left w:w="80" w:type="dxa"/>
              <w:bottom w:w="8" w:type="dxa"/>
              <w:right w:w="80" w:type="dxa"/>
            </w:tcMar>
            <w:vAlign w:val="center"/>
          </w:tcPr>
          <w:p w14:paraId="3DEC972B">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若任务 i 采用直送且由无人机 k 完成最终送达，取 1；否则取 0</w:t>
            </w:r>
          </w:p>
        </w:tc>
      </w:tr>
      <w:tr w14:paraId="1F0AB339">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0BF5181">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u</m:t>
                    </m:r>
                  </m:e>
                  <m:sub>
                    <m:r>
                      <m:rPr/>
                      <m:t>k</m:t>
                    </m:r>
                  </m:sub>
                </m:sSub>
              </m:oMath>
            </m:oMathPara>
          </w:p>
        </w:tc>
        <w:tc>
          <w:tcPr>
            <w:tcW w:w="5737" w:type="dxa"/>
            <w:tcBorders>
              <w:left w:val="nil"/>
              <w:bottom w:val="nil"/>
              <w:right w:val="nil"/>
            </w:tcBorders>
            <w:tcMar>
              <w:top w:w="8" w:type="dxa"/>
              <w:left w:w="80" w:type="dxa"/>
              <w:bottom w:w="8" w:type="dxa"/>
              <w:right w:w="80" w:type="dxa"/>
            </w:tcMar>
            <w:vAlign w:val="center"/>
          </w:tcPr>
          <w:p w14:paraId="0ECD4204">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若无人机 k 被启用，取 1；否则取 0</w:t>
            </w:r>
          </w:p>
        </w:tc>
      </w:tr>
      <w:tr w14:paraId="61E350C3">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11B29C5C">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z</m:t>
                    </m:r>
                  </m:e>
                  <m:sub>
                    <m:r>
                      <m:rPr/>
                      <m:t>i</m:t>
                    </m:r>
                  </m:sub>
                </m:sSub>
              </m:oMath>
            </m:oMathPara>
          </w:p>
        </w:tc>
        <w:tc>
          <w:tcPr>
            <w:tcW w:w="5737" w:type="dxa"/>
            <w:tcBorders>
              <w:left w:val="nil"/>
              <w:bottom w:val="nil"/>
              <w:right w:val="nil"/>
            </w:tcBorders>
            <w:tcMar>
              <w:top w:w="8" w:type="dxa"/>
              <w:left w:w="80" w:type="dxa"/>
              <w:bottom w:w="8" w:type="dxa"/>
              <w:right w:w="80" w:type="dxa"/>
            </w:tcMar>
            <w:vAlign w:val="center"/>
          </w:tcPr>
          <w:p w14:paraId="1B29CF2C">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若任务 i 在最晚送达时刻前完成，取 1；否则取 0</w:t>
            </w:r>
          </w:p>
        </w:tc>
      </w:tr>
      <w:tr w14:paraId="294A5C43">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6723B956">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C</m:t>
                    </m:r>
                  </m:e>
                  <m:sub>
                    <m:r>
                      <m:rPr/>
                      <m:t>i</m:t>
                    </m:r>
                  </m:sub>
                </m:sSub>
              </m:oMath>
            </m:oMathPara>
          </w:p>
        </w:tc>
        <w:tc>
          <w:tcPr>
            <w:tcW w:w="5737" w:type="dxa"/>
            <w:tcBorders>
              <w:left w:val="nil"/>
              <w:bottom w:val="nil"/>
              <w:right w:val="nil"/>
            </w:tcBorders>
            <w:tcMar>
              <w:top w:w="8" w:type="dxa"/>
              <w:left w:w="80" w:type="dxa"/>
              <w:bottom w:w="8" w:type="dxa"/>
              <w:right w:w="80" w:type="dxa"/>
            </w:tcMar>
            <w:vAlign w:val="center"/>
          </w:tcPr>
          <w:p w14:paraId="170615F4">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任务 i 在所选服务方式下的最终送达时刻</w:t>
            </w:r>
          </w:p>
        </w:tc>
      </w:tr>
      <w:tr w14:paraId="3A0F63F4">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1EDD5B08">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L</m:t>
                    </m:r>
                  </m:e>
                  <m:sub>
                    <m:r>
                      <m:rPr/>
                      <m:t>i</m:t>
                    </m:r>
                  </m:sub>
                </m:sSub>
              </m:oMath>
            </m:oMathPara>
          </w:p>
        </w:tc>
        <w:tc>
          <w:tcPr>
            <w:tcW w:w="5737" w:type="dxa"/>
            <w:tcBorders>
              <w:left w:val="nil"/>
              <w:bottom w:val="nil"/>
              <w:right w:val="nil"/>
            </w:tcBorders>
            <w:tcMar>
              <w:top w:w="8" w:type="dxa"/>
              <w:left w:w="80" w:type="dxa"/>
              <w:bottom w:w="8" w:type="dxa"/>
              <w:right w:w="80" w:type="dxa"/>
            </w:tcMar>
            <w:vAlign w:val="center"/>
          </w:tcPr>
          <w:p w14:paraId="5E8025DD">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任务 i 的逾期时长，即 max{0, C_i−Tmax,i}</w:t>
            </w:r>
          </w:p>
        </w:tc>
      </w:tr>
      <w:tr w14:paraId="5CCEFF87">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07BD27E3">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T</m:t>
                    </m:r>
                  </m:e>
                  <m:sub>
                    <m:r>
                      <m:rPr/>
                      <m:t>i</m:t>
                    </m:r>
                  </m:sub>
                  <m:sup>
                    <m:r>
                      <m:rPr/>
                      <m:t>k</m:t>
                    </m:r>
                  </m:sup>
                </m:sSubSup>
              </m:oMath>
            </m:oMathPara>
          </w:p>
        </w:tc>
        <w:tc>
          <w:tcPr>
            <w:tcW w:w="5737" w:type="dxa"/>
            <w:tcBorders>
              <w:left w:val="nil"/>
              <w:bottom w:val="nil"/>
              <w:right w:val="nil"/>
            </w:tcBorders>
            <w:tcMar>
              <w:top w:w="8" w:type="dxa"/>
              <w:left w:w="80" w:type="dxa"/>
              <w:bottom w:w="8" w:type="dxa"/>
              <w:right w:w="80" w:type="dxa"/>
            </w:tcMar>
            <w:vAlign w:val="center"/>
          </w:tcPr>
          <w:p w14:paraId="2098F101">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 k 在节点 i 的计划服务时刻（含交接等待）</w:t>
            </w:r>
          </w:p>
        </w:tc>
      </w:tr>
      <w:tr w14:paraId="55218FC3">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4478D10">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W</m:t>
                    </m:r>
                  </m:e>
                  <m:sub>
                    <m:r>
                      <m:rPr/>
                      <m:t>i</m:t>
                    </m:r>
                  </m:sub>
                  <m:sup>
                    <m:r>
                      <m:rPr/>
                      <m:t>k</m:t>
                    </m:r>
                  </m:sup>
                </m:sSubSup>
              </m:oMath>
            </m:oMathPara>
          </w:p>
        </w:tc>
        <w:tc>
          <w:tcPr>
            <w:tcW w:w="5737" w:type="dxa"/>
            <w:tcBorders>
              <w:left w:val="nil"/>
              <w:bottom w:val="nil"/>
              <w:right w:val="nil"/>
            </w:tcBorders>
            <w:tcMar>
              <w:top w:w="8" w:type="dxa"/>
              <w:left w:w="80" w:type="dxa"/>
              <w:bottom w:w="8" w:type="dxa"/>
              <w:right w:w="80" w:type="dxa"/>
            </w:tcMar>
            <w:vAlign w:val="center"/>
          </w:tcPr>
          <w:p w14:paraId="3F051BA3">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 k 完成节点 i 操作后的机载包裹数量</w:t>
            </w:r>
          </w:p>
        </w:tc>
      </w:tr>
      <w:tr w14:paraId="3A39AF8A">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1439FE24">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r</m:t>
                    </m:r>
                  </m:e>
                  <m:sub>
                    <m:r>
                      <m:rPr/>
                      <m:t>iℎ</m:t>
                    </m:r>
                  </m:sub>
                  <m:sup>
                    <m:r>
                      <m:rPr/>
                      <m:t>k</m:t>
                    </m:r>
                    <m:r>
                      <m:rPr>
                        <m:sty m:val="p"/>
                      </m:rPr>
                      <m:t>ℓ</m:t>
                    </m:r>
                  </m:sup>
                </m:sSubSup>
              </m:oMath>
            </m:oMathPara>
          </w:p>
        </w:tc>
        <w:tc>
          <w:tcPr>
            <w:tcW w:w="5737" w:type="dxa"/>
            <w:tcBorders>
              <w:left w:val="nil"/>
              <w:bottom w:val="nil"/>
              <w:right w:val="nil"/>
            </w:tcBorders>
            <w:tcMar>
              <w:top w:w="8" w:type="dxa"/>
              <w:left w:w="80" w:type="dxa"/>
              <w:bottom w:w="8" w:type="dxa"/>
              <w:right w:w="80" w:type="dxa"/>
            </w:tcMar>
            <w:vAlign w:val="center"/>
          </w:tcPr>
          <w:p w14:paraId="6C2B296F">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若任务 i 经中继站 h 接力送，入站段由无人机 k、出站段由无人机 ℓ 执行，取 1；否则取 0；k=ℓ 为同机经站退化情形，k≠ℓ 为跨机交接</w:t>
            </w:r>
          </w:p>
        </w:tc>
      </w:tr>
    </w:tbl>
    <w:p w14:paraId="44275376">
      <w:pPr>
        <w:pStyle w:val="4"/>
        <w:spacing w:after="80" w:line="360" w:lineRule="auto"/>
        <w:jc w:val="left"/>
        <w:rPr>
          <w:rFonts w:hint="eastAsia" w:ascii="黑体" w:hAnsi="黑体" w:cs="黑体"/>
          <w:szCs w:val="24"/>
          <w:lang w:eastAsia="zh-CN"/>
        </w:rPr>
      </w:pPr>
      <w:r>
        <w:rPr>
          <w:lang w:eastAsia="zh-CN"/>
        </w:rPr>
        <w:t>3.3 数学模型</w:t>
      </w:r>
    </w:p>
    <w:p w14:paraId="33B9B75A">
      <w:pPr>
        <w:pStyle w:val="5"/>
        <w:spacing w:before="180" w:after="80" w:line="240" w:lineRule="auto"/>
        <w:ind w:firstLine="422" w:firstLineChars="200"/>
        <w:jc w:val="left"/>
        <w:rPr>
          <w:color w:val="auto"/>
          <w:szCs w:val="21"/>
          <w:lang w:eastAsia="zh-CN"/>
        </w:rPr>
      </w:pPr>
      <w:r>
        <w:rPr>
          <w:lang w:eastAsia="zh-CN"/>
        </w:rPr>
        <w:t>3.3.1 三层字典序优化目标</w:t>
      </w:r>
    </w:p>
    <w:p w14:paraId="76BBB73B">
      <w:pPr>
        <w:pStyle w:val="170"/>
        <w:ind w:firstLine="482"/>
        <w:rPr>
          <w:szCs w:val="21"/>
          <w:lang w:eastAsia="zh-CN"/>
        </w:rPr>
      </w:pPr>
      <w:r>
        <w:rPr>
          <w:lang w:eastAsia="zh-CN"/>
        </w:rPr>
        <w:t>本文采用与算法评价函数一致的三层严格字典序优化，以避免固定权重改变服务优先级：第一层最小化逾期任务数，第二层在第一层最优解集合中最小化总逾期时长，第三层在前两层最优解集合中最小化无人机集群总飞行里程。</w:t>
      </w:r>
    </w:p>
    <w:p w14:paraId="1A7153D6">
      <w:pPr>
        <w:pStyle w:val="3"/>
        <w:spacing w:after="0"/>
        <w:ind w:firstLine="482"/>
        <w:rPr>
          <w:szCs w:val="21"/>
          <w:lang w:eastAsia="zh-CN"/>
        </w:rPr>
      </w:pPr>
      <w:r>
        <w:rPr>
          <w:lang w:eastAsia="zh-CN"/>
        </w:rPr>
        <w:t>第一层逾期任务数定义为：</w:t>
      </w:r>
    </w:p>
    <w:p w14:paraId="08AA06E5">
      <w:pPr>
        <w:pStyle w:val="3"/>
        <w:tabs>
          <w:tab w:val="center" w:pos="4400"/>
          <w:tab w:val="right" w:pos="8800"/>
        </w:tabs>
        <w:spacing w:before="60" w:after="60" w:line="240" w:lineRule="auto"/>
        <w:rPr>
          <w:szCs w:val="21"/>
        </w:rPr>
      </w:pPr>
      <w:r>
        <w:rPr>
          <w:szCs w:val="21"/>
          <w:lang w:eastAsia="zh-CN"/>
        </w:rPr>
        <w:tab/>
      </w:r>
      <m:oMath>
        <m:sSub>
          <m:sSubPr/>
          <m:e>
            <m:r>
              <m:rPr/>
              <m:t>F</m:t>
            </m:r>
          </m:e>
          <m:sub>
            <m:r>
              <m:rPr/>
              <m:t>1</m:t>
            </m:r>
          </m:sub>
        </m:sSub>
        <m:r>
          <m:rPr>
            <m:sty m:val="p"/>
          </m:rPr>
          <m:t>=</m:t>
        </m:r>
        <m:nary>
          <m:naryPr>
            <m:chr m:val="∑"/>
            <m:limLoc m:val="undOvr"/>
            <m:supHide m:val="1"/>
          </m:naryPr>
          <m:sub>
            <m:r>
              <m:rPr/>
              <m:t>i</m:t>
            </m:r>
            <m:r>
              <m:rPr>
                <m:sty m:val="p"/>
              </m:rPr>
              <m:t>∈</m:t>
            </m:r>
            <m:r>
              <m:rPr/>
              <m:t>R</m:t>
            </m:r>
          </m:sub>
          <m:sup>
            <m:r>
              <m:rPr/>
              <m:t>​</m:t>
            </m:r>
          </m:sup>
          <m:e>
            <m:d>
              <m:dPr>
                <m:sepChr m:val=""/>
              </m:dPr>
              <m:e>
                <m:r>
                  <m:rPr/>
                  <m:t>1</m:t>
                </m:r>
                <m:r>
                  <m:rPr>
                    <m:sty m:val="p"/>
                  </m:rPr>
                  <m:t>−</m:t>
                </m:r>
                <m:sSub>
                  <m:sSubPr/>
                  <m:e>
                    <m:r>
                      <m:rPr/>
                      <m:t>z</m:t>
                    </m:r>
                  </m:e>
                  <m:sub>
                    <m:r>
                      <m:rPr/>
                      <m:t>i</m:t>
                    </m:r>
                  </m:sub>
                </m:sSub>
              </m:e>
            </m:d>
          </m:e>
        </m:nary>
        <m:r>
          <m:rPr>
            <m:sty m:val="p"/>
          </m:rPr>
          <m:t>.</m:t>
        </m:r>
      </m:oMath>
      <w:r>
        <w:rPr>
          <w:szCs w:val="21"/>
        </w:rPr>
        <w:tab/>
      </w:r>
      <w:r>
        <w:rPr>
          <w:szCs w:val="21"/>
        </w:rPr>
        <w:t>(1)</w:t>
      </w:r>
    </w:p>
    <w:p w14:paraId="7DD743F9">
      <w:pPr>
        <w:pStyle w:val="170"/>
        <w:ind w:firstLine="482"/>
        <w:rPr>
          <w:szCs w:val="21"/>
          <w:lang w:eastAsia="zh-CN"/>
        </w:rPr>
      </w:pPr>
      <w:r>
        <w:rPr>
          <w:lang w:eastAsia="zh-CN"/>
        </w:rPr>
        <w:t>第二层总逾期时长与第三层总飞行里程分别定义为：</w:t>
      </w:r>
    </w:p>
    <w:p w14:paraId="46579DEB">
      <w:pPr>
        <w:pStyle w:val="3"/>
        <w:tabs>
          <w:tab w:val="center" w:pos="4400"/>
          <w:tab w:val="right" w:pos="8800"/>
        </w:tabs>
        <w:spacing w:before="60" w:after="60" w:line="240" w:lineRule="auto"/>
        <w:rPr>
          <w:szCs w:val="21"/>
        </w:rPr>
      </w:pPr>
      <w:r>
        <w:rPr>
          <w:szCs w:val="21"/>
          <w:lang w:eastAsia="zh-CN"/>
        </w:rPr>
        <w:tab/>
      </w:r>
      <m:oMath>
        <m:sSub>
          <m:sSubPr/>
          <m:e>
            <m:r>
              <m:rPr/>
              <m:t>F</m:t>
            </m:r>
          </m:e>
          <m:sub>
            <m:r>
              <m:rPr/>
              <m:t>2</m:t>
            </m:r>
          </m:sub>
        </m:sSub>
        <m:r>
          <m:rPr>
            <m:sty m:val="p"/>
          </m:rPr>
          <m:t>=</m:t>
        </m:r>
        <m:nary>
          <m:naryPr>
            <m:chr m:val="∑"/>
            <m:limLoc m:val="undOvr"/>
            <m:supHide m:val="1"/>
          </m:naryPr>
          <m:sub>
            <m:r>
              <m:rPr/>
              <m:t>i</m:t>
            </m:r>
            <m:r>
              <m:rPr>
                <m:sty m:val="p"/>
              </m:rPr>
              <m:t>∈</m:t>
            </m:r>
            <m:r>
              <m:rPr/>
              <m:t>R</m:t>
            </m:r>
          </m:sub>
          <m:sup>
            <m:r>
              <m:rPr/>
              <m:t>​</m:t>
            </m:r>
          </m:sup>
          <m:e>
            <m:sSub>
              <m:sSubPr/>
              <m:e>
                <m:r>
                  <m:rPr/>
                  <m:t>L</m:t>
                </m:r>
              </m:e>
              <m:sub>
                <m:r>
                  <m:rPr/>
                  <m:t>i</m:t>
                </m:r>
              </m:sub>
            </m:sSub>
          </m:e>
        </m:nary>
        <m:r>
          <m:rPr>
            <m:sty m:val="p"/>
          </m:rPr>
          <m:t>,</m:t>
        </m:r>
        <m:r>
          <m:rPr/>
          <m:t>  </m:t>
        </m:r>
        <m:sSub>
          <m:sSubPr/>
          <m:e>
            <m:r>
              <m:rPr/>
              <m:t>F</m:t>
            </m:r>
          </m:e>
          <m:sub>
            <m:r>
              <m:rPr/>
              <m:t>3</m:t>
            </m:r>
          </m:sub>
        </m:sSub>
        <m:r>
          <m:rPr>
            <m:sty m:val="p"/>
          </m:rPr>
          <m:t>=</m:t>
        </m:r>
        <m:nary>
          <m:naryPr>
            <m:chr m:val="∑"/>
            <m:limLoc m:val="undOvr"/>
            <m:supHide m:val="1"/>
          </m:naryPr>
          <m:sub>
            <m:r>
              <m:rPr/>
              <m:t>k</m:t>
            </m:r>
            <m:r>
              <m:rPr>
                <m:sty m:val="p"/>
              </m:rPr>
              <m:t>∈</m:t>
            </m:r>
            <m:r>
              <m:rPr/>
              <m:t>D</m:t>
            </m:r>
          </m:sub>
          <m:sup>
            <m:r>
              <m:rPr/>
              <m:t>​</m:t>
            </m:r>
          </m:sup>
          <m:e>
            <m:nary>
              <m:naryPr>
                <m:chr m:val="∑"/>
                <m:limLoc m:val="undOvr"/>
                <m:supHide m:val="1"/>
              </m:naryPr>
              <m:sub>
                <m:d>
                  <m:dPr>
                    <m:sepChr m:val=""/>
                  </m:dPr>
                  <m:e>
                    <m:r>
                      <m:rPr/>
                      <m:t>i</m:t>
                    </m:r>
                    <m:r>
                      <m:rPr>
                        <m:sty m:val="p"/>
                      </m:rPr>
                      <m:t>,</m:t>
                    </m:r>
                    <m:r>
                      <m:rPr/>
                      <m:t>j</m:t>
                    </m:r>
                  </m:e>
                </m:d>
                <m:r>
                  <m:rPr>
                    <m:sty m:val="p"/>
                  </m:rPr>
                  <m:t>∈</m:t>
                </m:r>
                <m:r>
                  <m:rPr/>
                  <m:t>A</m:t>
                </m:r>
              </m:sub>
              <m:sup>
                <m:r>
                  <m:rPr/>
                  <m:t>​</m:t>
                </m:r>
              </m:sup>
              <m:e>
                <m:sSub>
                  <m:sSubPr/>
                  <m:e>
                    <m:r>
                      <m:rPr/>
                      <m:t>c</m:t>
                    </m:r>
                  </m:e>
                  <m:sub>
                    <m:r>
                      <m:rPr/>
                      <m:t>ij</m:t>
                    </m:r>
                  </m:sub>
                </m:sSub>
              </m:e>
            </m:nary>
          </m:e>
        </m:nary>
        <m:sSubSup>
          <m:sSubSupPr/>
          <m:e>
            <m:r>
              <m:rPr/>
              <m:t>x</m:t>
            </m:r>
          </m:e>
          <m:sub>
            <m:r>
              <m:rPr/>
              <m:t>ij</m:t>
            </m:r>
          </m:sub>
          <m:sup>
            <m:r>
              <m:rPr/>
              <m:t>k</m:t>
            </m:r>
          </m:sup>
        </m:sSubSup>
        <m:r>
          <m:rPr>
            <m:sty m:val="p"/>
          </m:rPr>
          <m:t>.</m:t>
        </m:r>
      </m:oMath>
      <w:r>
        <w:rPr>
          <w:szCs w:val="21"/>
        </w:rPr>
        <w:tab/>
      </w:r>
      <w:r>
        <w:rPr>
          <w:szCs w:val="21"/>
        </w:rPr>
        <w:t>(2)</w:t>
      </w:r>
    </w:p>
    <w:p w14:paraId="2A5220F5">
      <w:pPr>
        <w:pStyle w:val="170"/>
        <w:ind w:firstLine="482"/>
        <w:rPr>
          <w:szCs w:val="21"/>
          <w:lang w:eastAsia="zh-CN"/>
        </w:rPr>
      </w:pPr>
      <w:r>
        <w:rPr>
          <w:lang w:eastAsia="zh-CN"/>
        </w:rPr>
        <w:t>模型对任意可行调度方案按下式进行严格字典序比较：</w:t>
      </w:r>
    </w:p>
    <w:p w14:paraId="2BC70FA7">
      <w:pPr>
        <w:pStyle w:val="3"/>
        <w:tabs>
          <w:tab w:val="center" w:pos="4400"/>
          <w:tab w:val="right" w:pos="8800"/>
        </w:tabs>
        <w:spacing w:before="60" w:after="60" w:line="240" w:lineRule="auto"/>
        <w:rPr>
          <w:szCs w:val="21"/>
          <w:lang w:eastAsia="zh-CN"/>
        </w:rPr>
      </w:pPr>
      <w:r>
        <w:rPr>
          <w:szCs w:val="21"/>
          <w:lang w:eastAsia="zh-CN"/>
        </w:rPr>
        <w:tab/>
      </w:r>
      <m:oMath>
        <m:sSub>
          <m:sSubPr/>
          <m:e>
            <m:r>
              <m:rPr>
                <m:sty m:val="p"/>
              </m:rPr>
              <m:t>min</m:t>
            </m:r>
          </m:e>
          <m:sub>
            <m:r>
              <m:rPr>
                <m:sty m:val="p"/>
              </m:rPr>
              <m:t>lex</m:t>
            </m:r>
          </m:sub>
        </m:sSub>
        <m:r>
          <m:rPr/>
          <m:t> </m:t>
        </m:r>
        <m:d>
          <m:dPr>
            <m:sepChr m:val=""/>
          </m:dPr>
          <m:e>
            <m:sSub>
              <m:sSubPr/>
              <m:e>
                <m:r>
                  <m:rPr/>
                  <m:t>F</m:t>
                </m:r>
              </m:e>
              <m:sub>
                <m:r>
                  <m:rPr/>
                  <m:t>1</m:t>
                </m:r>
              </m:sub>
            </m:sSub>
            <m:r>
              <m:rPr>
                <m:sty m:val="p"/>
              </m:rPr>
              <m:t>,</m:t>
            </m:r>
            <m:sSub>
              <m:sSubPr/>
              <m:e>
                <m:r>
                  <m:rPr/>
                  <m:t>F</m:t>
                </m:r>
              </m:e>
              <m:sub>
                <m:r>
                  <m:rPr/>
                  <m:t>2</m:t>
                </m:r>
              </m:sub>
            </m:sSub>
            <m:r>
              <m:rPr>
                <m:sty m:val="p"/>
              </m:rPr>
              <m:t>,</m:t>
            </m:r>
            <m:sSub>
              <m:sSubPr/>
              <m:e>
                <m:r>
                  <m:rPr/>
                  <m:t>F</m:t>
                </m:r>
              </m:e>
              <m:sub>
                <m:r>
                  <m:rPr/>
                  <m:t>3</m:t>
                </m:r>
              </m:sub>
            </m:sSub>
          </m:e>
        </m:d>
        <m:r>
          <m:rPr>
            <m:sty m:val="p"/>
          </m:rPr>
          <m:t>.</m:t>
        </m:r>
      </m:oMath>
      <w:r>
        <w:rPr>
          <w:szCs w:val="21"/>
          <w:lang w:eastAsia="zh-CN"/>
        </w:rPr>
        <w:tab/>
      </w:r>
      <w:r>
        <w:rPr>
          <w:szCs w:val="21"/>
          <w:lang w:eastAsia="zh-CN"/>
        </w:rPr>
        <w:t>(3)</w:t>
      </w:r>
    </w:p>
    <w:p w14:paraId="6E7D056B">
      <w:pPr>
        <w:ind w:firstLineChars="200"/>
        <w:rPr>
          <w:szCs w:val="21"/>
          <w:lang w:eastAsia="zh-CN"/>
        </w:rPr>
      </w:pPr>
      <w:r>
        <w:rPr>
          <w:lang w:eastAsia="zh-CN"/>
        </w:rPr>
        <w:t>式（3）等价于依次求解三个阶段：先固定最小逾期任务数，再固定最小总逾期时长，最后优化总飞行里程。因此，低层指标的改善不得恶化任何更高层指标；当全部任务均准时时，前两层均为0，模型直接在该服务水平下选择总里程最小的方案。</w:t>
      </w:r>
    </w:p>
    <w:bookmarkEnd w:id="0"/>
    <w:p w14:paraId="4D45C8EA">
      <w:pPr>
        <w:pStyle w:val="5"/>
        <w:spacing w:before="180" w:after="80" w:line="240" w:lineRule="auto"/>
        <w:jc w:val="left"/>
        <w:rPr>
          <w:color w:val="auto"/>
          <w:szCs w:val="21"/>
          <w:lang w:eastAsia="zh-CN"/>
        </w:rPr>
      </w:pPr>
      <w:r>
        <w:rPr>
          <w:szCs w:val="21"/>
          <w:lang w:eastAsia="zh-CN"/>
        </w:rPr>
        <w:t>3.3.2 任务分配与路径流约束</w:t>
      </w:r>
    </w:p>
    <w:p w14:paraId="09399A58">
      <w:pPr>
        <w:pStyle w:val="170"/>
        <w:ind w:firstLine="482"/>
        <w:rPr>
          <w:szCs w:val="21"/>
          <w:lang w:eastAsia="zh-CN"/>
        </w:rPr>
      </w:pPr>
      <w:r>
        <w:rPr>
          <w:lang w:eastAsia="zh-CN"/>
        </w:rPr>
        <w:t>在基础直送模型中，每项任务必须唯一分配给一架无人机：</w:t>
      </w:r>
    </w:p>
    <w:p w14:paraId="01E2D393">
      <w:pPr>
        <w:pStyle w:val="3"/>
        <w:tabs>
          <w:tab w:val="center" w:pos="4400"/>
          <w:tab w:val="right" w:pos="8800"/>
        </w:tabs>
        <w:spacing w:before="60" w:after="60" w:line="240" w:lineRule="auto"/>
        <w:rPr>
          <w:szCs w:val="21"/>
          <w:lang w:eastAsia="zh-CN"/>
        </w:rPr>
      </w:pPr>
      <w:r>
        <w:rPr>
          <w:szCs w:val="21"/>
          <w:lang w:eastAsia="zh-CN"/>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lang w:eastAsia="zh-CN"/>
              </w:rPr>
              <m:t>k∈D</m:t>
            </m:r>
            <m:ctrlPr>
              <w:rPr>
                <w:rFonts w:ascii="Cambria Math" w:hAnsi="Cambria Math"/>
                <w:szCs w:val="21"/>
              </w:rPr>
            </m:ctrlPr>
          </m:sub>
          <m:sup>
            <m:r>
              <m:rPr/>
              <w:rPr>
                <w:rFonts w:ascii="Cambria Math" w:hAnsi="Cambria Math" w:eastAsia="Cambria Math" w:cs="Cambria Math"/>
                <w:szCs w:val="21"/>
                <w:lang w:eastAsia="zh-CN"/>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lang w:eastAsia="zh-CN"/>
                  </w:rPr>
                  <m:t>y</m:t>
                </m:r>
                <m:ctrlPr>
                  <w:rPr>
                    <w:rFonts w:ascii="Cambria Math" w:hAnsi="Cambria Math"/>
                    <w:szCs w:val="21"/>
                  </w:rPr>
                </m:ctrlPr>
              </m:e>
              <m:sub>
                <m:r>
                  <m:rPr/>
                  <w:rPr>
                    <w:rFonts w:ascii="Cambria Math" w:hAnsi="Cambria Math" w:eastAsia="Cambria Math" w:cs="Cambria Math"/>
                    <w:szCs w:val="21"/>
                    <w:lang w:eastAsia="zh-CN"/>
                  </w:rPr>
                  <m:t>i</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lang w:eastAsia="zh-CN"/>
          </w:rPr>
          <m:t>=1,  i∈R.</m:t>
        </m:r>
      </m:oMath>
      <w:r>
        <w:rPr>
          <w:szCs w:val="21"/>
          <w:lang w:eastAsia="zh-CN"/>
        </w:rPr>
        <w:tab/>
      </w:r>
      <w:r>
        <w:rPr>
          <w:szCs w:val="21"/>
          <w:lang w:eastAsia="zh-CN"/>
        </w:rPr>
        <w:t>(4)</w:t>
      </w:r>
    </w:p>
    <w:p w14:paraId="75DB6B51">
      <w:pPr>
        <w:pStyle w:val="170"/>
        <w:ind w:firstLine="482"/>
        <w:rPr>
          <w:szCs w:val="21"/>
          <w:lang w:eastAsia="zh-CN"/>
        </w:rPr>
      </w:pPr>
      <w:r>
        <w:rPr>
          <w:szCs w:val="21"/>
          <w:lang w:eastAsia="zh-CN"/>
        </w:rPr>
        <w:t>若任务</w:t>
      </w:r>
      <m:oMath>
        <m:r>
          <m:rPr/>
          <w:rPr>
            <w:rFonts w:ascii="Cambria Math" w:hAnsi="Cambria Math" w:eastAsia="Cambria Math" w:cs="Cambria Math"/>
            <w:szCs w:val="21"/>
            <w:lang w:eastAsia="zh-CN"/>
          </w:rPr>
          <m:t>i</m:t>
        </m:r>
      </m:oMath>
      <w:r>
        <w:rPr>
          <w:szCs w:val="21"/>
          <w:lang w:eastAsia="zh-CN"/>
        </w:rPr>
        <w:t>分配给无人机</w:t>
      </w:r>
      <m:oMath>
        <m:r>
          <m:rPr/>
          <w:rPr>
            <w:rFonts w:ascii="Cambria Math" w:hAnsi="Cambria Math" w:eastAsia="Cambria Math" w:cs="Cambria Math"/>
            <w:szCs w:val="21"/>
            <w:lang w:eastAsia="zh-CN"/>
          </w:rPr>
          <m:t>k</m:t>
        </m:r>
      </m:oMath>
      <w:r>
        <w:rPr>
          <w:szCs w:val="21"/>
          <w:lang w:eastAsia="zh-CN"/>
        </w:rPr>
        <w:t>，则其取件节点在无人机</w:t>
      </w:r>
      <m:oMath>
        <m:r>
          <m:rPr/>
          <w:rPr>
            <w:rFonts w:ascii="Cambria Math" w:hAnsi="Cambria Math" w:eastAsia="Cambria Math" w:cs="Cambria Math"/>
            <w:szCs w:val="21"/>
            <w:lang w:eastAsia="zh-CN"/>
          </w:rPr>
          <m:t>k</m:t>
        </m:r>
      </m:oMath>
      <w:r>
        <w:rPr>
          <w:szCs w:val="21"/>
          <w:lang w:eastAsia="zh-CN"/>
        </w:rPr>
        <w:t>的路径中必须恰好被访问一次，即：</w:t>
      </w:r>
    </w:p>
    <w:p w14:paraId="7DB0F61D">
      <w:pPr>
        <w:pStyle w:val="3"/>
        <w:tabs>
          <w:tab w:val="center" w:pos="4400"/>
          <w:tab w:val="right" w:pos="8800"/>
        </w:tabs>
        <w:spacing w:before="60" w:after="60" w:line="240" w:lineRule="auto"/>
        <w:rPr>
          <w:szCs w:val="21"/>
        </w:rPr>
      </w:pPr>
      <w:r>
        <w:rPr>
          <w:szCs w:val="21"/>
          <w:lang w:eastAsia="zh-CN"/>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rPr>
              <m:t>j∈</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e</m:t>
                </m:r>
                <m:ctrlPr>
                  <w:rPr>
                    <w:rFonts w:ascii="Cambria Math" w:hAnsi="Cambria Math"/>
                    <w:szCs w:val="21"/>
                  </w:rPr>
                </m:ctrlPr>
              </m:sup>
            </m:sSup>
            <m:ctrlPr>
              <w:rPr>
                <w:rFonts w:ascii="Cambria Math" w:hAnsi="Cambria Math"/>
                <w:szCs w:val="21"/>
              </w:rPr>
            </m:ctrlPr>
          </m:sub>
          <m:sup>
            <m:r>
              <m:rPr/>
              <w:rPr>
                <w:rFonts w:ascii="Cambria Math" w:hAnsi="Cambria Math" w:eastAsia="Cambria Math" w:cs="Cambria Math"/>
                <w:szCs w:val="21"/>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,  i∈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p</m:t>
            </m:r>
            <m:ctrlPr>
              <w:rPr>
                <w:rFonts w:ascii="Cambria Math" w:hAnsi="Cambria Math"/>
                <w:szCs w:val="21"/>
              </w:rPr>
            </m:ctrlPr>
          </m:sup>
        </m:sSup>
        <m:r>
          <m:rPr/>
          <w:rPr>
            <w:rFonts w:ascii="Cambria Math" w:hAnsi="Cambria Math" w:eastAsia="Cambria Math" w:cs="Cambria Math"/>
            <w:szCs w:val="21"/>
          </w:rPr>
          <m:t>, k∈D,</m:t>
        </m:r>
      </m:oMath>
      <w:r>
        <w:rPr>
          <w:szCs w:val="21"/>
        </w:rPr>
        <w:tab/>
      </w:r>
      <w:r>
        <w:rPr>
          <w:szCs w:val="21"/>
        </w:rPr>
        <w:t>(5)</w:t>
      </w:r>
    </w:p>
    <w:p w14:paraId="08DEB8D7">
      <w:pPr>
        <w:pStyle w:val="170"/>
        <w:tabs>
          <w:tab w:val="center" w:pos="4400"/>
          <w:tab w:val="right" w:pos="8800"/>
        </w:tabs>
        <w:spacing w:before="60" w:after="60" w:line="240" w:lineRule="auto"/>
        <w:rPr>
          <w:szCs w:val="21"/>
        </w:rPr>
      </w:pPr>
      <w:r>
        <w:rPr>
          <w:szCs w:val="21"/>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rPr>
              <m:t>j∈</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o</m:t>
                </m:r>
                <m:ctrlPr>
                  <w:rPr>
                    <w:rFonts w:ascii="Cambria Math" w:hAnsi="Cambria Math"/>
                    <w:szCs w:val="21"/>
                  </w:rPr>
                </m:ctrlPr>
              </m:sup>
            </m:sSup>
            <m:ctrlPr>
              <w:rPr>
                <w:rFonts w:ascii="Cambria Math" w:hAnsi="Cambria Math"/>
                <w:szCs w:val="21"/>
              </w:rPr>
            </m:ctrlPr>
          </m:sub>
          <m:sup>
            <m:r>
              <m:rPr/>
              <w:rPr>
                <w:rFonts w:ascii="Cambria Math" w:hAnsi="Cambria Math" w:eastAsia="Cambria Math" w:cs="Cambria Math"/>
                <w:szCs w:val="21"/>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ji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,  i∈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p</m:t>
            </m:r>
            <m:ctrlPr>
              <w:rPr>
                <w:rFonts w:ascii="Cambria Math" w:hAnsi="Cambria Math"/>
                <w:szCs w:val="21"/>
              </w:rPr>
            </m:ctrlPr>
          </m:sup>
        </m:sSup>
        <m:r>
          <m:rPr/>
          <w:rPr>
            <w:rFonts w:ascii="Cambria Math" w:hAnsi="Cambria Math" w:eastAsia="Cambria Math" w:cs="Cambria Math"/>
            <w:szCs w:val="21"/>
          </w:rPr>
          <m:t>, k∈D.</m:t>
        </m:r>
      </m:oMath>
      <w:r>
        <w:rPr>
          <w:szCs w:val="21"/>
        </w:rPr>
        <w:tab/>
      </w:r>
      <w:r>
        <w:rPr>
          <w:szCs w:val="21"/>
        </w:rPr>
        <w:t>(6)</w:t>
      </w:r>
    </w:p>
    <w:p w14:paraId="6365BEC9">
      <w:pPr>
        <w:pStyle w:val="170"/>
        <w:ind w:firstLine="482"/>
        <w:rPr>
          <w:szCs w:val="21"/>
          <w:lang w:eastAsia="zh-CN"/>
        </w:rPr>
      </w:pPr>
      <w:r>
        <w:rPr>
          <w:szCs w:val="21"/>
          <w:lang w:eastAsia="zh-CN"/>
        </w:rPr>
        <w:t>与任务配对的送达节点</w:t>
      </w:r>
      <m:oMath>
        <m:r>
          <m:rPr/>
          <w:rPr>
            <w:rFonts w:ascii="Cambria Math" w:hAnsi="Cambria Math" w:eastAsia="Cambria Math" w:cs="Cambria Math"/>
            <w:szCs w:val="21"/>
            <w:lang w:eastAsia="zh-CN"/>
          </w:rPr>
          <m:t>i+N</m:t>
        </m:r>
      </m:oMath>
      <w:r>
        <w:rPr>
          <w:szCs w:val="21"/>
          <w:lang w:eastAsia="zh-CN"/>
        </w:rPr>
        <w:t>亦须由无人机</w:t>
      </w:r>
      <m:oMath>
        <m:r>
          <m:rPr/>
          <w:rPr>
            <w:rFonts w:ascii="Cambria Math" w:hAnsi="Cambria Math" w:eastAsia="Cambria Math" w:cs="Cambria Math"/>
            <w:szCs w:val="21"/>
            <w:lang w:eastAsia="zh-CN"/>
          </w:rPr>
          <m:t>k</m:t>
        </m:r>
      </m:oMath>
      <w:r>
        <w:rPr>
          <w:szCs w:val="21"/>
          <w:lang w:eastAsia="zh-CN"/>
        </w:rPr>
        <w:t>恰好访问一次：</w:t>
      </w:r>
    </w:p>
    <w:p w14:paraId="51550514">
      <w:pPr>
        <w:pStyle w:val="3"/>
        <w:tabs>
          <w:tab w:val="center" w:pos="4400"/>
          <w:tab w:val="right" w:pos="8800"/>
        </w:tabs>
        <w:spacing w:before="60" w:after="60" w:line="240" w:lineRule="auto"/>
        <w:rPr>
          <w:szCs w:val="21"/>
        </w:rPr>
      </w:pPr>
      <w:r>
        <w:rPr>
          <w:szCs w:val="21"/>
          <w:lang w:eastAsia="zh-CN"/>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rPr>
              <m:t>j∈</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e</m:t>
                </m:r>
                <m:ctrlPr>
                  <w:rPr>
                    <w:rFonts w:ascii="Cambria Math" w:hAnsi="Cambria Math"/>
                    <w:szCs w:val="21"/>
                  </w:rPr>
                </m:ctrlPr>
              </m:sup>
            </m:sSup>
            <m:ctrlPr>
              <w:rPr>
                <w:rFonts w:ascii="Cambria Math" w:hAnsi="Cambria Math"/>
                <w:szCs w:val="21"/>
              </w:rPr>
            </m:ctrlPr>
          </m:sub>
          <m:sup>
            <m:r>
              <m:rPr/>
              <w:rPr>
                <w:rFonts w:ascii="Cambria Math" w:hAnsi="Cambria Math" w:eastAsia="Cambria Math" w:cs="Cambria Math"/>
                <w:szCs w:val="21"/>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i+N,j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,  i∈R, k∈D,</m:t>
        </m:r>
      </m:oMath>
      <w:r>
        <w:rPr>
          <w:szCs w:val="21"/>
        </w:rPr>
        <w:tab/>
      </w:r>
      <w:r>
        <w:rPr>
          <w:szCs w:val="21"/>
        </w:rPr>
        <w:t>(7)</w:t>
      </w:r>
    </w:p>
    <w:p w14:paraId="45B0A4DC">
      <w:pPr>
        <w:pStyle w:val="170"/>
        <w:tabs>
          <w:tab w:val="center" w:pos="4400"/>
          <w:tab w:val="right" w:pos="8800"/>
        </w:tabs>
        <w:spacing w:before="60" w:after="60" w:line="240" w:lineRule="auto"/>
        <w:rPr>
          <w:szCs w:val="21"/>
        </w:rPr>
      </w:pPr>
      <w:r>
        <w:rPr>
          <w:szCs w:val="21"/>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rPr>
              <m:t>j∈</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o</m:t>
                </m:r>
                <m:ctrlPr>
                  <w:rPr>
                    <w:rFonts w:ascii="Cambria Math" w:hAnsi="Cambria Math"/>
                    <w:szCs w:val="21"/>
                  </w:rPr>
                </m:ctrlPr>
              </m:sup>
            </m:sSup>
            <m:ctrlPr>
              <w:rPr>
                <w:rFonts w:ascii="Cambria Math" w:hAnsi="Cambria Math"/>
                <w:szCs w:val="21"/>
              </w:rPr>
            </m:ctrlPr>
          </m:sub>
          <m:sup>
            <m:r>
              <m:rPr/>
              <w:rPr>
                <w:rFonts w:ascii="Cambria Math" w:hAnsi="Cambria Math" w:eastAsia="Cambria Math" w:cs="Cambria Math"/>
                <w:szCs w:val="21"/>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j,i+N</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,  i∈R, k∈D.</m:t>
        </m:r>
      </m:oMath>
      <w:r>
        <w:rPr>
          <w:szCs w:val="21"/>
        </w:rPr>
        <w:tab/>
      </w:r>
      <w:r>
        <w:rPr>
          <w:szCs w:val="21"/>
        </w:rPr>
        <w:t>(8)</w:t>
      </w:r>
    </w:p>
    <w:p w14:paraId="24B16889">
      <w:pPr>
        <w:pStyle w:val="170"/>
        <w:ind w:firstLine="482"/>
        <w:rPr>
          <w:szCs w:val="21"/>
          <w:lang w:eastAsia="zh-CN"/>
        </w:rPr>
      </w:pPr>
      <w:r>
        <w:rPr>
          <w:szCs w:val="21"/>
          <w:lang w:eastAsia="zh-CN"/>
        </w:rPr>
        <w:t>式（5）—（8）通过共同的任务分配变量</w:t>
      </w:r>
      <m:oMath>
        <m:sSubSup>
          <m:sSubSupPr>
            <m:ctrlPr>
              <w:rPr>
                <w:rFonts w:ascii="Cambria Math" w:hAnsi="Cambria Math"/>
                <w:szCs w:val="21"/>
              </w:rPr>
            </m:ctrlPr>
          </m:sSubSupPr>
          <m:e>
            <m:r>
              <m:rPr/>
              <w:rPr>
                <w:rFonts w:ascii="Cambria Math" w:hAnsi="Cambria Math" w:eastAsia="Cambria Math" w:cs="Cambria Math"/>
                <w:szCs w:val="21"/>
                <w:lang w:eastAsia="zh-CN"/>
              </w:rPr>
              <m:t>y</m:t>
            </m:r>
            <m:ctrlPr>
              <w:rPr>
                <w:rFonts w:ascii="Cambria Math" w:hAnsi="Cambria Math"/>
                <w:szCs w:val="21"/>
              </w:rPr>
            </m:ctrlPr>
          </m:e>
          <m:sub>
            <m:r>
              <m:rPr/>
              <w:rPr>
                <w:rFonts w:ascii="Cambria Math" w:hAnsi="Cambria Math" w:eastAsia="Cambria Math" w:cs="Cambria Math"/>
                <w:szCs w:val="21"/>
                <w:lang w:eastAsia="zh-CN"/>
              </w:rPr>
              <m:t>i</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oMath>
      <w:r>
        <w:rPr>
          <w:szCs w:val="21"/>
          <w:lang w:eastAsia="zh-CN"/>
        </w:rPr>
        <w:t>将任务</w:t>
      </w:r>
      <m:oMath>
        <m:r>
          <m:rPr/>
          <w:rPr>
            <w:rFonts w:ascii="Cambria Math" w:hAnsi="Cambria Math" w:eastAsia="Cambria Math" w:cs="Cambria Math"/>
            <w:szCs w:val="21"/>
            <w:lang w:eastAsia="zh-CN"/>
          </w:rPr>
          <m:t>i</m:t>
        </m:r>
      </m:oMath>
      <w:r>
        <w:rPr>
          <w:szCs w:val="21"/>
          <w:lang w:eastAsia="zh-CN"/>
        </w:rPr>
        <w:t>的取件节点与送达节点耦合至同一架无人机，并同时保证两个服务节点均具有唯一入流与唯一出流。</w:t>
      </w:r>
    </w:p>
    <w:p w14:paraId="450416BA">
      <w:pPr>
        <w:pStyle w:val="3"/>
        <w:spacing w:after="0"/>
        <w:ind w:firstLine="482"/>
        <w:rPr>
          <w:szCs w:val="21"/>
          <w:lang w:eastAsia="zh-CN"/>
        </w:rPr>
      </w:pPr>
      <w:r>
        <w:rPr>
          <w:lang w:eastAsia="zh-CN"/>
        </w:rPr>
        <w:t>对于任一被启用的无人机，其路径必须由预先确定的起点ok出发。由于无人机初始载荷为0，基础直送模型的首个实际访问节点只能属于取件节点集合：</w:t>
      </w:r>
    </w:p>
    <w:p w14:paraId="48E8B7EF">
      <w:pPr>
        <w:pStyle w:val="3"/>
        <w:tabs>
          <w:tab w:val="center" w:pos="4400"/>
          <w:tab w:val="right" w:pos="8800"/>
        </w:tabs>
        <w:spacing w:before="60" w:after="60" w:line="240" w:lineRule="auto"/>
        <w:jc w:val="left"/>
        <w:rPr>
          <w:szCs w:val="21"/>
        </w:rPr>
      </w:pPr>
      <w:r>
        <w:rPr>
          <w:szCs w:val="21"/>
          <w:lang w:eastAsia="zh-CN"/>
        </w:rPr>
        <w:tab/>
      </w:r>
      <m:oMath>
        <m:nary>
          <m:naryPr>
            <m:chr m:val="∑"/>
            <m:limLoc m:val="undOvr"/>
            <m:supHide m:val="1"/>
          </m:naryPr>
          <m:sub>
            <m:r>
              <m:rPr/>
              <m:t>j</m:t>
            </m:r>
            <m:r>
              <m:rPr>
                <m:sty m:val="p"/>
              </m:rPr>
              <m:t>∈</m:t>
            </m:r>
            <m:sSup>
              <m:sSupPr/>
              <m:e>
                <m:r>
                  <m:rPr/>
                  <m:t>V</m:t>
                </m:r>
              </m:e>
              <m:sup>
                <m:r>
                  <m:rPr/>
                  <m:t>p</m:t>
                </m:r>
              </m:sup>
            </m:sSup>
          </m:sub>
          <m:sup>
            <m:r>
              <m:rPr/>
              <m:t>​</m:t>
            </m:r>
          </m:sup>
          <m:e>
            <m:sSubSup>
              <m:sSubSupPr/>
              <m:e>
                <m:r>
                  <m:rPr/>
                  <m:t>x</m:t>
                </m:r>
              </m:e>
              <m:sub>
                <m:sSub>
                  <m:sSubPr/>
                  <m:e>
                    <m:r>
                      <m:rPr/>
                      <m:t>o</m:t>
                    </m:r>
                  </m:e>
                  <m:sub>
                    <m:r>
                      <m:rPr/>
                      <m:t>k</m:t>
                    </m:r>
                  </m:sub>
                </m:sSub>
                <m:r>
                  <m:rPr/>
                  <m:t>j</m:t>
                </m:r>
              </m:sub>
              <m:sup>
                <m:r>
                  <m:rPr/>
                  <m:t>k</m:t>
                </m:r>
              </m:sup>
            </m:sSubSup>
          </m:e>
        </m:nary>
        <m:r>
          <m:rPr>
            <m:sty m:val="p"/>
          </m:rPr>
          <m:t>=</m:t>
        </m:r>
        <m:sSub>
          <m:sSubPr/>
          <m:e>
            <m:r>
              <m:rPr/>
              <m:t>u</m:t>
            </m:r>
          </m:e>
          <m:sub>
            <m:r>
              <m:rPr/>
              <m:t>k</m:t>
            </m:r>
          </m:sub>
        </m:sSub>
        <m:r>
          <m:rPr>
            <m:sty m:val="p"/>
          </m:rPr>
          <m:t>,</m:t>
        </m:r>
        <m:r>
          <m:rPr/>
          <m:t>  k</m:t>
        </m:r>
        <m:r>
          <m:rPr>
            <m:sty m:val="p"/>
          </m:rPr>
          <m:t>∈</m:t>
        </m:r>
        <m:r>
          <m:rPr/>
          <m:t>D</m:t>
        </m:r>
        <m:r>
          <m:rPr>
            <m:sty m:val="p"/>
          </m:rPr>
          <m:t>.</m:t>
        </m:r>
      </m:oMath>
      <w:r>
        <w:rPr>
          <w:szCs w:val="21"/>
        </w:rPr>
        <w:tab/>
      </w:r>
      <w:r>
        <w:rPr>
          <w:szCs w:val="21"/>
        </w:rPr>
        <w:t>(9)</w:t>
      </w:r>
    </w:p>
    <w:p w14:paraId="22E527EA">
      <w:pPr>
        <w:pStyle w:val="170"/>
        <w:ind w:firstLine="482"/>
        <w:rPr>
          <w:szCs w:val="21"/>
          <w:lang w:eastAsia="zh-CN"/>
        </w:rPr>
      </w:pPr>
      <w:r>
        <w:rPr>
          <w:szCs w:val="21"/>
          <w:lang w:eastAsia="zh-CN"/>
        </w:rPr>
        <w:t>开放式路径在完成最后一个送达节点后连接至虚拟终止节点：</w:t>
      </w:r>
    </w:p>
    <w:p w14:paraId="4C38F88D">
      <w:pPr>
        <w:pStyle w:val="3"/>
        <w:tabs>
          <w:tab w:val="center" w:pos="4400"/>
          <w:tab w:val="right" w:pos="8800"/>
        </w:tabs>
        <w:spacing w:before="60" w:after="60" w:line="240" w:lineRule="auto"/>
        <w:jc w:val="left"/>
        <w:rPr>
          <w:szCs w:val="21"/>
        </w:rPr>
      </w:pPr>
      <w:r>
        <w:rPr>
          <w:szCs w:val="21"/>
          <w:lang w:eastAsia="zh-CN"/>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rPr>
              <m:t>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d</m:t>
                </m:r>
                <m:ctrlPr>
                  <w:rPr>
                    <w:rFonts w:ascii="Cambria Math" w:hAnsi="Cambria Math"/>
                    <w:szCs w:val="21"/>
                  </w:rPr>
                </m:ctrlPr>
              </m:sup>
            </m:sSup>
            <m:ctrlPr>
              <w:rPr>
                <w:rFonts w:ascii="Cambria Math" w:hAnsi="Cambria Math"/>
                <w:szCs w:val="21"/>
              </w:rPr>
            </m:ctrlPr>
          </m:sub>
          <m:sup>
            <m:r>
              <m:rPr/>
              <w:rPr>
                <w:rFonts w:ascii="Cambria Math" w:hAnsi="Cambria Math" w:eastAsia="Cambria Math" w:cs="Cambria Math"/>
                <w:szCs w:val="21"/>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i,2N+1</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rPr>
          <m:t>=</m:t>
        </m:r>
        <m:sSub>
          <m:sSubPr>
            <m:ctrlPr>
              <w:rPr>
                <w:rFonts w:ascii="Cambria Math" w:hAnsi="Cambria Math"/>
                <w:szCs w:val="21"/>
              </w:rPr>
            </m:ctrlPr>
          </m:sSubPr>
          <m:e>
            <m:r>
              <m:rPr/>
              <w:rPr>
                <w:rFonts w:ascii="Cambria Math" w:hAnsi="Cambria Math" w:eastAsia="Cambria Math" w:cs="Cambria Math"/>
                <w:szCs w:val="21"/>
              </w:rPr>
              <m:t>u</m:t>
            </m:r>
            <m:ctrlPr>
              <w:rPr>
                <w:rFonts w:ascii="Cambria Math" w:hAnsi="Cambria Math"/>
                <w:szCs w:val="21"/>
              </w:rPr>
            </m:ctrlPr>
          </m:e>
          <m:sub>
            <m:r>
              <m:rPr/>
              <w:rPr>
                <w:rFonts w:ascii="Cambria Math" w:hAnsi="Cambria Math" w:eastAsia="Cambria Math" w:cs="Cambria Math"/>
                <w:szCs w:val="21"/>
              </w:rPr>
              <m:t>k</m:t>
            </m:r>
            <m:ctrlPr>
              <w:rPr>
                <w:rFonts w:ascii="Cambria Math" w:hAnsi="Cambria Math"/>
                <w:szCs w:val="21"/>
              </w:rPr>
            </m:ctrlPr>
          </m:sub>
        </m:sSub>
        <m:r>
          <m:rPr/>
          <w:rPr>
            <w:rFonts w:ascii="Cambria Math" w:hAnsi="Cambria Math" w:eastAsia="Cambria Math" w:cs="Cambria Math"/>
            <w:szCs w:val="21"/>
          </w:rPr>
          <m:t>,  k∈D.</m:t>
        </m:r>
      </m:oMath>
      <w:r>
        <w:rPr>
          <w:szCs w:val="21"/>
        </w:rPr>
        <w:tab/>
      </w:r>
      <w:r>
        <w:rPr>
          <w:szCs w:val="21"/>
        </w:rPr>
        <w:t>(10)</w:t>
      </w:r>
    </w:p>
    <w:p w14:paraId="40A40A12">
      <w:pPr>
        <w:pStyle w:val="170"/>
        <w:ind w:firstLine="482"/>
        <w:rPr>
          <w:szCs w:val="21"/>
          <w:lang w:eastAsia="zh-CN"/>
        </w:rPr>
      </w:pPr>
      <w:r>
        <w:rPr>
          <w:szCs w:val="21"/>
          <w:lang w:eastAsia="zh-CN"/>
        </w:rPr>
        <w:t>为保证虚拟终止节点不产生实际返航成本，规定：</w:t>
      </w:r>
    </w:p>
    <w:p w14:paraId="70232E00">
      <w:pPr>
        <w:pStyle w:val="3"/>
        <w:tabs>
          <w:tab w:val="center" w:pos="4400"/>
          <w:tab w:val="right" w:pos="8800"/>
        </w:tabs>
        <w:spacing w:before="60" w:after="60" w:line="240" w:lineRule="auto"/>
        <w:jc w:val="left"/>
        <w:rPr>
          <w:szCs w:val="21"/>
        </w:rPr>
      </w:pPr>
      <w:r>
        <w:rPr>
          <w:szCs w:val="21"/>
          <w:lang w:eastAsia="zh-CN"/>
        </w:rPr>
        <w:tab/>
      </w:r>
      <m:oMath>
        <m:sSub>
          <m:sSubPr>
            <m:ctrlPr>
              <w:rPr>
                <w:rFonts w:ascii="Cambria Math" w:hAnsi="Cambria Math"/>
                <w:szCs w:val="21"/>
              </w:rPr>
            </m:ctrlPr>
          </m:sSubPr>
          <m:e>
            <m:r>
              <m:rPr/>
              <w:rPr>
                <w:rFonts w:ascii="Cambria Math" w:hAnsi="Cambria Math" w:eastAsia="Cambria Math" w:cs="Cambria Math"/>
                <w:szCs w:val="21"/>
              </w:rPr>
              <m:t>c</m:t>
            </m:r>
            <m:ctrlPr>
              <w:rPr>
                <w:rFonts w:ascii="Cambria Math" w:hAnsi="Cambria Math"/>
                <w:szCs w:val="21"/>
              </w:rPr>
            </m:ctrlPr>
          </m:e>
          <m:sub>
            <m:r>
              <m:rPr/>
              <w:rPr>
                <w:rFonts w:ascii="Cambria Math" w:hAnsi="Cambria Math" w:eastAsia="Cambria Math" w:cs="Cambria Math"/>
                <w:szCs w:val="21"/>
              </w:rPr>
              <m:t>i,2N+1</m:t>
            </m:r>
            <m:ctrlPr>
              <w:rPr>
                <w:rFonts w:ascii="Cambria Math" w:hAnsi="Cambria Math"/>
                <w:szCs w:val="21"/>
              </w:rPr>
            </m:ctrlPr>
          </m:sub>
        </m:sSub>
        <m:r>
          <m:rPr/>
          <w:rPr>
            <w:rFonts w:ascii="Cambria Math" w:hAnsi="Cambria Math" w:eastAsia="Cambria Math" w:cs="Cambria Math"/>
            <w:szCs w:val="21"/>
          </w:rPr>
          <m:t>=0, </m:t>
        </m:r>
        <m:sSub>
          <m:sSubPr>
            <m:ctrlPr>
              <w:rPr>
                <w:rFonts w:ascii="Cambria Math" w:hAnsi="Cambria Math"/>
                <w:szCs w:val="21"/>
              </w:rPr>
            </m:ctrlPr>
          </m:sSubPr>
          <m:e>
            <m:r>
              <m:rPr/>
              <w:rPr>
                <w:rFonts w:ascii="Cambria Math" w:hAnsi="Cambria Math" w:eastAsia="Cambria Math" w:cs="Cambria Math"/>
                <w:szCs w:val="21"/>
              </w:rPr>
              <m:t>τ</m:t>
            </m:r>
            <m:ctrlPr>
              <w:rPr>
                <w:rFonts w:ascii="Cambria Math" w:hAnsi="Cambria Math"/>
                <w:szCs w:val="21"/>
              </w:rPr>
            </m:ctrlPr>
          </m:e>
          <m:sub>
            <m:r>
              <m:rPr/>
              <w:rPr>
                <w:rFonts w:ascii="Cambria Math" w:hAnsi="Cambria Math" w:eastAsia="Cambria Math" w:cs="Cambria Math"/>
                <w:szCs w:val="21"/>
              </w:rPr>
              <m:t>i,2N+1</m:t>
            </m:r>
            <m:ctrlPr>
              <w:rPr>
                <w:rFonts w:ascii="Cambria Math" w:hAnsi="Cambria Math"/>
                <w:szCs w:val="21"/>
              </w:rPr>
            </m:ctrlPr>
          </m:sub>
        </m:sSub>
        <m:r>
          <m:rPr/>
          <w:rPr>
            <w:rFonts w:ascii="Cambria Math" w:hAnsi="Cambria Math" w:eastAsia="Cambria Math" w:cs="Cambria Math"/>
            <w:szCs w:val="21"/>
          </w:rPr>
          <m:t>=0,  i∈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d</m:t>
            </m:r>
            <m:ctrlPr>
              <w:rPr>
                <w:rFonts w:ascii="Cambria Math" w:hAnsi="Cambria Math"/>
                <w:szCs w:val="21"/>
              </w:rPr>
            </m:ctrlPr>
          </m:sup>
        </m:sSup>
        <m:r>
          <m:rPr/>
          <w:rPr>
            <w:rFonts w:ascii="Cambria Math" w:hAnsi="Cambria Math" w:eastAsia="Cambria Math" w:cs="Cambria Math"/>
            <w:szCs w:val="21"/>
          </w:rPr>
          <m:t>.</m:t>
        </m:r>
      </m:oMath>
      <w:r>
        <w:rPr>
          <w:szCs w:val="21"/>
        </w:rPr>
        <w:tab/>
      </w:r>
      <w:r>
        <w:rPr>
          <w:szCs w:val="21"/>
        </w:rPr>
        <w:t>(11)</w:t>
      </w:r>
    </w:p>
    <w:p w14:paraId="10A8B18F">
      <w:pPr>
        <w:pStyle w:val="170"/>
        <w:ind w:firstLine="482"/>
        <w:rPr>
          <w:szCs w:val="21"/>
          <w:lang w:eastAsia="zh-CN"/>
        </w:rPr>
      </w:pPr>
      <w:r>
        <w:rPr>
          <w:rFonts w:hint="eastAsia"/>
          <w:szCs w:val="21"/>
          <w:lang w:eastAsia="zh-CN"/>
        </w:rPr>
        <w:t>由上式（11）</w:t>
      </w:r>
      <w:r>
        <w:rPr>
          <w:szCs w:val="21"/>
          <w:lang w:eastAsia="zh-CN"/>
        </w:rPr>
        <w:t>，其相关弧的距离与飞行时间均为0，因而不会改变实际飞行里程或作业时间。</w:t>
      </w:r>
    </w:p>
    <w:p w14:paraId="32B082A8">
      <w:pPr>
        <w:pStyle w:val="3"/>
        <w:spacing w:after="0"/>
        <w:ind w:firstLine="482"/>
        <w:rPr>
          <w:szCs w:val="21"/>
          <w:lang w:eastAsia="zh-CN"/>
        </w:rPr>
      </w:pPr>
      <w:r>
        <w:rPr>
          <w:szCs w:val="21"/>
          <w:lang w:eastAsia="zh-CN"/>
        </w:rPr>
        <w:t>此外，单架无人机累计承担的任务数不得超过上限</w:t>
      </w:r>
      <m:oMath>
        <m:r>
          <m:rPr/>
          <w:rPr>
            <w:rFonts w:ascii="Cambria Math" w:hAnsi="Cambria Math" w:eastAsia="Cambria Math" w:cs="Cambria Math"/>
            <w:szCs w:val="21"/>
            <w:lang w:eastAsia="zh-CN"/>
          </w:rPr>
          <m:t>K</m:t>
        </m:r>
      </m:oMath>
      <w:r>
        <w:rPr>
          <w:szCs w:val="21"/>
          <w:lang w:eastAsia="zh-CN"/>
        </w:rPr>
        <w:t>：</w:t>
      </w:r>
    </w:p>
    <w:p w14:paraId="38913A5A">
      <w:pPr>
        <w:pStyle w:val="3"/>
        <w:tabs>
          <w:tab w:val="center" w:pos="4400"/>
          <w:tab w:val="right" w:pos="8800"/>
        </w:tabs>
        <w:spacing w:before="60" w:after="60" w:line="240" w:lineRule="auto"/>
        <w:jc w:val="left"/>
        <w:rPr>
          <w:szCs w:val="21"/>
        </w:rPr>
      </w:pPr>
      <w:r>
        <w:rPr>
          <w:szCs w:val="21"/>
          <w:lang w:eastAsia="zh-CN"/>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rPr>
              <m:t>i∈R</m:t>
            </m:r>
            <m:ctrlPr>
              <w:rPr>
                <w:rFonts w:ascii="Cambria Math" w:hAnsi="Cambria Math"/>
                <w:szCs w:val="21"/>
              </w:rPr>
            </m:ctrlPr>
          </m:sub>
          <m:sup>
            <m:r>
              <m:rPr/>
              <w:rPr>
                <w:rFonts w:ascii="Cambria Math" w:hAnsi="Cambria Math" w:eastAsia="Cambria Math" w:cs="Cambria Math"/>
                <w:szCs w:val="21"/>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rPr>
          <m:t>≤K</m:t>
        </m:r>
        <m:sSub>
          <m:sSubPr>
            <m:ctrlPr>
              <w:rPr>
                <w:rFonts w:ascii="Cambria Math" w:hAnsi="Cambria Math"/>
                <w:szCs w:val="21"/>
              </w:rPr>
            </m:ctrlPr>
          </m:sSubPr>
          <m:e>
            <m:r>
              <m:rPr/>
              <w:rPr>
                <w:rFonts w:ascii="Cambria Math" w:hAnsi="Cambria Math" w:eastAsia="Cambria Math" w:cs="Cambria Math"/>
                <w:szCs w:val="21"/>
              </w:rPr>
              <m:t>u</m:t>
            </m:r>
            <m:ctrlPr>
              <w:rPr>
                <w:rFonts w:ascii="Cambria Math" w:hAnsi="Cambria Math"/>
                <w:szCs w:val="21"/>
              </w:rPr>
            </m:ctrlPr>
          </m:e>
          <m:sub>
            <m:r>
              <m:rPr/>
              <w:rPr>
                <w:rFonts w:ascii="Cambria Math" w:hAnsi="Cambria Math" w:eastAsia="Cambria Math" w:cs="Cambria Math"/>
                <w:szCs w:val="21"/>
              </w:rPr>
              <m:t>k</m:t>
            </m:r>
            <m:ctrlPr>
              <w:rPr>
                <w:rFonts w:ascii="Cambria Math" w:hAnsi="Cambria Math"/>
                <w:szCs w:val="21"/>
              </w:rPr>
            </m:ctrlPr>
          </m:sub>
        </m:sSub>
        <m:r>
          <m:rPr/>
          <w:rPr>
            <w:rFonts w:ascii="Cambria Math" w:hAnsi="Cambria Math" w:eastAsia="Cambria Math" w:cs="Cambria Math"/>
            <w:szCs w:val="21"/>
          </w:rPr>
          <m:t>,  k∈D.</m:t>
        </m:r>
      </m:oMath>
      <w:r>
        <w:rPr>
          <w:szCs w:val="21"/>
        </w:rPr>
        <w:tab/>
      </w:r>
      <w:r>
        <w:rPr>
          <w:szCs w:val="21"/>
        </w:rPr>
        <w:t>(12)</w:t>
      </w:r>
    </w:p>
    <w:p w14:paraId="367867F0">
      <w:pPr>
        <w:pStyle w:val="5"/>
        <w:spacing w:before="180" w:after="80" w:line="240" w:lineRule="auto"/>
        <w:jc w:val="left"/>
        <w:rPr>
          <w:color w:val="auto"/>
          <w:szCs w:val="21"/>
          <w:lang w:eastAsia="zh-CN"/>
        </w:rPr>
      </w:pPr>
      <w:r>
        <w:rPr>
          <w:szCs w:val="21"/>
          <w:lang w:eastAsia="zh-CN"/>
        </w:rPr>
        <w:t>3.3.3 时间传播与取送优先约束</w:t>
      </w:r>
    </w:p>
    <w:p w14:paraId="4438227A">
      <w:pPr>
        <w:pStyle w:val="170"/>
        <w:ind w:firstLine="482"/>
        <w:rPr>
          <w:szCs w:val="21"/>
          <w:lang w:eastAsia="zh-CN"/>
        </w:rPr>
      </w:pPr>
      <w:r>
        <w:rPr>
          <w:lang w:eastAsia="zh-CN"/>
        </w:rPr>
        <w:t>所有无人机均在时刻0由各自固定起点出发：</w:t>
      </w:r>
    </w:p>
    <w:p w14:paraId="388F7651">
      <w:pPr>
        <w:pStyle w:val="3"/>
        <w:tabs>
          <w:tab w:val="center" w:pos="4400"/>
          <w:tab w:val="right" w:pos="8800"/>
        </w:tabs>
        <w:spacing w:before="60" w:after="60" w:line="240" w:lineRule="auto"/>
        <w:jc w:val="left"/>
        <w:rPr>
          <w:szCs w:val="21"/>
          <w:lang w:eastAsia="zh-CN"/>
        </w:rPr>
      </w:pPr>
      <w:r>
        <w:rPr>
          <w:szCs w:val="21"/>
          <w:lang w:eastAsia="zh-CN"/>
        </w:rPr>
        <w:tab/>
      </w:r>
      <m:oMath>
        <m:sSubSup>
          <m:sSubSupPr/>
          <m:e>
            <m:r>
              <m:rPr/>
              <m:t>T</m:t>
            </m:r>
          </m:e>
          <m:sub>
            <m:sSub>
              <m:sSubPr/>
              <m:e>
                <m:r>
                  <m:rPr/>
                  <m:t>o</m:t>
                </m:r>
              </m:e>
              <m:sub>
                <m:r>
                  <m:rPr/>
                  <m:t>k</m:t>
                </m:r>
              </m:sub>
            </m:sSub>
          </m:sub>
          <m:sup>
            <m:r>
              <m:rPr/>
              <m:t>k</m:t>
            </m:r>
          </m:sup>
        </m:sSubSup>
        <m:r>
          <m:rPr>
            <m:sty m:val="p"/>
          </m:rPr>
          <m:t>=</m:t>
        </m:r>
        <m:r>
          <m:rPr/>
          <m:t>0</m:t>
        </m:r>
        <m:r>
          <m:rPr>
            <m:sty m:val="p"/>
          </m:rPr>
          <m:t>,</m:t>
        </m:r>
        <m:r>
          <m:rPr/>
          <m:t>  k</m:t>
        </m:r>
        <m:r>
          <m:rPr>
            <m:sty m:val="p"/>
          </m:rPr>
          <m:t>∈</m:t>
        </m:r>
        <m:r>
          <m:rPr/>
          <m:t>D</m:t>
        </m:r>
        <m:r>
          <m:rPr>
            <m:sty m:val="p"/>
          </m:rPr>
          <m:t>.</m:t>
        </m:r>
      </m:oMath>
      <w:r>
        <w:rPr>
          <w:szCs w:val="21"/>
          <w:lang w:eastAsia="zh-CN"/>
        </w:rPr>
        <w:tab/>
      </w:r>
      <w:r>
        <w:rPr>
          <w:szCs w:val="21"/>
          <w:lang w:eastAsia="zh-CN"/>
        </w:rPr>
        <w:t>(13)</w:t>
      </w:r>
    </w:p>
    <w:p w14:paraId="72BACCA7">
      <w:pPr>
        <w:pStyle w:val="170"/>
        <w:ind w:firstLine="482"/>
        <w:rPr>
          <w:szCs w:val="21"/>
          <w:lang w:eastAsia="zh-CN"/>
        </w:rPr>
      </w:pPr>
      <w:r>
        <w:rPr>
          <w:szCs w:val="21"/>
          <w:lang w:eastAsia="zh-CN"/>
        </w:rPr>
        <w:t>若无人机</w:t>
      </w:r>
      <m:oMath>
        <m:r>
          <m:rPr/>
          <w:rPr>
            <w:rFonts w:ascii="Cambria Math" w:hAnsi="Cambria Math" w:eastAsia="Cambria Math" w:cs="Cambria Math"/>
            <w:szCs w:val="21"/>
            <w:lang w:eastAsia="zh-CN"/>
          </w:rPr>
          <m:t>k</m:t>
        </m:r>
      </m:oMath>
      <w:r>
        <w:rPr>
          <w:szCs w:val="21"/>
          <w:lang w:eastAsia="zh-CN"/>
        </w:rPr>
        <w:t>选择弧</w:t>
      </w:r>
      <m:oMath>
        <m:d>
          <m:dPr>
            <m:ctrlPr>
              <w:rPr>
                <w:rFonts w:ascii="Cambria Math" w:hAnsi="Cambria Math"/>
                <w:szCs w:val="21"/>
              </w:rPr>
            </m:ctrlPr>
          </m:dPr>
          <m:e>
            <m:r>
              <m:rPr/>
              <w:rPr>
                <w:rFonts w:ascii="Cambria Math" w:hAnsi="Cambria Math" w:eastAsia="Cambria Math" w:cs="Cambria Math"/>
                <w:szCs w:val="21"/>
                <w:lang w:eastAsia="zh-CN"/>
              </w:rPr>
              <m:t>i,j</m:t>
            </m:r>
            <m:ctrlPr>
              <w:rPr>
                <w:rFonts w:ascii="Cambria Math" w:hAnsi="Cambria Math"/>
                <w:szCs w:val="21"/>
              </w:rPr>
            </m:ctrlPr>
          </m:e>
        </m:d>
      </m:oMath>
      <w:r>
        <w:rPr>
          <w:szCs w:val="21"/>
          <w:lang w:eastAsia="zh-CN"/>
        </w:rPr>
        <w:t>，则节点</w:t>
      </w:r>
      <m:oMath>
        <m:r>
          <m:rPr/>
          <w:rPr>
            <w:rFonts w:ascii="Cambria Math" w:hAnsi="Cambria Math" w:eastAsia="Cambria Math" w:cs="Cambria Math"/>
            <w:szCs w:val="21"/>
            <w:lang w:eastAsia="zh-CN"/>
          </w:rPr>
          <m:t>j</m:t>
        </m:r>
      </m:oMath>
      <w:r>
        <w:rPr>
          <w:szCs w:val="21"/>
          <w:lang w:eastAsia="zh-CN"/>
        </w:rPr>
        <w:t>的到达时刻必须满足由节点</w:t>
      </w:r>
      <m:oMath>
        <m:r>
          <m:rPr/>
          <w:rPr>
            <w:rFonts w:ascii="Cambria Math" w:hAnsi="Cambria Math" w:eastAsia="Cambria Math" w:cs="Cambria Math"/>
            <w:szCs w:val="21"/>
            <w:lang w:eastAsia="zh-CN"/>
          </w:rPr>
          <m:t>i</m:t>
        </m:r>
      </m:oMath>
      <w:r>
        <w:rPr>
          <w:szCs w:val="21"/>
          <w:lang w:eastAsia="zh-CN"/>
        </w:rPr>
        <w:t>出发并经历飞行时间</w:t>
      </w:r>
      <m:oMath>
        <m:sSub>
          <m:sSubPr>
            <m:ctrlPr>
              <w:rPr>
                <w:rFonts w:ascii="Cambria Math" w:hAnsi="Cambria Math"/>
                <w:szCs w:val="21"/>
              </w:rPr>
            </m:ctrlPr>
          </m:sSubPr>
          <m:e>
            <m:r>
              <m:rPr/>
              <w:rPr>
                <w:rFonts w:ascii="Cambria Math" w:hAnsi="Cambria Math" w:eastAsia="Cambria Math" w:cs="Cambria Math"/>
                <w:szCs w:val="21"/>
                <w:lang w:eastAsia="zh-CN"/>
              </w:rPr>
              <m:t>τ</m:t>
            </m:r>
            <m:ctrlPr>
              <w:rPr>
                <w:rFonts w:ascii="Cambria Math" w:hAnsi="Cambria Math"/>
                <w:szCs w:val="21"/>
              </w:rPr>
            </m:ctrlPr>
          </m:e>
          <m:sub>
            <m:r>
              <m:rPr/>
              <w:rPr>
                <w:rFonts w:ascii="Cambria Math" w:hAnsi="Cambria Math" w:eastAsia="Cambria Math" w:cs="Cambria Math"/>
                <w:szCs w:val="21"/>
                <w:lang w:eastAsia="zh-CN"/>
              </w:rPr>
              <m:t>ij</m:t>
            </m:r>
            <m:ctrlPr>
              <w:rPr>
                <w:rFonts w:ascii="Cambria Math" w:hAnsi="Cambria Math"/>
                <w:szCs w:val="21"/>
              </w:rPr>
            </m:ctrlPr>
          </m:sub>
        </m:sSub>
      </m:oMath>
      <w:r>
        <w:rPr>
          <w:szCs w:val="21"/>
          <w:lang w:eastAsia="zh-CN"/>
        </w:rPr>
        <w:t>所决定的时间传播关系：</w:t>
      </w:r>
    </w:p>
    <w:p w14:paraId="034A0A99">
      <w:pPr>
        <w:pStyle w:val="3"/>
        <w:tabs>
          <w:tab w:val="center" w:pos="4400"/>
          <w:tab w:val="right" w:pos="8800"/>
        </w:tabs>
        <w:spacing w:before="60" w:after="60" w:line="240" w:lineRule="auto"/>
        <w:jc w:val="left"/>
        <w:rPr>
          <w:szCs w:val="21"/>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
          <m:sSubPr>
            <m:ctrlPr>
              <w:rPr>
                <w:rFonts w:ascii="Cambria Math" w:hAnsi="Cambria Math"/>
                <w:szCs w:val="21"/>
              </w:rPr>
            </m:ctrlPr>
          </m:sSubPr>
          <m:e>
            <m:r>
              <m:rPr/>
              <w:rPr>
                <w:rFonts w:ascii="Cambria Math" w:hAnsi="Cambria Math" w:eastAsia="Cambria Math" w:cs="Cambria Math"/>
                <w:szCs w:val="21"/>
              </w:rPr>
              <m:t>τ</m:t>
            </m:r>
            <m:ctrlPr>
              <w:rPr>
                <w:rFonts w:ascii="Cambria Math" w:hAnsi="Cambria Math"/>
                <w:szCs w:val="21"/>
              </w:rPr>
            </m:ctrlPr>
          </m:e>
          <m:sub>
            <m:r>
              <m:rPr/>
              <w:rPr>
                <w:rFonts w:ascii="Cambria Math" w:hAnsi="Cambria Math" w:eastAsia="Cambria Math" w:cs="Cambria Math"/>
                <w:szCs w:val="21"/>
              </w:rPr>
              <m:t>ij</m:t>
            </m:r>
            <m:ctrlPr>
              <w:rPr>
                <w:rFonts w:ascii="Cambria Math" w:hAnsi="Cambria Math"/>
                <w:szCs w:val="21"/>
              </w:rPr>
            </m:ctrlPr>
          </m:sub>
        </m:sSub>
        <m:r>
          <m:rPr/>
          <w:rPr>
            <w:rFonts w:ascii="Cambria Math" w:hAnsi="Cambria Math" w:eastAsia="Cambria Math" w:cs="Cambria Math"/>
            <w:szCs w:val="21"/>
          </w:rPr>
          <m:t>−</m:t>
        </m:r>
        <m:sSup>
          <m:sSupPr>
            <m:ctrlPr>
              <w:rPr>
                <w:rFonts w:ascii="Cambria Math" w:hAnsi="Cambria Math"/>
                <w:szCs w:val="21"/>
              </w:rPr>
            </m:ctrlPr>
          </m:sSupPr>
          <m:e>
            <m:r>
              <m:rPr/>
              <w:rPr>
                <w:rFonts w:ascii="Cambria Math" w:hAnsi="Cambria Math" w:eastAsia="Cambria Math" w:cs="Cambria Math"/>
                <w:szCs w:val="21"/>
              </w:rPr>
              <m:t>M</m:t>
            </m:r>
            <m:ctrlPr>
              <w:rPr>
                <w:rFonts w:ascii="Cambria Math" w:hAnsi="Cambria Math"/>
                <w:szCs w:val="21"/>
              </w:rPr>
            </m:ctrlPr>
          </m:e>
          <m:sup>
            <m:r>
              <m:rPr/>
              <w:rPr>
                <w:rFonts w:ascii="Cambria Math" w:hAnsi="Cambria Math" w:eastAsia="Cambria Math" w:cs="Cambria Math"/>
                <w:szCs w:val="21"/>
              </w:rPr>
              <m:t>T</m:t>
            </m:r>
            <m:ctrlPr>
              <w:rPr>
                <w:rFonts w:ascii="Cambria Math" w:hAnsi="Cambria Math"/>
                <w:szCs w:val="21"/>
              </w:rPr>
            </m:ctrlPr>
          </m:sup>
        </m:sSup>
        <m:d>
          <m:dPr>
            <m:ctrlPr>
              <w:rPr>
                <w:rFonts w:ascii="Cambria Math" w:hAnsi="Cambria Math"/>
                <w:szCs w:val="21"/>
              </w:rPr>
            </m:ctrlPr>
          </m:dPr>
          <m:e>
            <m:r>
              <m:rPr/>
              <w:rPr>
                <w:rFonts w:ascii="Cambria Math" w:hAnsi="Cambria Math" w:eastAsia="Cambria Math" w:cs="Cambria Math"/>
                <w:szCs w:val="21"/>
              </w:rPr>
              <m:t>1−</m:t>
            </m:r>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d>
        <m:r>
          <m:rPr/>
          <w:rPr>
            <w:rFonts w:ascii="Cambria Math" w:hAnsi="Cambria Math" w:eastAsia="Cambria Math" w:cs="Cambria Math"/>
            <w:szCs w:val="21"/>
          </w:rPr>
          <m:t>,  </m:t>
        </m:r>
        <m:d>
          <m:dPr>
            <m:ctrlPr>
              <w:rPr>
                <w:rFonts w:ascii="Cambria Math" w:hAnsi="Cambria Math"/>
                <w:szCs w:val="21"/>
              </w:rPr>
            </m:ctrlPr>
          </m:dPr>
          <m:e>
            <m:r>
              <m:rPr/>
              <w:rPr>
                <w:rFonts w:ascii="Cambria Math" w:hAnsi="Cambria Math" w:eastAsia="Cambria Math" w:cs="Cambria Math"/>
                <w:szCs w:val="21"/>
              </w:rPr>
              <m:t>i,j</m:t>
            </m:r>
            <m:ctrlPr>
              <w:rPr>
                <w:rFonts w:ascii="Cambria Math" w:hAnsi="Cambria Math"/>
                <w:szCs w:val="21"/>
              </w:rPr>
            </m:ctrlPr>
          </m:e>
        </m:d>
        <m:r>
          <m:rPr/>
          <w:rPr>
            <w:rFonts w:ascii="Cambria Math" w:hAnsi="Cambria Math" w:eastAsia="Cambria Math" w:cs="Cambria Math"/>
            <w:szCs w:val="21"/>
          </w:rPr>
          <m:t>∈A, j≠2N+1, k∈D.</m:t>
        </m:r>
      </m:oMath>
      <w:r>
        <w:rPr>
          <w:szCs w:val="21"/>
        </w:rPr>
        <w:tab/>
      </w:r>
      <w:r>
        <w:rPr>
          <w:szCs w:val="21"/>
        </w:rPr>
        <w:t>(14)</w:t>
      </w:r>
    </w:p>
    <w:p w14:paraId="4A8540A9">
      <w:pPr>
        <w:pStyle w:val="170"/>
        <w:ind w:firstLine="482"/>
        <w:rPr>
          <w:szCs w:val="21"/>
          <w:lang w:eastAsia="zh-CN"/>
        </w:rPr>
      </w:pPr>
      <w:r>
        <w:rPr>
          <w:szCs w:val="21"/>
          <w:lang w:eastAsia="zh-CN"/>
        </w:rPr>
        <w:t>为避免未分配任务对应的时间变量在松弛解中取非必要正值，并强化时间变量与任务分配变量之间的耦合，对任意任务</w:t>
      </w:r>
      <m:oMath>
        <m:r>
          <m:rPr/>
          <w:rPr>
            <w:rFonts w:ascii="Cambria Math" w:hAnsi="Cambria Math" w:eastAsia="Cambria Math" w:cs="Cambria Math"/>
            <w:szCs w:val="21"/>
            <w:lang w:eastAsia="zh-CN"/>
          </w:rPr>
          <m:t>i</m:t>
        </m:r>
      </m:oMath>
      <w:r>
        <w:rPr>
          <w:szCs w:val="21"/>
          <w:lang w:eastAsia="zh-CN"/>
        </w:rPr>
        <w:t>施加：</w:t>
      </w:r>
    </w:p>
    <w:p w14:paraId="750E6C42">
      <w:pPr>
        <w:pStyle w:val="3"/>
        <w:tabs>
          <w:tab w:val="center" w:pos="4400"/>
          <w:tab w:val="right" w:pos="8800"/>
        </w:tabs>
        <w:spacing w:before="60" w:after="60" w:line="240" w:lineRule="auto"/>
        <w:jc w:val="left"/>
        <w:rPr>
          <w:szCs w:val="21"/>
        </w:rPr>
      </w:pPr>
      <w:r>
        <w:rPr>
          <w:szCs w:val="21"/>
          <w:lang w:eastAsia="zh-CN"/>
        </w:rPr>
        <w:tab/>
      </w:r>
      <m:oMath>
        <m:r>
          <m:rPr/>
          <w:rPr>
            <w:rFonts w:ascii="Cambria Math" w:hAnsi="Cambria Math" w:eastAsia="Cambria Math" w:cs="Cambria Math"/>
            <w:szCs w:val="21"/>
          </w:rPr>
          <m:t>0≤</m:t>
        </m:r>
        <m:sSubSup>
          <m:sSubSupPr>
            <m:ctrlPr>
              <w:rPr>
                <w:rFonts w:ascii="Cambria Math" w:hAnsi="Cambria Math"/>
                <w:szCs w:val="21"/>
              </w:rPr>
            </m:ctrlPr>
          </m:sSubSup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≤H</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,  i∈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p</m:t>
            </m:r>
            <m:ctrlPr>
              <w:rPr>
                <w:rFonts w:ascii="Cambria Math" w:hAnsi="Cambria Math"/>
                <w:szCs w:val="21"/>
              </w:rPr>
            </m:ctrlPr>
          </m:sup>
        </m:sSup>
        <m:r>
          <m:rPr/>
          <w:rPr>
            <w:rFonts w:ascii="Cambria Math" w:hAnsi="Cambria Math" w:eastAsia="Cambria Math" w:cs="Cambria Math"/>
            <w:szCs w:val="21"/>
          </w:rPr>
          <m:t>, k∈D,</m:t>
        </m:r>
      </m:oMath>
      <w:r>
        <w:rPr>
          <w:szCs w:val="21"/>
        </w:rPr>
        <w:tab/>
      </w:r>
      <w:r>
        <w:rPr>
          <w:szCs w:val="21"/>
        </w:rPr>
        <w:t>(15)</w:t>
      </w:r>
    </w:p>
    <w:p w14:paraId="455C2127">
      <w:pPr>
        <w:pStyle w:val="170"/>
        <w:tabs>
          <w:tab w:val="center" w:pos="4400"/>
          <w:tab w:val="right" w:pos="8800"/>
        </w:tabs>
        <w:spacing w:before="60" w:after="60" w:line="240" w:lineRule="auto"/>
        <w:jc w:val="left"/>
        <w:rPr>
          <w:szCs w:val="21"/>
        </w:rPr>
      </w:pPr>
      <w:r>
        <w:rPr>
          <w:szCs w:val="21"/>
        </w:rPr>
        <w:tab/>
      </w:r>
      <m:oMath>
        <m:r>
          <m:rPr/>
          <w:rPr>
            <w:rFonts w:ascii="Cambria Math" w:hAnsi="Cambria Math" w:eastAsia="Cambria Math" w:cs="Cambria Math"/>
            <w:szCs w:val="21"/>
          </w:rPr>
          <m:t>0≤</m:t>
        </m:r>
        <m:sSubSup>
          <m:sSubSupPr>
            <m:ctrlPr>
              <w:rPr>
                <w:rFonts w:ascii="Cambria Math" w:hAnsi="Cambria Math"/>
                <w:szCs w:val="21"/>
              </w:rPr>
            </m:ctrlPr>
          </m:sSubSup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i+N</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≤H</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,  i∈R, k∈D.</m:t>
        </m:r>
      </m:oMath>
      <w:r>
        <w:rPr>
          <w:szCs w:val="21"/>
        </w:rPr>
        <w:tab/>
      </w:r>
      <w:r>
        <w:rPr>
          <w:szCs w:val="21"/>
        </w:rPr>
        <w:t>(16)</w:t>
      </w:r>
    </w:p>
    <w:p w14:paraId="7A70B4B3">
      <w:pPr>
        <w:pStyle w:val="170"/>
        <w:ind w:firstLine="482"/>
        <w:rPr>
          <w:szCs w:val="21"/>
          <w:lang w:eastAsia="zh-CN"/>
        </w:rPr>
      </w:pPr>
      <w:r>
        <w:rPr>
          <w:szCs w:val="21"/>
          <w:lang w:eastAsia="zh-CN"/>
        </w:rPr>
        <w:t>对于每一对取送节点，送达操作必须发生在对应取件操作之后。结合正飞行时间与弧级时间传播约束，可通过下式刻画该优先关系：</w:t>
      </w:r>
    </w:p>
    <w:p w14:paraId="50D12792">
      <w:pPr>
        <w:pStyle w:val="3"/>
        <w:tabs>
          <w:tab w:val="center" w:pos="4400"/>
          <w:tab w:val="right" w:pos="8800"/>
        </w:tabs>
        <w:spacing w:before="60" w:after="60" w:line="240" w:lineRule="auto"/>
        <w:jc w:val="left"/>
        <w:rPr>
          <w:szCs w:val="21"/>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i+N</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−H</m:t>
        </m:r>
        <m:d>
          <m:dPr>
            <m:ctrlPr>
              <w:rPr>
                <w:rFonts w:ascii="Cambria Math" w:hAnsi="Cambria Math"/>
                <w:szCs w:val="21"/>
              </w:rPr>
            </m:ctrlPr>
          </m:dPr>
          <m:e>
            <m:r>
              <m:rPr/>
              <w:rPr>
                <w:rFonts w:ascii="Cambria Math" w:hAnsi="Cambria Math" w:eastAsia="Cambria Math" w:cs="Cambria Math"/>
                <w:szCs w:val="21"/>
              </w:rPr>
              <m:t>1−</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d>
        <m:r>
          <m:rPr/>
          <w:rPr>
            <w:rFonts w:ascii="Cambria Math" w:hAnsi="Cambria Math" w:eastAsia="Cambria Math" w:cs="Cambria Math"/>
            <w:szCs w:val="21"/>
          </w:rPr>
          <m:t>,  i∈R, k∈D.</m:t>
        </m:r>
      </m:oMath>
      <w:r>
        <w:rPr>
          <w:szCs w:val="21"/>
        </w:rPr>
        <w:tab/>
      </w:r>
      <w:r>
        <w:rPr>
          <w:szCs w:val="21"/>
        </w:rPr>
        <w:t>(17)</w:t>
      </w:r>
    </w:p>
    <w:p w14:paraId="02E7DF4A">
      <w:pPr>
        <w:pStyle w:val="170"/>
        <w:ind w:firstLine="482"/>
        <w:rPr>
          <w:szCs w:val="21"/>
          <w:lang w:eastAsia="zh-CN"/>
        </w:rPr>
      </w:pPr>
      <w:r>
        <w:rPr>
          <w:szCs w:val="21"/>
          <w:lang w:eastAsia="zh-CN"/>
        </w:rPr>
        <w:t>当</w:t>
      </w:r>
      <m:oMath>
        <m:sSubSup>
          <m:sSubSupPr>
            <m:ctrlPr>
              <w:rPr>
                <w:rFonts w:ascii="Cambria Math" w:hAnsi="Cambria Math"/>
                <w:szCs w:val="21"/>
              </w:rPr>
            </m:ctrlPr>
          </m:sSubSupPr>
          <m:e>
            <m:r>
              <m:rPr/>
              <w:rPr>
                <w:rFonts w:ascii="Cambria Math" w:hAnsi="Cambria Math" w:eastAsia="Cambria Math" w:cs="Cambria Math"/>
                <w:szCs w:val="21"/>
                <w:lang w:eastAsia="zh-CN"/>
              </w:rPr>
              <m:t>y</m:t>
            </m:r>
            <m:ctrlPr>
              <w:rPr>
                <w:rFonts w:ascii="Cambria Math" w:hAnsi="Cambria Math"/>
                <w:szCs w:val="21"/>
              </w:rPr>
            </m:ctrlPr>
          </m:e>
          <m:sub>
            <m:r>
              <m:rPr/>
              <w:rPr>
                <w:rFonts w:ascii="Cambria Math" w:hAnsi="Cambria Math" w:eastAsia="Cambria Math" w:cs="Cambria Math"/>
                <w:szCs w:val="21"/>
                <w:lang w:eastAsia="zh-CN"/>
              </w:rPr>
              <m:t>i</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r>
          <m:rPr/>
          <w:rPr>
            <w:rFonts w:ascii="Cambria Math" w:hAnsi="Cambria Math" w:eastAsia="Cambria Math" w:cs="Cambria Math"/>
            <w:szCs w:val="21"/>
            <w:lang w:eastAsia="zh-CN"/>
          </w:rPr>
          <m:t>=1</m:t>
        </m:r>
      </m:oMath>
      <w:r>
        <w:rPr>
          <w:szCs w:val="21"/>
          <w:lang w:eastAsia="zh-CN"/>
        </w:rPr>
        <w:t>时，式（17）要求对应送达节点的到达时刻不早于取件节点；结合式（14）的正飞行时间传播，可排除任何违反取送顺序的访问序列。</w:t>
      </w:r>
    </w:p>
    <w:p w14:paraId="146DC5CB">
      <w:pPr>
        <w:pStyle w:val="5"/>
        <w:spacing w:before="180" w:after="80" w:line="240" w:lineRule="auto"/>
        <w:jc w:val="left"/>
        <w:rPr>
          <w:color w:val="auto"/>
          <w:szCs w:val="21"/>
          <w:lang w:eastAsia="zh-CN"/>
        </w:rPr>
      </w:pPr>
      <w:r>
        <w:rPr>
          <w:szCs w:val="21"/>
          <w:lang w:eastAsia="zh-CN"/>
        </w:rPr>
        <w:t>3.3.4 准时服务约束</w:t>
      </w:r>
    </w:p>
    <w:p w14:paraId="5249C128">
      <w:pPr>
        <w:pStyle w:val="170"/>
        <w:ind w:firstLine="482"/>
        <w:rPr>
          <w:szCs w:val="21"/>
          <w:lang w:eastAsia="zh-CN"/>
        </w:rPr>
      </w:pPr>
      <w:r>
        <w:rPr>
          <w:lang w:eastAsia="zh-CN"/>
        </w:rPr>
        <w:t>令</w:t>
      </w:r>
      <m:oMath>
        <m:sSub>
          <m:sSubPr/>
          <m:e>
            <m:r>
              <m:rPr/>
              <m:t>C</m:t>
            </m:r>
          </m:e>
          <m:sub>
            <m:r>
              <m:rPr/>
              <m:t>i</m:t>
            </m:r>
          </m:sub>
        </m:sSub>
      </m:oMath>
      <w:r>
        <w:rPr>
          <w:lang w:eastAsia="zh-CN"/>
        </w:rPr>
        <w:t>表示任务</w:t>
      </w:r>
      <m:oMath>
        <m:r>
          <m:rPr/>
          <m:t>i</m:t>
        </m:r>
      </m:oMath>
      <w:r>
        <w:rPr>
          <w:lang w:eastAsia="zh-CN"/>
        </w:rPr>
        <w:t>在所选服务方式下的最终送达时刻，</w:t>
      </w:r>
      <m:oMath>
        <m:sSub>
          <m:sSubPr/>
          <m:e>
            <m:r>
              <m:rPr/>
              <m:t>L</m:t>
            </m:r>
          </m:e>
          <m:sub>
            <m:r>
              <m:rPr/>
              <m:t>i</m:t>
            </m:r>
          </m:sub>
        </m:sSub>
      </m:oMath>
      <w:r>
        <w:rPr>
          <w:lang w:eastAsia="zh-CN"/>
        </w:rPr>
        <w:t>表示其逾期时长。基础直送下，</w:t>
      </w:r>
      <m:oMath>
        <m:sSubSup>
          <m:sSubSupPr/>
          <m:e>
            <m:r>
              <m:rPr/>
              <m:t>y</m:t>
            </m:r>
          </m:e>
          <m:sub>
            <m:r>
              <m:rPr/>
              <m:t>i</m:t>
            </m:r>
          </m:sub>
          <m:sup>
            <m:r>
              <m:rPr/>
              <m:t>k</m:t>
            </m:r>
          </m:sup>
        </m:sSubSup>
        <m:r>
          <m:rPr>
            <m:sty m:val="p"/>
          </m:rPr>
          <m:t>=</m:t>
        </m:r>
        <m:r>
          <m:rPr/>
          <m:t>1</m:t>
        </m:r>
        <m:r>
          <m:rPr>
            <m:sty m:val="p"/>
          </m:rPr>
          <m:t>⇒</m:t>
        </m:r>
        <m:sSub>
          <m:sSubPr/>
          <m:e>
            <m:r>
              <m:rPr/>
              <m:t>C</m:t>
            </m:r>
          </m:e>
          <m:sub>
            <m:r>
              <m:rPr/>
              <m:t>i</m:t>
            </m:r>
          </m:sub>
        </m:sSub>
        <m:r>
          <m:rPr>
            <m:sty m:val="p"/>
          </m:rPr>
          <m:t>=</m:t>
        </m:r>
        <m:sSubSup>
          <m:sSubSupPr/>
          <m:e>
            <m:r>
              <m:rPr/>
              <m:t>T</m:t>
            </m:r>
          </m:e>
          <m:sub>
            <m:r>
              <m:rPr/>
              <m:t>i</m:t>
            </m:r>
            <m:r>
              <m:rPr>
                <m:sty m:val="p"/>
              </m:rPr>
              <m:t>+</m:t>
            </m:r>
            <m:r>
              <m:rPr/>
              <m:t>N</m:t>
            </m:r>
          </m:sub>
          <m:sup>
            <m:r>
              <m:rPr/>
              <m:t>k</m:t>
            </m:r>
          </m:sup>
        </m:sSubSup>
      </m:oMath>
      <w:r>
        <w:rPr>
          <w:lang w:eastAsia="zh-CN"/>
        </w:rPr>
        <w:t>；接力送下的最终送达时刻由3.3.7确定。准时指示与逾期时长满足：</w:t>
      </w:r>
    </w:p>
    <w:p w14:paraId="72840627">
      <w:pPr>
        <w:pStyle w:val="3"/>
        <w:tabs>
          <w:tab w:val="center" w:pos="4400"/>
          <w:tab w:val="right" w:pos="8800"/>
        </w:tabs>
        <w:spacing w:before="60" w:after="60" w:line="240" w:lineRule="auto"/>
        <w:jc w:val="left"/>
        <w:rPr>
          <w:szCs w:val="21"/>
        </w:rPr>
      </w:pPr>
      <w:r>
        <w:rPr>
          <w:szCs w:val="21"/>
          <w:lang w:eastAsia="zh-CN"/>
        </w:rPr>
        <w:tab/>
      </w:r>
      <m:oMath>
        <m:sSub>
          <m:sSubPr/>
          <m:e>
            <m:r>
              <m:rPr/>
              <m:t>C</m:t>
            </m:r>
          </m:e>
          <m:sub>
            <m:r>
              <m:rPr/>
              <m:t>i</m:t>
            </m:r>
          </m:sub>
        </m:sSub>
        <m:r>
          <m:rPr>
            <m:sty m:val="p"/>
          </m:rPr>
          <m:t>≤</m:t>
        </m:r>
        <m:sSub>
          <m:sSubPr/>
          <m:e>
            <m:r>
              <m:rPr/>
              <m:t>T</m:t>
            </m:r>
          </m:e>
          <m:sub>
            <m:r>
              <m:rPr>
                <m:sty m:val="p"/>
              </m:rPr>
              <m:t>max,</m:t>
            </m:r>
            <m:r>
              <m:rPr/>
              <m:t>i</m:t>
            </m:r>
          </m:sub>
        </m:sSub>
        <m:r>
          <m:rPr>
            <m:sty m:val="p"/>
          </m:rPr>
          <m:t>+</m:t>
        </m:r>
        <m:r>
          <m:rPr/>
          <m:t>H</m:t>
        </m:r>
        <m:d>
          <m:dPr>
            <m:sepChr m:val=""/>
          </m:dPr>
          <m:e>
            <m:r>
              <m:rPr/>
              <m:t>1</m:t>
            </m:r>
            <m:r>
              <m:rPr>
                <m:sty m:val="p"/>
              </m:rPr>
              <m:t>−</m:t>
            </m:r>
            <m:sSub>
              <m:sSubPr/>
              <m:e>
                <m:r>
                  <m:rPr/>
                  <m:t>z</m:t>
                </m:r>
              </m:e>
              <m:sub>
                <m:r>
                  <m:rPr/>
                  <m:t>i</m:t>
                </m:r>
              </m:sub>
            </m:sSub>
          </m:e>
        </m:d>
        <m:r>
          <m:rPr>
            <m:sty m:val="p"/>
          </m:rPr>
          <m:t>,</m:t>
        </m:r>
        <m:r>
          <m:rPr/>
          <m:t>  </m:t>
        </m:r>
        <m:sSub>
          <m:sSubPr/>
          <m:e>
            <m:r>
              <m:rPr/>
              <m:t>L</m:t>
            </m:r>
          </m:e>
          <m:sub>
            <m:r>
              <m:rPr/>
              <m:t>i</m:t>
            </m:r>
          </m:sub>
        </m:sSub>
        <m:r>
          <m:rPr>
            <m:sty m:val="p"/>
          </m:rPr>
          <m:t>≥</m:t>
        </m:r>
        <m:sSub>
          <m:sSubPr/>
          <m:e>
            <m:r>
              <m:rPr/>
              <m:t>C</m:t>
            </m:r>
          </m:e>
          <m:sub>
            <m:r>
              <m:rPr/>
              <m:t>i</m:t>
            </m:r>
          </m:sub>
        </m:sSub>
        <m:r>
          <m:rPr>
            <m:sty m:val="p"/>
          </m:rPr>
          <m:t>−</m:t>
        </m:r>
        <m:sSub>
          <m:sSubPr/>
          <m:e>
            <m:r>
              <m:rPr/>
              <m:t>T</m:t>
            </m:r>
          </m:e>
          <m:sub>
            <m:r>
              <m:rPr>
                <m:sty m:val="p"/>
              </m:rPr>
              <m:t>max,</m:t>
            </m:r>
            <m:r>
              <m:rPr/>
              <m:t>i</m:t>
            </m:r>
          </m:sub>
        </m:sSub>
        <m:r>
          <m:rPr>
            <m:sty m:val="p"/>
          </m:rPr>
          <m:t>,</m:t>
        </m:r>
        <m:r>
          <m:rPr/>
          <m:t>  </m:t>
        </m:r>
        <m:sSub>
          <m:sSubPr/>
          <m:e>
            <m:r>
              <m:rPr/>
              <m:t>L</m:t>
            </m:r>
          </m:e>
          <m:sub>
            <m:r>
              <m:rPr/>
              <m:t>i</m:t>
            </m:r>
          </m:sub>
        </m:sSub>
        <m:r>
          <m:rPr>
            <m:sty m:val="p"/>
          </m:rPr>
          <m:t>≥</m:t>
        </m:r>
        <m:r>
          <m:rPr/>
          <m:t>0</m:t>
        </m:r>
        <m:r>
          <m:rPr>
            <m:sty m:val="p"/>
          </m:rPr>
          <m:t>,</m:t>
        </m:r>
        <m:r>
          <m:rPr/>
          <m:t> i</m:t>
        </m:r>
        <m:r>
          <m:rPr>
            <m:sty m:val="p"/>
          </m:rPr>
          <m:t>∈</m:t>
        </m:r>
        <m:r>
          <m:rPr/>
          <m:t>R</m:t>
        </m:r>
        <m:r>
          <m:rPr>
            <m:sty m:val="p"/>
          </m:rPr>
          <m:t>.</m:t>
        </m:r>
      </m:oMath>
      <w:r>
        <w:rPr>
          <w:szCs w:val="21"/>
        </w:rPr>
        <w:tab/>
      </w:r>
      <w:r>
        <w:rPr>
          <w:szCs w:val="21"/>
        </w:rPr>
        <w:t>(18)</w:t>
      </w:r>
    </w:p>
    <w:p w14:paraId="4DECF237">
      <w:pPr>
        <w:pStyle w:val="170"/>
        <w:ind w:firstLine="482"/>
        <w:rPr>
          <w:szCs w:val="21"/>
          <w:lang w:eastAsia="zh-CN"/>
        </w:rPr>
      </w:pPr>
      <w:r>
        <w:rPr>
          <w:lang w:eastAsia="zh-CN"/>
        </w:rPr>
        <w:t>若任务i迟于Tmax,i完成，式（18）的第一项迫使zi=0，第一层目标因而计入1个逾期任务；在第一层最优水平固定后，第二层目标使Li取max{0,Ci−Tmax,i}。由此，模型先控制逾期任务数量，再区分这些任务的逾期程度。</w:t>
      </w:r>
    </w:p>
    <w:p w14:paraId="0F5D0D68">
      <w:pPr>
        <w:pStyle w:val="5"/>
        <w:spacing w:before="180" w:after="80" w:line="240" w:lineRule="auto"/>
        <w:jc w:val="left"/>
        <w:rPr>
          <w:color w:val="auto"/>
          <w:szCs w:val="21"/>
          <w:lang w:eastAsia="zh-CN"/>
        </w:rPr>
      </w:pPr>
      <w:r>
        <w:rPr>
          <w:szCs w:val="21"/>
          <w:lang w:eastAsia="zh-CN"/>
        </w:rPr>
        <w:t>3.3.5 载荷传播与容量约束</w:t>
      </w:r>
    </w:p>
    <w:p w14:paraId="7FD7FFDB">
      <w:pPr>
        <w:pStyle w:val="170"/>
        <w:ind w:firstLine="482"/>
        <w:rPr>
          <w:szCs w:val="21"/>
          <w:lang w:eastAsia="zh-CN"/>
        </w:rPr>
      </w:pPr>
      <w:r>
        <w:rPr>
          <w:lang w:eastAsia="zh-CN"/>
        </w:rPr>
        <w:t>所有无人机均从各自固定起点空载出发：</w:t>
      </w:r>
    </w:p>
    <w:p w14:paraId="1C7F73CA">
      <w:pPr>
        <w:pStyle w:val="3"/>
        <w:tabs>
          <w:tab w:val="center" w:pos="4400"/>
          <w:tab w:val="right" w:pos="8800"/>
        </w:tabs>
        <w:spacing w:before="60" w:after="60" w:line="240" w:lineRule="auto"/>
        <w:jc w:val="left"/>
        <w:rPr>
          <w:szCs w:val="21"/>
          <w:lang w:eastAsia="zh-CN"/>
        </w:rPr>
      </w:pPr>
      <w:r>
        <w:rPr>
          <w:szCs w:val="21"/>
          <w:lang w:eastAsia="zh-CN"/>
        </w:rPr>
        <w:tab/>
      </w:r>
      <m:oMath>
        <m:sSubSup>
          <m:sSubSupPr/>
          <m:e>
            <m:r>
              <m:rPr/>
              <m:t>W</m:t>
            </m:r>
          </m:e>
          <m:sub>
            <m:sSub>
              <m:sSubPr/>
              <m:e>
                <m:r>
                  <m:rPr/>
                  <m:t>o</m:t>
                </m:r>
              </m:e>
              <m:sub>
                <m:r>
                  <m:rPr/>
                  <m:t>k</m:t>
                </m:r>
              </m:sub>
            </m:sSub>
          </m:sub>
          <m:sup>
            <m:r>
              <m:rPr/>
              <m:t>k</m:t>
            </m:r>
          </m:sup>
        </m:sSubSup>
        <m:r>
          <m:rPr>
            <m:sty m:val="p"/>
          </m:rPr>
          <m:t>=</m:t>
        </m:r>
        <m:r>
          <m:rPr/>
          <m:t>0</m:t>
        </m:r>
        <m:r>
          <m:rPr>
            <m:sty m:val="p"/>
          </m:rPr>
          <m:t>,</m:t>
        </m:r>
        <m:r>
          <m:rPr/>
          <m:t>  k</m:t>
        </m:r>
        <m:r>
          <m:rPr>
            <m:sty m:val="p"/>
          </m:rPr>
          <m:t>∈</m:t>
        </m:r>
        <m:r>
          <m:rPr/>
          <m:t>D</m:t>
        </m:r>
        <m:r>
          <m:rPr>
            <m:sty m:val="p"/>
          </m:rPr>
          <m:t>.</m:t>
        </m:r>
      </m:oMath>
      <w:r>
        <w:rPr>
          <w:szCs w:val="21"/>
          <w:lang w:eastAsia="zh-CN"/>
        </w:rPr>
        <w:tab/>
      </w:r>
      <w:r>
        <w:rPr>
          <w:szCs w:val="21"/>
          <w:lang w:eastAsia="zh-CN"/>
        </w:rPr>
        <w:t>(19)</w:t>
      </w:r>
    </w:p>
    <w:p w14:paraId="6089D057">
      <w:pPr>
        <w:pStyle w:val="170"/>
        <w:ind w:firstLine="482"/>
        <w:rPr>
          <w:szCs w:val="21"/>
          <w:lang w:eastAsia="zh-CN"/>
        </w:rPr>
      </w:pPr>
      <w:r>
        <w:rPr>
          <w:szCs w:val="21"/>
          <w:lang w:eastAsia="zh-CN"/>
        </w:rPr>
        <w:t>若无人机</w:t>
      </w:r>
      <m:oMath>
        <m:r>
          <m:rPr/>
          <w:rPr>
            <w:rFonts w:ascii="Cambria Math" w:hAnsi="Cambria Math" w:eastAsia="Cambria Math" w:cs="Cambria Math"/>
            <w:szCs w:val="21"/>
            <w:lang w:eastAsia="zh-CN"/>
          </w:rPr>
          <m:t>k</m:t>
        </m:r>
      </m:oMath>
      <w:r>
        <w:rPr>
          <w:szCs w:val="21"/>
          <w:lang w:eastAsia="zh-CN"/>
        </w:rPr>
        <w:t>由节点</w:t>
      </w:r>
      <m:oMath>
        <m:r>
          <m:rPr/>
          <w:rPr>
            <w:rFonts w:ascii="Cambria Math" w:hAnsi="Cambria Math" w:eastAsia="Cambria Math" w:cs="Cambria Math"/>
            <w:szCs w:val="21"/>
            <w:lang w:eastAsia="zh-CN"/>
          </w:rPr>
          <m:t>i</m:t>
        </m:r>
      </m:oMath>
      <w:r>
        <w:rPr>
          <w:szCs w:val="21"/>
          <w:lang w:eastAsia="zh-CN"/>
        </w:rPr>
        <w:t>直接飞往节点</w:t>
      </w:r>
      <m:oMath>
        <m:r>
          <m:rPr/>
          <w:rPr>
            <w:rFonts w:ascii="Cambria Math" w:hAnsi="Cambria Math" w:eastAsia="Cambria Math" w:cs="Cambria Math"/>
            <w:szCs w:val="21"/>
            <w:lang w:eastAsia="zh-CN"/>
          </w:rPr>
          <m:t>j</m:t>
        </m:r>
      </m:oMath>
      <w:r>
        <w:rPr>
          <w:szCs w:val="21"/>
          <w:lang w:eastAsia="zh-CN"/>
        </w:rPr>
        <w:t>，则访问节点</w:t>
      </w:r>
      <m:oMath>
        <m:r>
          <m:rPr/>
          <w:rPr>
            <w:rFonts w:ascii="Cambria Math" w:hAnsi="Cambria Math" w:eastAsia="Cambria Math" w:cs="Cambria Math"/>
            <w:szCs w:val="21"/>
            <w:lang w:eastAsia="zh-CN"/>
          </w:rPr>
          <m:t>j</m:t>
        </m:r>
      </m:oMath>
      <w:r>
        <w:rPr>
          <w:szCs w:val="21"/>
          <w:lang w:eastAsia="zh-CN"/>
        </w:rPr>
        <w:t>后的载荷应等于访问节点</w:t>
      </w:r>
      <m:oMath>
        <m:r>
          <m:rPr/>
          <w:rPr>
            <w:rFonts w:ascii="Cambria Math" w:hAnsi="Cambria Math" w:eastAsia="Cambria Math" w:cs="Cambria Math"/>
            <w:szCs w:val="21"/>
            <w:lang w:eastAsia="zh-CN"/>
          </w:rPr>
          <m:t>i</m:t>
        </m:r>
      </m:oMath>
      <w:r>
        <w:rPr>
          <w:szCs w:val="21"/>
          <w:lang w:eastAsia="zh-CN"/>
        </w:rPr>
        <w:t>后的载荷与节点</w:t>
      </w:r>
      <m:oMath>
        <m:r>
          <m:rPr/>
          <w:rPr>
            <w:rFonts w:ascii="Cambria Math" w:hAnsi="Cambria Math" w:eastAsia="Cambria Math" w:cs="Cambria Math"/>
            <w:szCs w:val="21"/>
            <w:lang w:eastAsia="zh-CN"/>
          </w:rPr>
          <m:t>j</m:t>
        </m:r>
      </m:oMath>
      <w:r>
        <w:rPr>
          <w:szCs w:val="21"/>
          <w:lang w:eastAsia="zh-CN"/>
        </w:rPr>
        <w:t>的载荷增量</w:t>
      </w:r>
      <m:oMath>
        <m:sSub>
          <m:sSubPr>
            <m:ctrlPr>
              <w:rPr>
                <w:rFonts w:ascii="Cambria Math" w:hAnsi="Cambria Math"/>
                <w:szCs w:val="21"/>
              </w:rPr>
            </m:ctrlPr>
          </m:sSubPr>
          <m:e>
            <m:r>
              <m:rPr/>
              <w:rPr>
                <w:rFonts w:ascii="Cambria Math" w:hAnsi="Cambria Math" w:eastAsia="Cambria Math" w:cs="Cambria Math"/>
                <w:szCs w:val="21"/>
                <w:lang w:eastAsia="zh-CN"/>
              </w:rPr>
              <m:t>q</m:t>
            </m:r>
            <m:ctrlPr>
              <w:rPr>
                <w:rFonts w:ascii="Cambria Math" w:hAnsi="Cambria Math"/>
                <w:szCs w:val="21"/>
              </w:rPr>
            </m:ctrlPr>
          </m:e>
          <m:sub>
            <m:r>
              <m:rPr/>
              <w:rPr>
                <w:rFonts w:ascii="Cambria Math" w:hAnsi="Cambria Math" w:eastAsia="Cambria Math" w:cs="Cambria Math"/>
                <w:szCs w:val="21"/>
                <w:lang w:eastAsia="zh-CN"/>
              </w:rPr>
              <m:t>j</m:t>
            </m:r>
            <m:ctrlPr>
              <w:rPr>
                <w:rFonts w:ascii="Cambria Math" w:hAnsi="Cambria Math"/>
                <w:szCs w:val="21"/>
              </w:rPr>
            </m:ctrlPr>
          </m:sub>
        </m:sSub>
      </m:oMath>
      <w:r>
        <w:rPr>
          <w:szCs w:val="21"/>
          <w:lang w:eastAsia="zh-CN"/>
        </w:rPr>
        <w:t>之和。采用如下双边线性约束实现载荷传播：</w:t>
      </w:r>
    </w:p>
    <w:p w14:paraId="220A9025">
      <w:pPr>
        <w:pStyle w:val="3"/>
        <w:tabs>
          <w:tab w:val="center" w:pos="4400"/>
          <w:tab w:val="right" w:pos="8800"/>
        </w:tabs>
        <w:spacing w:before="60" w:after="60" w:line="240" w:lineRule="auto"/>
        <w:jc w:val="left"/>
        <w:rPr>
          <w:szCs w:val="21"/>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rPr>
              <m:t>W</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W</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
          <m:sSubPr>
            <m:ctrlPr>
              <w:rPr>
                <w:rFonts w:ascii="Cambria Math" w:hAnsi="Cambria Math"/>
                <w:szCs w:val="21"/>
              </w:rPr>
            </m:ctrlPr>
          </m:sSubPr>
          <m:e>
            <m:r>
              <m:rPr/>
              <w:rPr>
                <w:rFonts w:ascii="Cambria Math" w:hAnsi="Cambria Math" w:eastAsia="Cambria Math" w:cs="Cambria Math"/>
                <w:szCs w:val="21"/>
              </w:rPr>
              <m:t>q</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Sub>
        <m:r>
          <m:rPr/>
          <w:rPr>
            <w:rFonts w:ascii="Cambria Math" w:hAnsi="Cambria Math" w:eastAsia="Cambria Math" w:cs="Cambria Math"/>
            <w:szCs w:val="21"/>
          </w:rPr>
          <m:t>−</m:t>
        </m:r>
        <m:d>
          <m:dPr>
            <m:ctrlPr>
              <w:rPr>
                <w:rFonts w:ascii="Cambria Math" w:hAnsi="Cambria Math"/>
                <w:szCs w:val="21"/>
              </w:rPr>
            </m:ctrlPr>
          </m:dPr>
          <m:e>
            <m:r>
              <m:rPr/>
              <w:rPr>
                <w:rFonts w:ascii="Cambria Math" w:hAnsi="Cambria Math" w:eastAsia="Cambria Math" w:cs="Cambria Math"/>
                <w:szCs w:val="21"/>
              </w:rPr>
              <m:t>Q+1</m:t>
            </m:r>
            <m:ctrlPr>
              <w:rPr>
                <w:rFonts w:ascii="Cambria Math" w:hAnsi="Cambria Math"/>
                <w:szCs w:val="21"/>
              </w:rPr>
            </m:ctrlPr>
          </m:e>
        </m:d>
        <m:d>
          <m:dPr>
            <m:ctrlPr>
              <w:rPr>
                <w:rFonts w:ascii="Cambria Math" w:hAnsi="Cambria Math"/>
                <w:szCs w:val="21"/>
              </w:rPr>
            </m:ctrlPr>
          </m:dPr>
          <m:e>
            <m:r>
              <m:rPr/>
              <w:rPr>
                <w:rFonts w:ascii="Cambria Math" w:hAnsi="Cambria Math" w:eastAsia="Cambria Math" w:cs="Cambria Math"/>
                <w:szCs w:val="21"/>
              </w:rPr>
              <m:t>1−</m:t>
            </m:r>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d>
        <m:r>
          <m:rPr/>
          <w:rPr>
            <w:rFonts w:ascii="Cambria Math" w:hAnsi="Cambria Math" w:eastAsia="Cambria Math" w:cs="Cambria Math"/>
            <w:szCs w:val="21"/>
          </w:rPr>
          <m:t>,</m:t>
        </m:r>
      </m:oMath>
      <w:r>
        <w:rPr>
          <w:szCs w:val="21"/>
        </w:rPr>
        <w:tab/>
      </w:r>
      <w:r>
        <w:rPr>
          <w:szCs w:val="21"/>
        </w:rPr>
        <w:t>(20)</w:t>
      </w:r>
    </w:p>
    <w:p w14:paraId="0A489C8F">
      <w:pPr>
        <w:pStyle w:val="170"/>
        <w:tabs>
          <w:tab w:val="center" w:pos="4400"/>
          <w:tab w:val="right" w:pos="8800"/>
        </w:tabs>
        <w:spacing w:before="60" w:after="60" w:line="240" w:lineRule="auto"/>
        <w:jc w:val="left"/>
        <w:rPr>
          <w:szCs w:val="21"/>
        </w:rPr>
      </w:pPr>
      <w:r>
        <w:rPr>
          <w:szCs w:val="21"/>
        </w:rPr>
        <w:tab/>
      </w:r>
      <m:oMath>
        <m:sSubSup>
          <m:sSubSupPr>
            <m:ctrlPr>
              <w:rPr>
                <w:rFonts w:ascii="Cambria Math" w:hAnsi="Cambria Math"/>
                <w:szCs w:val="21"/>
              </w:rPr>
            </m:ctrlPr>
          </m:sSubSupPr>
          <m:e>
            <m:r>
              <m:rPr/>
              <w:rPr>
                <w:rFonts w:ascii="Cambria Math" w:hAnsi="Cambria Math" w:eastAsia="Cambria Math" w:cs="Cambria Math"/>
                <w:szCs w:val="21"/>
              </w:rPr>
              <m:t>W</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W</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
          <m:sSubPr>
            <m:ctrlPr>
              <w:rPr>
                <w:rFonts w:ascii="Cambria Math" w:hAnsi="Cambria Math"/>
                <w:szCs w:val="21"/>
              </w:rPr>
            </m:ctrlPr>
          </m:sSubPr>
          <m:e>
            <m:r>
              <m:rPr/>
              <w:rPr>
                <w:rFonts w:ascii="Cambria Math" w:hAnsi="Cambria Math" w:eastAsia="Cambria Math" w:cs="Cambria Math"/>
                <w:szCs w:val="21"/>
              </w:rPr>
              <m:t>q</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Sub>
        <m:r>
          <m:rPr/>
          <w:rPr>
            <w:rFonts w:ascii="Cambria Math" w:hAnsi="Cambria Math" w:eastAsia="Cambria Math" w:cs="Cambria Math"/>
            <w:szCs w:val="21"/>
          </w:rPr>
          <m:t>+</m:t>
        </m:r>
        <m:d>
          <m:dPr>
            <m:ctrlPr>
              <w:rPr>
                <w:rFonts w:ascii="Cambria Math" w:hAnsi="Cambria Math"/>
                <w:szCs w:val="21"/>
              </w:rPr>
            </m:ctrlPr>
          </m:dPr>
          <m:e>
            <m:r>
              <m:rPr/>
              <w:rPr>
                <w:rFonts w:ascii="Cambria Math" w:hAnsi="Cambria Math" w:eastAsia="Cambria Math" w:cs="Cambria Math"/>
                <w:szCs w:val="21"/>
              </w:rPr>
              <m:t>Q+1</m:t>
            </m:r>
            <m:ctrlPr>
              <w:rPr>
                <w:rFonts w:ascii="Cambria Math" w:hAnsi="Cambria Math"/>
                <w:szCs w:val="21"/>
              </w:rPr>
            </m:ctrlPr>
          </m:e>
        </m:d>
        <m:d>
          <m:dPr>
            <m:ctrlPr>
              <w:rPr>
                <w:rFonts w:ascii="Cambria Math" w:hAnsi="Cambria Math"/>
                <w:szCs w:val="21"/>
              </w:rPr>
            </m:ctrlPr>
          </m:dPr>
          <m:e>
            <m:r>
              <m:rPr/>
              <w:rPr>
                <w:rFonts w:ascii="Cambria Math" w:hAnsi="Cambria Math" w:eastAsia="Cambria Math" w:cs="Cambria Math"/>
                <w:szCs w:val="21"/>
              </w:rPr>
              <m:t>1−</m:t>
            </m:r>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d>
        <m:r>
          <m:rPr/>
          <w:rPr>
            <w:rFonts w:ascii="Cambria Math" w:hAnsi="Cambria Math" w:eastAsia="Cambria Math" w:cs="Cambria Math"/>
            <w:szCs w:val="21"/>
          </w:rPr>
          <m:t>,</m:t>
        </m:r>
      </m:oMath>
      <w:r>
        <w:rPr>
          <w:szCs w:val="21"/>
        </w:rPr>
        <w:tab/>
      </w:r>
      <w:r>
        <w:rPr>
          <w:szCs w:val="21"/>
        </w:rPr>
        <w:t>(21)</w:t>
      </w:r>
    </w:p>
    <w:p w14:paraId="1EAAC782">
      <w:pPr>
        <w:pStyle w:val="170"/>
        <w:ind w:firstLine="482"/>
        <w:rPr>
          <w:szCs w:val="21"/>
          <w:lang w:eastAsia="zh-CN"/>
        </w:rPr>
      </w:pPr>
      <w:r>
        <w:rPr>
          <w:szCs w:val="21"/>
        </w:rPr>
        <w:t>其中</w:t>
      </w:r>
      <m:oMath>
        <m:d>
          <m:dPr>
            <m:ctrlPr>
              <w:rPr>
                <w:rFonts w:ascii="Cambria Math" w:hAnsi="Cambria Math"/>
                <w:szCs w:val="21"/>
              </w:rPr>
            </m:ctrlPr>
          </m:dPr>
          <m:e>
            <m:r>
              <m:rPr/>
              <w:rPr>
                <w:rFonts w:ascii="Cambria Math" w:hAnsi="Cambria Math" w:eastAsia="Cambria Math" w:cs="Cambria Math"/>
                <w:szCs w:val="21"/>
              </w:rPr>
              <m:t>i,j</m:t>
            </m:r>
            <m:ctrlPr>
              <w:rPr>
                <w:rFonts w:ascii="Cambria Math" w:hAnsi="Cambria Math"/>
                <w:szCs w:val="21"/>
              </w:rPr>
            </m:ctrlPr>
          </m:e>
        </m:d>
        <m:r>
          <m:rPr/>
          <w:rPr>
            <w:rFonts w:ascii="Cambria Math" w:hAnsi="Cambria Math" w:eastAsia="Cambria Math" w:cs="Cambria Math"/>
            <w:szCs w:val="21"/>
          </w:rPr>
          <m:t>∈A</m:t>
        </m:r>
      </m:oMath>
      <w:r>
        <w:rPr>
          <w:szCs w:val="21"/>
        </w:rPr>
        <w:t>，</w:t>
      </w:r>
      <m:oMath>
        <m:r>
          <m:rPr/>
          <w:rPr>
            <w:rFonts w:ascii="Cambria Math" w:hAnsi="Cambria Math" w:eastAsia="Cambria Math" w:cs="Cambria Math"/>
            <w:szCs w:val="21"/>
          </w:rPr>
          <m:t>j∈</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p</m:t>
            </m:r>
            <m:ctrlPr>
              <w:rPr>
                <w:rFonts w:ascii="Cambria Math" w:hAnsi="Cambria Math"/>
                <w:szCs w:val="21"/>
              </w:rPr>
            </m:ctrlPr>
          </m:sup>
        </m:sSup>
        <m:r>
          <m:rPr/>
          <w:rPr>
            <w:rFonts w:ascii="Cambria Math" w:hAnsi="Cambria Math" w:eastAsia="Cambria Math" w:cs="Cambria Math"/>
            <w:szCs w:val="21"/>
          </w:rPr>
          <m:t>∪</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d</m:t>
            </m:r>
            <m:ctrlPr>
              <w:rPr>
                <w:rFonts w:ascii="Cambria Math" w:hAnsi="Cambria Math"/>
                <w:szCs w:val="21"/>
              </w:rPr>
            </m:ctrlPr>
          </m:sup>
        </m:sSup>
      </m:oMath>
      <w:r>
        <w:rPr>
          <w:szCs w:val="21"/>
        </w:rPr>
        <w:t>，</w:t>
      </w:r>
      <m:oMath>
        <m:r>
          <m:rPr/>
          <w:rPr>
            <w:rFonts w:ascii="Cambria Math" w:hAnsi="Cambria Math" w:eastAsia="Cambria Math" w:cs="Cambria Math"/>
            <w:szCs w:val="21"/>
          </w:rPr>
          <m:t>k∈D</m:t>
        </m:r>
      </m:oMath>
      <w:r>
        <w:rPr>
          <w:szCs w:val="21"/>
        </w:rPr>
        <w:t>。</w:t>
      </w:r>
      <w:r>
        <w:rPr>
          <w:szCs w:val="21"/>
          <w:lang w:eastAsia="zh-CN"/>
        </w:rPr>
        <w:t>同时施加容量边界：</w:t>
      </w:r>
    </w:p>
    <w:p w14:paraId="18B48A7D">
      <w:pPr>
        <w:pStyle w:val="3"/>
        <w:tabs>
          <w:tab w:val="center" w:pos="4400"/>
          <w:tab w:val="right" w:pos="8800"/>
        </w:tabs>
        <w:spacing w:before="60" w:after="60" w:line="240" w:lineRule="auto"/>
        <w:jc w:val="left"/>
        <w:rPr>
          <w:szCs w:val="21"/>
          <w:lang w:eastAsia="zh-CN"/>
        </w:rPr>
      </w:pPr>
      <w:r>
        <w:rPr>
          <w:szCs w:val="21"/>
          <w:lang w:eastAsia="zh-CN"/>
        </w:rPr>
        <w:tab/>
      </w:r>
      <m:oMath>
        <m:r>
          <m:rPr/>
          <w:rPr>
            <w:rFonts w:ascii="Cambria Math" w:hAnsi="Cambria Math" w:eastAsia="Cambria Math" w:cs="Cambria Math"/>
            <w:szCs w:val="21"/>
            <w:lang w:eastAsia="zh-CN"/>
          </w:rPr>
          <m:t>0≤</m:t>
        </m:r>
        <m:sSubSup>
          <m:sSubSupPr>
            <m:ctrlPr>
              <w:rPr>
                <w:rFonts w:ascii="Cambria Math" w:hAnsi="Cambria Math"/>
                <w:szCs w:val="21"/>
              </w:rPr>
            </m:ctrlPr>
          </m:sSubSupPr>
          <m:e>
            <m:r>
              <m:rPr/>
              <w:rPr>
                <w:rFonts w:ascii="Cambria Math" w:hAnsi="Cambria Math" w:eastAsia="Cambria Math" w:cs="Cambria Math"/>
                <w:szCs w:val="21"/>
                <w:lang w:eastAsia="zh-CN"/>
              </w:rPr>
              <m:t>W</m:t>
            </m:r>
            <m:ctrlPr>
              <w:rPr>
                <w:rFonts w:ascii="Cambria Math" w:hAnsi="Cambria Math"/>
                <w:szCs w:val="21"/>
              </w:rPr>
            </m:ctrlPr>
          </m:e>
          <m:sub>
            <m:r>
              <m:rPr/>
              <w:rPr>
                <w:rFonts w:ascii="Cambria Math" w:hAnsi="Cambria Math" w:eastAsia="Cambria Math" w:cs="Cambria Math"/>
                <w:szCs w:val="21"/>
                <w:lang w:eastAsia="zh-CN"/>
              </w:rPr>
              <m:t>i</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r>
          <m:rPr/>
          <w:rPr>
            <w:rFonts w:ascii="Cambria Math" w:hAnsi="Cambria Math" w:eastAsia="Cambria Math" w:cs="Cambria Math"/>
            <w:szCs w:val="21"/>
            <w:lang w:eastAsia="zh-CN"/>
          </w:rPr>
          <m:t>≤Q=2,  i∈</m:t>
        </m:r>
        <m:sSup>
          <m:sSupPr>
            <m:ctrlPr>
              <w:rPr>
                <w:rFonts w:ascii="Cambria Math" w:hAnsi="Cambria Math"/>
                <w:szCs w:val="21"/>
              </w:rPr>
            </m:ctrlPr>
          </m:sSupPr>
          <m:e>
            <m:r>
              <m:rPr/>
              <w:rPr>
                <w:rFonts w:ascii="Cambria Math" w:hAnsi="Cambria Math" w:eastAsia="Cambria Math" w:cs="Cambria Math"/>
                <w:szCs w:val="21"/>
                <w:lang w:eastAsia="zh-CN"/>
              </w:rPr>
              <m:t>V</m:t>
            </m:r>
            <m:ctrlPr>
              <w:rPr>
                <w:rFonts w:ascii="Cambria Math" w:hAnsi="Cambria Math"/>
                <w:szCs w:val="21"/>
              </w:rPr>
            </m:ctrlPr>
          </m:e>
          <m:sup>
            <m:r>
              <m:rPr/>
              <w:rPr>
                <w:rFonts w:ascii="Cambria Math" w:hAnsi="Cambria Math" w:eastAsia="Cambria Math" w:cs="Cambria Math"/>
                <w:szCs w:val="21"/>
                <w:lang w:eastAsia="zh-CN"/>
              </w:rPr>
              <m:t>p</m:t>
            </m:r>
            <m:ctrlPr>
              <w:rPr>
                <w:rFonts w:ascii="Cambria Math" w:hAnsi="Cambria Math"/>
                <w:szCs w:val="21"/>
              </w:rPr>
            </m:ctrlPr>
          </m:sup>
        </m:sSup>
        <m:r>
          <m:rPr/>
          <w:rPr>
            <w:rFonts w:ascii="Cambria Math" w:hAnsi="Cambria Math" w:eastAsia="Cambria Math" w:cs="Cambria Math"/>
            <w:szCs w:val="21"/>
            <w:lang w:eastAsia="zh-CN"/>
          </w:rPr>
          <m:t>∪</m:t>
        </m:r>
        <m:sSup>
          <m:sSupPr>
            <m:ctrlPr>
              <w:rPr>
                <w:rFonts w:ascii="Cambria Math" w:hAnsi="Cambria Math"/>
                <w:szCs w:val="21"/>
              </w:rPr>
            </m:ctrlPr>
          </m:sSupPr>
          <m:e>
            <m:r>
              <m:rPr/>
              <w:rPr>
                <w:rFonts w:ascii="Cambria Math" w:hAnsi="Cambria Math" w:eastAsia="Cambria Math" w:cs="Cambria Math"/>
                <w:szCs w:val="21"/>
                <w:lang w:eastAsia="zh-CN"/>
              </w:rPr>
              <m:t>V</m:t>
            </m:r>
            <m:ctrlPr>
              <w:rPr>
                <w:rFonts w:ascii="Cambria Math" w:hAnsi="Cambria Math"/>
                <w:szCs w:val="21"/>
              </w:rPr>
            </m:ctrlPr>
          </m:e>
          <m:sup>
            <m:r>
              <m:rPr/>
              <w:rPr>
                <w:rFonts w:ascii="Cambria Math" w:hAnsi="Cambria Math" w:eastAsia="Cambria Math" w:cs="Cambria Math"/>
                <w:szCs w:val="21"/>
                <w:lang w:eastAsia="zh-CN"/>
              </w:rPr>
              <m:t>d</m:t>
            </m:r>
            <m:ctrlPr>
              <w:rPr>
                <w:rFonts w:ascii="Cambria Math" w:hAnsi="Cambria Math"/>
                <w:szCs w:val="21"/>
              </w:rPr>
            </m:ctrlPr>
          </m:sup>
        </m:sSup>
        <m:r>
          <m:rPr/>
          <w:rPr>
            <w:rFonts w:ascii="Cambria Math" w:hAnsi="Cambria Math" w:eastAsia="Cambria Math" w:cs="Cambria Math"/>
            <w:szCs w:val="21"/>
            <w:lang w:eastAsia="zh-CN"/>
          </w:rPr>
          <m:t>, k∈D.</m:t>
        </m:r>
      </m:oMath>
      <w:r>
        <w:rPr>
          <w:szCs w:val="21"/>
          <w:lang w:eastAsia="zh-CN"/>
        </w:rPr>
        <w:tab/>
      </w:r>
      <w:r>
        <w:rPr>
          <w:szCs w:val="21"/>
          <w:lang w:eastAsia="zh-CN"/>
        </w:rPr>
        <w:t>(22)</w:t>
      </w:r>
    </w:p>
    <w:p w14:paraId="6131A317">
      <w:pPr>
        <w:pStyle w:val="170"/>
        <w:ind w:firstLine="482"/>
        <w:rPr>
          <w:szCs w:val="21"/>
          <w:lang w:eastAsia="zh-CN"/>
        </w:rPr>
      </w:pPr>
      <w:r>
        <w:rPr>
          <w:szCs w:val="21"/>
          <w:lang w:eastAsia="zh-CN"/>
        </w:rPr>
        <w:t>当</w:t>
      </w:r>
      <m:oMath>
        <m:sSubSup>
          <m:sSubSupPr>
            <m:ctrlPr>
              <w:rPr>
                <w:rFonts w:ascii="Cambria Math" w:hAnsi="Cambria Math"/>
                <w:szCs w:val="21"/>
              </w:rPr>
            </m:ctrlPr>
          </m:sSubSupPr>
          <m:e>
            <m:r>
              <m:rPr/>
              <w:rPr>
                <w:rFonts w:ascii="Cambria Math" w:hAnsi="Cambria Math" w:eastAsia="Cambria Math" w:cs="Cambria Math"/>
                <w:szCs w:val="21"/>
                <w:lang w:eastAsia="zh-CN"/>
              </w:rPr>
              <m:t>x</m:t>
            </m:r>
            <m:ctrlPr>
              <w:rPr>
                <w:rFonts w:ascii="Cambria Math" w:hAnsi="Cambria Math"/>
                <w:szCs w:val="21"/>
              </w:rPr>
            </m:ctrlPr>
          </m:e>
          <m:sub>
            <m:r>
              <m:rPr/>
              <w:rPr>
                <w:rFonts w:ascii="Cambria Math" w:hAnsi="Cambria Math" w:eastAsia="Cambria Math" w:cs="Cambria Math"/>
                <w:szCs w:val="21"/>
                <w:lang w:eastAsia="zh-CN"/>
              </w:rPr>
              <m:t>ij</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r>
          <m:rPr/>
          <w:rPr>
            <w:rFonts w:ascii="Cambria Math" w:hAnsi="Cambria Math" w:eastAsia="Cambria Math" w:cs="Cambria Math"/>
            <w:szCs w:val="21"/>
            <w:lang w:eastAsia="zh-CN"/>
          </w:rPr>
          <m:t>=1</m:t>
        </m:r>
      </m:oMath>
      <w:r>
        <w:rPr>
          <w:szCs w:val="21"/>
          <w:lang w:eastAsia="zh-CN"/>
        </w:rPr>
        <w:t>时，式（20）和式（21）同时取紧，从而得到</w:t>
      </w:r>
      <m:oMath>
        <m:sSubSup>
          <m:sSubSupPr>
            <m:ctrlPr>
              <w:rPr>
                <w:rFonts w:ascii="Cambria Math" w:hAnsi="Cambria Math"/>
                <w:szCs w:val="21"/>
              </w:rPr>
            </m:ctrlPr>
          </m:sSubSupPr>
          <m:e>
            <m:r>
              <m:rPr/>
              <w:rPr>
                <w:rFonts w:ascii="Cambria Math" w:hAnsi="Cambria Math" w:eastAsia="Cambria Math" w:cs="Cambria Math"/>
                <w:szCs w:val="21"/>
                <w:lang w:eastAsia="zh-CN"/>
              </w:rPr>
              <m:t>W</m:t>
            </m:r>
            <m:ctrlPr>
              <w:rPr>
                <w:rFonts w:ascii="Cambria Math" w:hAnsi="Cambria Math"/>
                <w:szCs w:val="21"/>
              </w:rPr>
            </m:ctrlPr>
          </m:e>
          <m:sub>
            <m:r>
              <m:rPr/>
              <w:rPr>
                <w:rFonts w:ascii="Cambria Math" w:hAnsi="Cambria Math" w:eastAsia="Cambria Math" w:cs="Cambria Math"/>
                <w:szCs w:val="21"/>
                <w:lang w:eastAsia="zh-CN"/>
              </w:rPr>
              <m:t>j</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r>
          <m:rPr/>
          <w:rPr>
            <w:rFonts w:ascii="Cambria Math" w:hAnsi="Cambria Math" w:eastAsia="Cambria Math" w:cs="Cambria Math"/>
            <w:szCs w:val="21"/>
            <w:lang w:eastAsia="zh-CN"/>
          </w:rPr>
          <m:t>=</m:t>
        </m:r>
        <m:sSubSup>
          <m:sSubSupPr>
            <m:ctrlPr>
              <w:rPr>
                <w:rFonts w:ascii="Cambria Math" w:hAnsi="Cambria Math"/>
                <w:szCs w:val="21"/>
              </w:rPr>
            </m:ctrlPr>
          </m:sSubSupPr>
          <m:e>
            <m:r>
              <m:rPr/>
              <w:rPr>
                <w:rFonts w:ascii="Cambria Math" w:hAnsi="Cambria Math" w:eastAsia="Cambria Math" w:cs="Cambria Math"/>
                <w:szCs w:val="21"/>
                <w:lang w:eastAsia="zh-CN"/>
              </w:rPr>
              <m:t>W</m:t>
            </m:r>
            <m:ctrlPr>
              <w:rPr>
                <w:rFonts w:ascii="Cambria Math" w:hAnsi="Cambria Math"/>
                <w:szCs w:val="21"/>
              </w:rPr>
            </m:ctrlPr>
          </m:e>
          <m:sub>
            <m:r>
              <m:rPr/>
              <w:rPr>
                <w:rFonts w:ascii="Cambria Math" w:hAnsi="Cambria Math" w:eastAsia="Cambria Math" w:cs="Cambria Math"/>
                <w:szCs w:val="21"/>
                <w:lang w:eastAsia="zh-CN"/>
              </w:rPr>
              <m:t>i</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r>
          <m:rPr/>
          <w:rPr>
            <w:rFonts w:ascii="Cambria Math" w:hAnsi="Cambria Math" w:eastAsia="Cambria Math" w:cs="Cambria Math"/>
            <w:szCs w:val="21"/>
            <w:lang w:eastAsia="zh-CN"/>
          </w:rPr>
          <m:t>+</m:t>
        </m:r>
        <m:sSub>
          <m:sSubPr>
            <m:ctrlPr>
              <w:rPr>
                <w:rFonts w:ascii="Cambria Math" w:hAnsi="Cambria Math"/>
                <w:szCs w:val="21"/>
              </w:rPr>
            </m:ctrlPr>
          </m:sSubPr>
          <m:e>
            <m:r>
              <m:rPr/>
              <w:rPr>
                <w:rFonts w:ascii="Cambria Math" w:hAnsi="Cambria Math" w:eastAsia="Cambria Math" w:cs="Cambria Math"/>
                <w:szCs w:val="21"/>
                <w:lang w:eastAsia="zh-CN"/>
              </w:rPr>
              <m:t>q</m:t>
            </m:r>
            <m:ctrlPr>
              <w:rPr>
                <w:rFonts w:ascii="Cambria Math" w:hAnsi="Cambria Math"/>
                <w:szCs w:val="21"/>
              </w:rPr>
            </m:ctrlPr>
          </m:e>
          <m:sub>
            <m:r>
              <m:rPr/>
              <w:rPr>
                <w:rFonts w:ascii="Cambria Math" w:hAnsi="Cambria Math" w:eastAsia="Cambria Math" w:cs="Cambria Math"/>
                <w:szCs w:val="21"/>
                <w:lang w:eastAsia="zh-CN"/>
              </w:rPr>
              <m:t>j</m:t>
            </m:r>
            <m:ctrlPr>
              <w:rPr>
                <w:rFonts w:ascii="Cambria Math" w:hAnsi="Cambria Math"/>
                <w:szCs w:val="21"/>
              </w:rPr>
            </m:ctrlPr>
          </m:sub>
        </m:sSub>
      </m:oMath>
      <w:r>
        <w:rPr>
          <w:szCs w:val="21"/>
          <w:lang w:eastAsia="zh-CN"/>
        </w:rPr>
        <w:t>。因此，访问取件节点使载荷增加1，访问送达节点使载荷减少1；式（22）进一步保证任一访问时刻的载荷均处于容量区间内，从而同时排除负载荷与容量超限情形。</w:t>
      </w:r>
    </w:p>
    <w:p w14:paraId="484AA6B6">
      <w:pPr>
        <w:pStyle w:val="5"/>
        <w:spacing w:before="180" w:after="80" w:line="240" w:lineRule="auto"/>
        <w:jc w:val="left"/>
        <w:rPr>
          <w:color w:val="auto"/>
          <w:szCs w:val="21"/>
          <w:lang w:eastAsia="zh-CN"/>
        </w:rPr>
      </w:pPr>
      <w:r>
        <w:rPr>
          <w:szCs w:val="21"/>
          <w:lang w:eastAsia="zh-CN"/>
        </w:rPr>
        <w:t>3.3.6 变量定义与单机退化</w:t>
      </w:r>
    </w:p>
    <w:p w14:paraId="72EA6988">
      <w:pPr>
        <w:pStyle w:val="170"/>
        <w:tabs>
          <w:tab w:val="center" w:pos="4400"/>
          <w:tab w:val="right" w:pos="8800"/>
        </w:tabs>
        <w:spacing w:before="60" w:after="60" w:line="240" w:lineRule="auto"/>
        <w:jc w:val="left"/>
        <w:rPr>
          <w:szCs w:val="21"/>
          <w:lang w:eastAsia="zh-CN"/>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lang w:eastAsia="zh-CN"/>
              </w:rPr>
              <m:t>x</m:t>
            </m:r>
            <m:ctrlPr>
              <w:rPr>
                <w:rFonts w:ascii="Cambria Math" w:hAnsi="Cambria Math"/>
                <w:szCs w:val="21"/>
              </w:rPr>
            </m:ctrlPr>
          </m:e>
          <m:sub>
            <m:r>
              <m:rPr/>
              <w:rPr>
                <w:rFonts w:ascii="Cambria Math" w:hAnsi="Cambria Math" w:eastAsia="Cambria Math" w:cs="Cambria Math"/>
                <w:szCs w:val="21"/>
                <w:lang w:eastAsia="zh-CN"/>
              </w:rPr>
              <m:t>ij</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r>
          <m:rPr/>
          <w:rPr>
            <w:rFonts w:ascii="Cambria Math" w:hAnsi="Cambria Math" w:eastAsia="Cambria Math" w:cs="Cambria Math"/>
            <w:szCs w:val="21"/>
            <w:lang w:eastAsia="zh-CN"/>
          </w:rPr>
          <m:t>∈{0,1},  </m:t>
        </m:r>
        <m:d>
          <m:dPr>
            <m:ctrlPr>
              <w:rPr>
                <w:rFonts w:ascii="Cambria Math" w:hAnsi="Cambria Math"/>
                <w:szCs w:val="21"/>
              </w:rPr>
            </m:ctrlPr>
          </m:dPr>
          <m:e>
            <m:r>
              <m:rPr/>
              <w:rPr>
                <w:rFonts w:ascii="Cambria Math" w:hAnsi="Cambria Math" w:eastAsia="Cambria Math" w:cs="Cambria Math"/>
                <w:szCs w:val="21"/>
                <w:lang w:eastAsia="zh-CN"/>
              </w:rPr>
              <m:t>i,j</m:t>
            </m:r>
            <m:ctrlPr>
              <w:rPr>
                <w:rFonts w:ascii="Cambria Math" w:hAnsi="Cambria Math"/>
                <w:szCs w:val="21"/>
              </w:rPr>
            </m:ctrlPr>
          </m:e>
        </m:d>
        <m:r>
          <m:rPr/>
          <w:rPr>
            <w:rFonts w:ascii="Cambria Math" w:hAnsi="Cambria Math" w:eastAsia="Cambria Math" w:cs="Cambria Math"/>
            <w:szCs w:val="21"/>
            <w:lang w:eastAsia="zh-CN"/>
          </w:rPr>
          <m:t>∈A, k∈D,</m:t>
        </m:r>
      </m:oMath>
      <w:r>
        <w:rPr>
          <w:szCs w:val="21"/>
          <w:lang w:eastAsia="zh-CN"/>
        </w:rPr>
        <w:tab/>
      </w:r>
      <w:r>
        <w:rPr>
          <w:szCs w:val="21"/>
          <w:lang w:eastAsia="zh-CN"/>
        </w:rPr>
        <w:t>(23)</w:t>
      </w:r>
    </w:p>
    <w:p w14:paraId="25DF894F">
      <w:pPr>
        <w:pStyle w:val="170"/>
        <w:tabs>
          <w:tab w:val="center" w:pos="4400"/>
          <w:tab w:val="right" w:pos="8800"/>
        </w:tabs>
        <w:spacing w:before="60" w:after="60" w:line="240" w:lineRule="auto"/>
        <w:jc w:val="left"/>
        <w:rPr>
          <w:szCs w:val="21"/>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∈{0,1},  i∈R, k∈D,</m:t>
        </m:r>
      </m:oMath>
      <w:r>
        <w:rPr>
          <w:szCs w:val="21"/>
        </w:rPr>
        <w:tab/>
      </w:r>
      <w:r>
        <w:rPr>
          <w:szCs w:val="21"/>
        </w:rPr>
        <w:t>(24)</w:t>
      </w:r>
    </w:p>
    <w:p w14:paraId="0BA35BC4">
      <w:pPr>
        <w:pStyle w:val="170"/>
        <w:tabs>
          <w:tab w:val="center" w:pos="4400"/>
          <w:tab w:val="right" w:pos="8800"/>
        </w:tabs>
        <w:spacing w:before="60" w:after="60" w:line="240" w:lineRule="auto"/>
        <w:jc w:val="left"/>
        <w:rPr>
          <w:szCs w:val="21"/>
        </w:rPr>
      </w:pPr>
      <w:r>
        <w:rPr>
          <w:szCs w:val="21"/>
        </w:rPr>
        <w:tab/>
      </w:r>
      <m:oMath>
        <m:sSub>
          <m:sSubPr>
            <m:ctrlPr>
              <w:rPr>
                <w:rFonts w:ascii="Cambria Math" w:hAnsi="Cambria Math"/>
                <w:szCs w:val="21"/>
              </w:rPr>
            </m:ctrlPr>
          </m:sSubPr>
          <m:e>
            <m:r>
              <m:rPr/>
              <w:rPr>
                <w:rFonts w:ascii="Cambria Math" w:hAnsi="Cambria Math" w:eastAsia="Cambria Math" w:cs="Cambria Math"/>
                <w:szCs w:val="21"/>
              </w:rPr>
              <m:t>u</m:t>
            </m:r>
            <m:ctrlPr>
              <w:rPr>
                <w:rFonts w:ascii="Cambria Math" w:hAnsi="Cambria Math"/>
                <w:szCs w:val="21"/>
              </w:rPr>
            </m:ctrlPr>
          </m:e>
          <m:sub>
            <m:r>
              <m:rPr/>
              <w:rPr>
                <w:rFonts w:ascii="Cambria Math" w:hAnsi="Cambria Math" w:eastAsia="Cambria Math" w:cs="Cambria Math"/>
                <w:szCs w:val="21"/>
              </w:rPr>
              <m:t>k</m:t>
            </m:r>
            <m:ctrlPr>
              <w:rPr>
                <w:rFonts w:ascii="Cambria Math" w:hAnsi="Cambria Math"/>
                <w:szCs w:val="21"/>
              </w:rPr>
            </m:ctrlPr>
          </m:sub>
        </m:sSub>
        <m:r>
          <m:rPr/>
          <w:rPr>
            <w:rFonts w:ascii="Cambria Math" w:hAnsi="Cambria Math" w:eastAsia="Cambria Math" w:cs="Cambria Math"/>
            <w:szCs w:val="21"/>
          </w:rPr>
          <m:t>∈{0,1},  k∈D,</m:t>
        </m:r>
      </m:oMath>
      <w:r>
        <w:rPr>
          <w:szCs w:val="21"/>
        </w:rPr>
        <w:tab/>
      </w:r>
      <w:r>
        <w:rPr>
          <w:szCs w:val="21"/>
        </w:rPr>
        <w:t>(25)</w:t>
      </w:r>
    </w:p>
    <w:p w14:paraId="15042D4C">
      <w:pPr>
        <w:pStyle w:val="170"/>
        <w:tabs>
          <w:tab w:val="center" w:pos="4400"/>
          <w:tab w:val="right" w:pos="8800"/>
        </w:tabs>
        <w:spacing w:before="60" w:after="60" w:line="240" w:lineRule="auto"/>
        <w:jc w:val="left"/>
        <w:rPr>
          <w:szCs w:val="21"/>
        </w:rPr>
      </w:pPr>
      <w:r>
        <w:rPr>
          <w:szCs w:val="21"/>
        </w:rPr>
        <w:tab/>
      </w:r>
      <m:oMath>
        <m:sSub>
          <m:sSubPr/>
          <m:e>
            <m:r>
              <m:rPr/>
              <m:t>z</m:t>
            </m:r>
          </m:e>
          <m:sub>
            <m:r>
              <m:rPr/>
              <m:t>i</m:t>
            </m:r>
          </m:sub>
        </m:sSub>
        <m:r>
          <m:rPr>
            <m:sty m:val="p"/>
          </m:rPr>
          <m:t>∈{</m:t>
        </m:r>
        <m:r>
          <m:rPr/>
          <m:t>0</m:t>
        </m:r>
        <m:r>
          <m:rPr>
            <m:sty m:val="p"/>
          </m:rPr>
          <m:t>,</m:t>
        </m:r>
        <m:r>
          <m:rPr/>
          <m:t>1</m:t>
        </m:r>
        <m:r>
          <m:rPr>
            <m:sty m:val="p"/>
          </m:rPr>
          <m:t>},</m:t>
        </m:r>
        <m:r>
          <m:rPr/>
          <m:t>  </m:t>
        </m:r>
        <m:sSub>
          <m:sSubPr/>
          <m:e>
            <m:r>
              <m:rPr/>
              <m:t>C</m:t>
            </m:r>
          </m:e>
          <m:sub>
            <m:r>
              <m:rPr/>
              <m:t>i</m:t>
            </m:r>
          </m:sub>
        </m:sSub>
        <m:r>
          <m:rPr>
            <m:sty m:val="p"/>
          </m:rPr>
          <m:t>≥</m:t>
        </m:r>
        <m:r>
          <m:rPr/>
          <m:t>0</m:t>
        </m:r>
        <m:r>
          <m:rPr>
            <m:sty m:val="p"/>
          </m:rPr>
          <m:t>,</m:t>
        </m:r>
        <m:r>
          <m:rPr/>
          <m:t> </m:t>
        </m:r>
        <m:sSub>
          <m:sSubPr/>
          <m:e>
            <m:r>
              <m:rPr/>
              <m:t>L</m:t>
            </m:r>
          </m:e>
          <m:sub>
            <m:r>
              <m:rPr/>
              <m:t>i</m:t>
            </m:r>
          </m:sub>
        </m:sSub>
        <m:r>
          <m:rPr>
            <m:sty m:val="p"/>
          </m:rPr>
          <m:t>≥</m:t>
        </m:r>
        <m:r>
          <m:rPr/>
          <m:t>0</m:t>
        </m:r>
        <m:r>
          <m:rPr>
            <m:sty m:val="p"/>
          </m:rPr>
          <m:t>,</m:t>
        </m:r>
        <m:r>
          <m:rPr/>
          <m:t>  i</m:t>
        </m:r>
        <m:r>
          <m:rPr>
            <m:sty m:val="p"/>
          </m:rPr>
          <m:t>∈</m:t>
        </m:r>
        <m:r>
          <m:rPr/>
          <m:t>R</m:t>
        </m:r>
        <m:r>
          <m:rPr>
            <m:sty m:val="p"/>
          </m:rPr>
          <m:t>.</m:t>
        </m:r>
      </m:oMath>
      <w:r>
        <w:rPr>
          <w:szCs w:val="21"/>
        </w:rPr>
        <w:tab/>
      </w:r>
      <w:r>
        <w:rPr>
          <w:szCs w:val="21"/>
        </w:rPr>
        <w:t>(26)</w:t>
      </w:r>
    </w:p>
    <w:p w14:paraId="5C4A6DD6">
      <w:pPr>
        <w:pStyle w:val="170"/>
        <w:ind w:firstLine="482"/>
        <w:rPr>
          <w:szCs w:val="21"/>
          <w:lang w:eastAsia="zh-CN"/>
        </w:rPr>
      </w:pPr>
      <w:r>
        <w:rPr>
          <w:lang w:eastAsia="zh-CN"/>
        </w:rPr>
        <w:t>上述统一模型同时适用于多无人机与单无人机场景。令M=1、N=n、K=n、u1=1、o1=0，并由式（4）可得yi1=1，则模型直接退化为单无人机开放式一对一取送货调度模型。因而，后续求解算法可基于同一套路径可行性判定与约束检查机制处理单机与多机场景，无需分别构建模型。</w:t>
      </w:r>
    </w:p>
    <w:p w14:paraId="01BAFA05">
      <w:pPr>
        <w:pStyle w:val="5"/>
        <w:spacing w:before="180" w:after="80" w:line="240" w:lineRule="auto"/>
        <w:jc w:val="left"/>
        <w:rPr>
          <w:color w:val="auto"/>
          <w:szCs w:val="21"/>
          <w:lang w:eastAsia="zh-CN"/>
        </w:rPr>
      </w:pPr>
      <w:r>
        <w:rPr>
          <w:lang w:eastAsia="zh-CN"/>
        </w:rPr>
        <w:t>3.3.7 直送与接力送策略的扩展数学刻画</w:t>
      </w:r>
    </w:p>
    <w:p w14:paraId="12553817">
      <w:pPr>
        <w:pStyle w:val="170"/>
        <w:ind w:firstLine="482"/>
        <w:rPr>
          <w:szCs w:val="21"/>
          <w:lang w:eastAsia="zh-CN"/>
        </w:rPr>
      </w:pPr>
      <w:r>
        <w:rPr>
          <w:lang w:eastAsia="zh-CN"/>
        </w:rPr>
        <w:t>为与算法中的任务计划层一致，任务</w:t>
      </w:r>
      <m:oMath>
        <m:r>
          <m:rPr/>
          <m:t>i</m:t>
        </m:r>
      </m:oMath>
      <w:r>
        <w:rPr>
          <w:lang w:eastAsia="zh-CN"/>
        </w:rPr>
        <w:t>必须在直送与接力送之间唯一选择。直送由无人机</w:t>
      </w:r>
      <m:oMath>
        <m:r>
          <m:rPr/>
          <m:t>k</m:t>
        </m:r>
      </m:oMath>
      <w:r>
        <w:rPr>
          <w:lang w:eastAsia="zh-CN"/>
        </w:rPr>
        <w:t>执行完整的“取件—送达”；接力送经候选中继站</w:t>
      </w:r>
      <m:oMath>
        <m:r>
          <m:rPr/>
          <m:t>ℎ</m:t>
        </m:r>
        <m:r>
          <m:rPr>
            <m:sty m:val="p"/>
          </m:rPr>
          <m:t>∈</m:t>
        </m:r>
        <m:sSubSup>
          <m:sSubSupPr/>
          <m:e>
            <m:r>
              <m:rPr/>
              <m:t>V</m:t>
            </m:r>
          </m:e>
          <m:sub>
            <m:r>
              <m:rPr/>
              <m:t>i</m:t>
            </m:r>
          </m:sub>
          <m:sup>
            <m:r>
              <m:rPr/>
              <m:t>r</m:t>
            </m:r>
          </m:sup>
        </m:sSubSup>
      </m:oMath>
      <w:r>
        <w:rPr>
          <w:lang w:eastAsia="zh-CN"/>
        </w:rPr>
        <w:t>拆分为入站段“取件—卸货”和出站段“取货—送达”，分别由无人机</w:t>
      </w:r>
      <m:oMath>
        <m:r>
          <m:rPr/>
          <m:t>k</m:t>
        </m:r>
      </m:oMath>
      <w:r>
        <w:rPr>
          <w:lang w:eastAsia="zh-CN"/>
        </w:rPr>
        <w:t>与</w:t>
      </w:r>
      <m:oMath>
        <m:r>
          <m:rPr>
            <m:sty m:val="p"/>
          </m:rPr>
          <m:t>ℓ</m:t>
        </m:r>
      </m:oMath>
      <w:r>
        <w:rPr>
          <w:lang w:eastAsia="zh-CN"/>
        </w:rPr>
        <w:t>承担。允许</w:t>
      </w:r>
      <m:oMath>
        <m:r>
          <m:rPr/>
          <m:t>k</m:t>
        </m:r>
        <m:r>
          <m:rPr>
            <m:sty m:val="p"/>
          </m:rPr>
          <m:t>=ℓ</m:t>
        </m:r>
      </m:oMath>
      <w:r>
        <w:rPr>
          <w:lang w:eastAsia="zh-CN"/>
        </w:rPr>
        <w:t>作为同机经站退化情形；当</w:t>
      </w:r>
      <m:oMath>
        <m:r>
          <m:rPr/>
          <m:t>k</m:t>
        </m:r>
        <m:r>
          <m:rPr>
            <m:sty m:val="p"/>
          </m:rPr>
          <m:t>≠ℓ</m:t>
        </m:r>
      </m:oMath>
      <w:r>
        <w:rPr>
          <w:lang w:eastAsia="zh-CN"/>
        </w:rPr>
        <w:t>时形成跨机交接。</w:t>
      </w:r>
    </w:p>
    <w:p w14:paraId="3F0C2F84">
      <w:pPr>
        <w:pStyle w:val="170"/>
        <w:ind w:firstLine="482"/>
        <w:rPr>
          <w:szCs w:val="21"/>
          <w:lang w:eastAsia="zh-CN"/>
        </w:rPr>
      </w:pPr>
      <w:r>
        <w:rPr>
          <w:lang w:eastAsia="zh-CN"/>
        </w:rPr>
        <w:t>两种服务方式互斥且穷尽全部任务，并由下式同时保证每项任务至多经过一个中继站：</w:t>
      </w:r>
    </w:p>
    <w:p w14:paraId="418E0A2E">
      <w:pPr>
        <w:pStyle w:val="3"/>
        <w:tabs>
          <w:tab w:val="center" w:pos="4400"/>
          <w:tab w:val="right" w:pos="8800"/>
        </w:tabs>
        <w:spacing w:before="60" w:after="60" w:line="240" w:lineRule="auto"/>
        <w:jc w:val="left"/>
        <w:rPr>
          <w:szCs w:val="21"/>
        </w:rPr>
      </w:pPr>
      <w:r>
        <w:rPr>
          <w:szCs w:val="21"/>
          <w:lang w:eastAsia="zh-CN"/>
        </w:rPr>
        <w:tab/>
      </w:r>
      <m:oMath>
        <m:nary>
          <m:naryPr>
            <m:chr m:val="∑"/>
            <m:limLoc m:val="undOvr"/>
            <m:supHide m:val="1"/>
          </m:naryPr>
          <m:sub>
            <m:r>
              <m:rPr/>
              <m:t>k</m:t>
            </m:r>
            <m:r>
              <m:rPr>
                <m:sty m:val="p"/>
              </m:rPr>
              <m:t>∈</m:t>
            </m:r>
            <m:r>
              <m:rPr/>
              <m:t>D</m:t>
            </m:r>
          </m:sub>
          <m:sup>
            <m:r>
              <m:rPr/>
              <m:t>​</m:t>
            </m:r>
          </m:sup>
          <m:e>
            <m:sSubSup>
              <m:sSubSupPr/>
              <m:e>
                <m:r>
                  <m:rPr/>
                  <m:t>y</m:t>
                </m:r>
              </m:e>
              <m:sub>
                <m:r>
                  <m:rPr/>
                  <m:t>i</m:t>
                </m:r>
              </m:sub>
              <m:sup>
                <m:r>
                  <m:rPr/>
                  <m:t>k</m:t>
                </m:r>
              </m:sup>
            </m:sSubSup>
          </m:e>
        </m:nary>
        <m:r>
          <m:rPr>
            <m:sty m:val="p"/>
          </m:rPr>
          <m:t>+</m:t>
        </m:r>
        <m:nary>
          <m:naryPr>
            <m:chr m:val="∑"/>
            <m:limLoc m:val="undOvr"/>
            <m:supHide m:val="1"/>
          </m:naryPr>
          <m:sub>
            <m:r>
              <m:rPr/>
              <m:t>ℎ</m:t>
            </m:r>
            <m:r>
              <m:rPr>
                <m:sty m:val="p"/>
              </m:rPr>
              <m:t>∈</m:t>
            </m:r>
            <m:sSubSup>
              <m:sSubSupPr/>
              <m:e>
                <m:r>
                  <m:rPr/>
                  <m:t>V</m:t>
                </m:r>
              </m:e>
              <m:sub>
                <m:r>
                  <m:rPr/>
                  <m:t>i</m:t>
                </m:r>
              </m:sub>
              <m:sup>
                <m:r>
                  <m:rPr/>
                  <m:t>r</m:t>
                </m:r>
              </m:sup>
            </m:sSubSup>
          </m:sub>
          <m:sup>
            <m:r>
              <m:rPr/>
              <m:t>​</m:t>
            </m:r>
          </m:sup>
          <m:e>
            <m:nary>
              <m:naryPr>
                <m:chr m:val="∑"/>
                <m:limLoc m:val="undOvr"/>
                <m:supHide m:val="1"/>
              </m:naryPr>
              <m:sub>
                <m:r>
                  <m:rPr/>
                  <m:t>k</m:t>
                </m:r>
                <m:r>
                  <m:rPr>
                    <m:sty m:val="p"/>
                  </m:rPr>
                  <m:t>∈</m:t>
                </m:r>
                <m:r>
                  <m:rPr/>
                  <m:t>D</m:t>
                </m:r>
              </m:sub>
              <m:sup>
                <m:r>
                  <m:rPr/>
                  <m:t>​</m:t>
                </m:r>
              </m:sup>
              <m:e>
                <m:nary>
                  <m:naryPr>
                    <m:chr m:val="∑"/>
                    <m:limLoc m:val="undOvr"/>
                    <m:supHide m:val="1"/>
                  </m:naryPr>
                  <m:sub>
                    <m:r>
                      <m:rPr>
                        <m:sty m:val="p"/>
                      </m:rPr>
                      <m:t>ℓ∈</m:t>
                    </m:r>
                    <m:r>
                      <m:rPr/>
                      <m:t>D</m:t>
                    </m:r>
                  </m:sub>
                  <m:sup>
                    <m:r>
                      <m:rPr/>
                      <m:t>​</m:t>
                    </m:r>
                  </m:sup>
                  <m:e>
                    <m:sSubSup>
                      <m:sSubSupPr/>
                      <m:e>
                        <m:r>
                          <m:rPr/>
                          <m:t>r</m:t>
                        </m:r>
                      </m:e>
                      <m:sub>
                        <m:r>
                          <m:rPr/>
                          <m:t>iℎ</m:t>
                        </m:r>
                      </m:sub>
                      <m:sup>
                        <m:r>
                          <m:rPr/>
                          <m:t>k</m:t>
                        </m:r>
                        <m:r>
                          <m:rPr>
                            <m:sty m:val="p"/>
                          </m:rPr>
                          <m:t>ℓ</m:t>
                        </m:r>
                      </m:sup>
                    </m:sSubSup>
                  </m:e>
                </m:nary>
              </m:e>
            </m:nary>
          </m:e>
        </m:nary>
        <m:r>
          <m:rPr>
            <m:sty m:val="p"/>
          </m:rPr>
          <m:t>=</m:t>
        </m:r>
        <m:r>
          <m:rPr/>
          <m:t>1</m:t>
        </m:r>
        <m:r>
          <m:rPr>
            <m:sty m:val="p"/>
          </m:rPr>
          <m:t>,</m:t>
        </m:r>
        <m:r>
          <m:rPr/>
          <m:t>  i</m:t>
        </m:r>
        <m:r>
          <m:rPr>
            <m:sty m:val="p"/>
          </m:rPr>
          <m:t>∈</m:t>
        </m:r>
        <m:r>
          <m:rPr/>
          <m:t>R</m:t>
        </m:r>
        <m:r>
          <m:rPr>
            <m:sty m:val="p"/>
          </m:rPr>
          <m:t>.</m:t>
        </m:r>
      </m:oMath>
      <w:r>
        <w:rPr>
          <w:szCs w:val="21"/>
        </w:rPr>
        <w:tab/>
      </w:r>
      <w:r>
        <w:rPr>
          <w:szCs w:val="21"/>
        </w:rPr>
        <w:t>(26a)</w:t>
      </w:r>
    </w:p>
    <w:p w14:paraId="186927FC">
      <w:pPr>
        <w:pStyle w:val="170"/>
        <w:ind w:firstLine="482"/>
        <w:rPr>
          <w:szCs w:val="21"/>
          <w:lang w:eastAsia="zh-CN"/>
        </w:rPr>
      </w:pPr>
      <w:r>
        <w:rPr>
          <w:lang w:eastAsia="zh-CN"/>
        </w:rPr>
        <w:t>对于接力送任务，在中继站</w:t>
      </w:r>
      <m:oMath>
        <m:r>
          <m:rPr/>
          <m:t>ℎ</m:t>
        </m:r>
      </m:oMath>
      <w:r>
        <w:rPr>
          <w:lang w:eastAsia="zh-CN"/>
        </w:rPr>
        <w:t>设置卸货节点</w:t>
      </w:r>
      <m:oMath>
        <m:sSubSup>
          <m:sSubSupPr/>
          <m:e>
            <m:r>
              <m:rPr/>
              <m:t>η</m:t>
            </m:r>
          </m:e>
          <m:sub>
            <m:r>
              <m:rPr/>
              <m:t>iℎ</m:t>
            </m:r>
          </m:sub>
          <m:sup>
            <m:r>
              <m:rPr>
                <m:sty m:val="p"/>
              </m:rPr>
              <m:t>−</m:t>
            </m:r>
          </m:sup>
        </m:sSubSup>
      </m:oMath>
      <w:r>
        <w:rPr>
          <w:lang w:eastAsia="zh-CN"/>
        </w:rPr>
        <w:t>和取货节点</w:t>
      </w:r>
      <m:oMath>
        <m:sSubSup>
          <m:sSubSupPr/>
          <m:e>
            <m:r>
              <m:rPr/>
              <m:t>η</m:t>
            </m:r>
          </m:e>
          <m:sub>
            <m:r>
              <m:rPr/>
              <m:t>iℎ</m:t>
            </m:r>
          </m:sub>
          <m:sup>
            <m:r>
              <m:rPr>
                <m:sty m:val="p"/>
              </m:rPr>
              <m:t>+</m:t>
            </m:r>
          </m:sup>
        </m:sSubSup>
      </m:oMath>
      <w:r>
        <w:rPr>
          <w:lang w:eastAsia="zh-CN"/>
        </w:rPr>
        <w:t>。入站段依次访问</w:t>
      </w:r>
      <m:oMath>
        <m:r>
          <m:rPr/>
          <m:t>i</m:t>
        </m:r>
        <m:r>
          <m:rPr>
            <m:sty m:val="p"/>
          </m:rPr>
          <m:t>,</m:t>
        </m:r>
        <m:sSubSup>
          <m:sSubSupPr/>
          <m:e>
            <m:r>
              <m:rPr/>
              <m:t>η</m:t>
            </m:r>
          </m:e>
          <m:sub>
            <m:r>
              <m:rPr/>
              <m:t>iℎ</m:t>
            </m:r>
          </m:sub>
          <m:sup>
            <m:r>
              <m:rPr>
                <m:sty m:val="p"/>
              </m:rPr>
              <m:t>−</m:t>
            </m:r>
          </m:sup>
        </m:sSubSup>
      </m:oMath>
      <w:r>
        <w:rPr>
          <w:lang w:eastAsia="zh-CN"/>
        </w:rPr>
        <w:t>，出站段依次访问</w:t>
      </w:r>
      <m:oMath>
        <m:sSubSup>
          <m:sSubSupPr/>
          <m:e>
            <m:r>
              <m:rPr/>
              <m:t>η</m:t>
            </m:r>
          </m:e>
          <m:sub>
            <m:r>
              <m:rPr/>
              <m:t>iℎ</m:t>
            </m:r>
          </m:sub>
          <m:sup>
            <m:r>
              <m:rPr>
                <m:sty m:val="p"/>
              </m:rPr>
              <m:t>+</m:t>
            </m:r>
          </m:sup>
        </m:sSubSup>
        <m:r>
          <m:rPr>
            <m:sty m:val="p"/>
          </m:rPr>
          <m:t>,</m:t>
        </m:r>
        <m:r>
          <m:rPr/>
          <m:t>i</m:t>
        </m:r>
        <m:r>
          <m:rPr>
            <m:sty m:val="p"/>
          </m:rPr>
          <m:t>+</m:t>
        </m:r>
        <m:r>
          <m:rPr/>
          <m:t>N</m:t>
        </m:r>
      </m:oMath>
      <w:r>
        <w:rPr>
          <w:lang w:eastAsia="zh-CN"/>
        </w:rPr>
        <w:t>，相应载荷增量为：</w:t>
      </w:r>
    </w:p>
    <w:p w14:paraId="2C71A220">
      <w:pPr>
        <w:pStyle w:val="3"/>
        <w:tabs>
          <w:tab w:val="center" w:pos="4400"/>
          <w:tab w:val="right" w:pos="8800"/>
        </w:tabs>
        <w:spacing w:before="60" w:after="60" w:line="240" w:lineRule="auto"/>
        <w:jc w:val="left"/>
        <w:rPr>
          <w:szCs w:val="21"/>
        </w:rPr>
      </w:pPr>
      <w:r>
        <w:rPr>
          <w:szCs w:val="21"/>
          <w:lang w:eastAsia="zh-CN"/>
        </w:rPr>
        <w:tab/>
      </w:r>
      <m:oMath>
        <m:sSub>
          <m:sSubPr/>
          <m:e>
            <m:r>
              <m:rPr/>
              <m:t>q</m:t>
            </m:r>
          </m:e>
          <m:sub>
            <m:r>
              <m:rPr/>
              <m:t>i</m:t>
            </m:r>
          </m:sub>
        </m:sSub>
        <m:r>
          <m:rPr>
            <m:sty m:val="p"/>
          </m:rPr>
          <m:t>=+</m:t>
        </m:r>
        <m:r>
          <m:rPr/>
          <m:t>1</m:t>
        </m:r>
        <m:r>
          <m:rPr>
            <m:sty m:val="p"/>
          </m:rPr>
          <m:t>,</m:t>
        </m:r>
        <m:r>
          <m:rPr/>
          <m:t>  </m:t>
        </m:r>
        <m:sSub>
          <m:sSubPr/>
          <m:e>
            <m:r>
              <m:rPr/>
              <m:t>q</m:t>
            </m:r>
          </m:e>
          <m:sub>
            <m:sSubSup>
              <m:sSubSupPr/>
              <m:e>
                <m:r>
                  <m:rPr/>
                  <m:t>η</m:t>
                </m:r>
              </m:e>
              <m:sub>
                <m:r>
                  <m:rPr/>
                  <m:t>iℎ</m:t>
                </m:r>
              </m:sub>
              <m:sup>
                <m:r>
                  <m:rPr>
                    <m:sty m:val="p"/>
                  </m:rPr>
                  <m:t>−</m:t>
                </m:r>
              </m:sup>
            </m:sSubSup>
          </m:sub>
        </m:sSub>
        <m:r>
          <m:rPr>
            <m:sty m:val="p"/>
          </m:rPr>
          <m:t>=−</m:t>
        </m:r>
        <m:r>
          <m:rPr/>
          <m:t>1</m:t>
        </m:r>
        <m:r>
          <m:rPr>
            <m:sty m:val="p"/>
          </m:rPr>
          <m:t>,</m:t>
        </m:r>
        <m:r>
          <m:rPr/>
          <m:t>  </m:t>
        </m:r>
        <m:sSub>
          <m:sSubPr/>
          <m:e>
            <m:r>
              <m:rPr/>
              <m:t>q</m:t>
            </m:r>
          </m:e>
          <m:sub>
            <m:sSubSup>
              <m:sSubSupPr/>
              <m:e>
                <m:r>
                  <m:rPr/>
                  <m:t>η</m:t>
                </m:r>
              </m:e>
              <m:sub>
                <m:r>
                  <m:rPr/>
                  <m:t>iℎ</m:t>
                </m:r>
              </m:sub>
              <m:sup>
                <m:r>
                  <m:rPr>
                    <m:sty m:val="p"/>
                  </m:rPr>
                  <m:t>+</m:t>
                </m:r>
              </m:sup>
            </m:sSubSup>
          </m:sub>
        </m:sSub>
        <m:r>
          <m:rPr>
            <m:sty m:val="p"/>
          </m:rPr>
          <m:t>=+</m:t>
        </m:r>
        <m:r>
          <m:rPr/>
          <m:t>1</m:t>
        </m:r>
        <m:r>
          <m:rPr>
            <m:sty m:val="p"/>
          </m:rPr>
          <m:t>,</m:t>
        </m:r>
        <m:r>
          <m:rPr/>
          <m:t>  </m:t>
        </m:r>
        <m:sSub>
          <m:sSubPr/>
          <m:e>
            <m:r>
              <m:rPr/>
              <m:t>q</m:t>
            </m:r>
          </m:e>
          <m:sub>
            <m:r>
              <m:rPr/>
              <m:t>i</m:t>
            </m:r>
            <m:r>
              <m:rPr>
                <m:sty m:val="p"/>
              </m:rPr>
              <m:t>+</m:t>
            </m:r>
            <m:r>
              <m:rPr/>
              <m:t>N</m:t>
            </m:r>
          </m:sub>
        </m:sSub>
        <m:r>
          <m:rPr>
            <m:sty m:val="p"/>
          </m:rPr>
          <m:t>=−</m:t>
        </m:r>
        <m:r>
          <m:rPr/>
          <m:t>1</m:t>
        </m:r>
        <m:r>
          <m:rPr>
            <m:sty m:val="p"/>
          </m:rPr>
          <m:t>.</m:t>
        </m:r>
      </m:oMath>
      <w:r>
        <w:rPr>
          <w:szCs w:val="21"/>
        </w:rPr>
        <w:tab/>
      </w:r>
      <w:r>
        <w:rPr>
          <w:szCs w:val="21"/>
        </w:rPr>
        <w:t>(26b)</w:t>
      </w:r>
    </w:p>
    <w:p w14:paraId="1A3D711C">
      <w:pPr>
        <w:pStyle w:val="170"/>
        <w:ind w:firstLine="482"/>
        <w:rPr>
          <w:szCs w:val="21"/>
          <w:lang w:eastAsia="zh-CN"/>
        </w:rPr>
      </w:pPr>
      <w:r>
        <w:rPr>
          <w:lang w:eastAsia="zh-CN"/>
        </w:rPr>
        <w:t>因此两条运输段可直接复用式（20）—（22）的载荷传播与容量上界。单机任务上限按最终送达责任计数：直送任务计入其执行无人机，接力送任务仅计入出站段无人机，入站段不重复占用任务名额：</w:t>
      </w:r>
    </w:p>
    <w:p w14:paraId="06C8CF57">
      <w:pPr>
        <w:pStyle w:val="3"/>
        <w:tabs>
          <w:tab w:val="center" w:pos="4400"/>
          <w:tab w:val="right" w:pos="8800"/>
        </w:tabs>
        <w:spacing w:before="60" w:after="60" w:line="240" w:lineRule="auto"/>
        <w:jc w:val="left"/>
        <w:rPr>
          <w:szCs w:val="21"/>
        </w:rPr>
      </w:pPr>
      <w:r>
        <w:rPr>
          <w:szCs w:val="21"/>
          <w:lang w:eastAsia="zh-CN"/>
        </w:rPr>
        <w:tab/>
      </w:r>
      <m:oMath>
        <m:nary>
          <m:naryPr>
            <m:chr m:val="∑"/>
            <m:limLoc m:val="undOvr"/>
            <m:supHide m:val="1"/>
          </m:naryPr>
          <m:sub>
            <m:r>
              <m:rPr/>
              <m:t>i</m:t>
            </m:r>
            <m:r>
              <m:rPr>
                <m:sty m:val="p"/>
              </m:rPr>
              <m:t>∈</m:t>
            </m:r>
            <m:r>
              <m:rPr/>
              <m:t>R</m:t>
            </m:r>
          </m:sub>
          <m:sup>
            <m:r>
              <m:rPr/>
              <m:t>​</m:t>
            </m:r>
          </m:sup>
          <m:e>
            <m:sSubSup>
              <m:sSubSupPr/>
              <m:e>
                <m:r>
                  <m:rPr/>
                  <m:t>y</m:t>
                </m:r>
              </m:e>
              <m:sub>
                <m:r>
                  <m:rPr/>
                  <m:t>i</m:t>
                </m:r>
              </m:sub>
              <m:sup>
                <m:r>
                  <m:rPr/>
                  <m:t>k</m:t>
                </m:r>
              </m:sup>
            </m:sSubSup>
          </m:e>
        </m:nary>
        <m:r>
          <m:rPr>
            <m:sty m:val="p"/>
          </m:rPr>
          <m:t>+</m:t>
        </m:r>
        <m:nary>
          <m:naryPr>
            <m:chr m:val="∑"/>
            <m:limLoc m:val="undOvr"/>
            <m:supHide m:val="1"/>
          </m:naryPr>
          <m:sub>
            <m:r>
              <m:rPr/>
              <m:t>i</m:t>
            </m:r>
            <m:r>
              <m:rPr>
                <m:sty m:val="p"/>
              </m:rPr>
              <m:t>∈</m:t>
            </m:r>
            <m:r>
              <m:rPr/>
              <m:t>R</m:t>
            </m:r>
          </m:sub>
          <m:sup>
            <m:r>
              <m:rPr/>
              <m:t>​</m:t>
            </m:r>
          </m:sup>
          <m:e>
            <m:nary>
              <m:naryPr>
                <m:chr m:val="∑"/>
                <m:limLoc m:val="undOvr"/>
                <m:supHide m:val="1"/>
              </m:naryPr>
              <m:sub>
                <m:r>
                  <m:rPr/>
                  <m:t>ℎ</m:t>
                </m:r>
                <m:r>
                  <m:rPr>
                    <m:sty m:val="p"/>
                  </m:rPr>
                  <m:t>∈</m:t>
                </m:r>
                <m:sSubSup>
                  <m:sSubSupPr/>
                  <m:e>
                    <m:r>
                      <m:rPr/>
                      <m:t>V</m:t>
                    </m:r>
                  </m:e>
                  <m:sub>
                    <m:r>
                      <m:rPr/>
                      <m:t>i</m:t>
                    </m:r>
                  </m:sub>
                  <m:sup>
                    <m:r>
                      <m:rPr/>
                      <m:t>r</m:t>
                    </m:r>
                  </m:sup>
                </m:sSubSup>
              </m:sub>
              <m:sup>
                <m:r>
                  <m:rPr/>
                  <m:t>​</m:t>
                </m:r>
              </m:sup>
              <m:e>
                <m:nary>
                  <m:naryPr>
                    <m:chr m:val="∑"/>
                    <m:limLoc m:val="undOvr"/>
                    <m:supHide m:val="1"/>
                  </m:naryPr>
                  <m:sub>
                    <m:r>
                      <m:rPr/>
                      <m:t>p</m:t>
                    </m:r>
                    <m:r>
                      <m:rPr>
                        <m:sty m:val="p"/>
                      </m:rPr>
                      <m:t>∈</m:t>
                    </m:r>
                    <m:r>
                      <m:rPr/>
                      <m:t>D</m:t>
                    </m:r>
                  </m:sub>
                  <m:sup>
                    <m:r>
                      <m:rPr/>
                      <m:t>​</m:t>
                    </m:r>
                  </m:sup>
                  <m:e>
                    <m:sSubSup>
                      <m:sSubSupPr/>
                      <m:e>
                        <m:r>
                          <m:rPr/>
                          <m:t>r</m:t>
                        </m:r>
                      </m:e>
                      <m:sub>
                        <m:r>
                          <m:rPr/>
                          <m:t>iℎ</m:t>
                        </m:r>
                      </m:sub>
                      <m:sup>
                        <m:r>
                          <m:rPr/>
                          <m:t>pk</m:t>
                        </m:r>
                      </m:sup>
                    </m:sSubSup>
                  </m:e>
                </m:nary>
              </m:e>
            </m:nary>
          </m:e>
        </m:nary>
        <m:r>
          <m:rPr>
            <m:sty m:val="p"/>
          </m:rPr>
          <m:t>≤</m:t>
        </m:r>
        <m:r>
          <m:rPr/>
          <m:t>K</m:t>
        </m:r>
        <m:sSub>
          <m:sSubPr/>
          <m:e>
            <m:r>
              <m:rPr/>
              <m:t>u</m:t>
            </m:r>
          </m:e>
          <m:sub>
            <m:r>
              <m:rPr/>
              <m:t>k</m:t>
            </m:r>
          </m:sub>
        </m:sSub>
        <m:r>
          <m:rPr>
            <m:sty m:val="p"/>
          </m:rPr>
          <m:t>,</m:t>
        </m:r>
        <m:r>
          <m:rPr/>
          <m:t>  k</m:t>
        </m:r>
        <m:r>
          <m:rPr>
            <m:sty m:val="p"/>
          </m:rPr>
          <m:t>∈</m:t>
        </m:r>
        <m:r>
          <m:rPr/>
          <m:t>D</m:t>
        </m:r>
        <m:r>
          <m:rPr>
            <m:sty m:val="p"/>
          </m:rPr>
          <m:t>.</m:t>
        </m:r>
      </m:oMath>
      <w:r>
        <w:rPr>
          <w:szCs w:val="21"/>
        </w:rPr>
        <w:tab/>
      </w:r>
      <w:r>
        <w:rPr>
          <w:szCs w:val="21"/>
        </w:rPr>
        <w:t>(26c)</w:t>
      </w:r>
    </w:p>
    <w:p w14:paraId="79181134">
      <w:pPr>
        <w:pStyle w:val="170"/>
        <w:ind w:firstLine="482"/>
        <w:rPr>
          <w:szCs w:val="21"/>
          <w:lang w:eastAsia="zh-CN"/>
        </w:rPr>
      </w:pPr>
      <w:r>
        <w:rPr>
          <w:lang w:eastAsia="zh-CN"/>
        </w:rPr>
        <w:t>交接采用异步的“先卸后取”关系，而非两架无人机同时到达。若接力方案</w:t>
      </w:r>
      <m:oMath>
        <m:sSubSup>
          <m:sSubSupPr/>
          <m:e>
            <m:r>
              <m:rPr/>
              <m:t>r</m:t>
            </m:r>
          </m:e>
          <m:sub>
            <m:r>
              <m:rPr/>
              <m:t>iℎ</m:t>
            </m:r>
          </m:sub>
          <m:sup>
            <m:r>
              <m:rPr/>
              <m:t>k</m:t>
            </m:r>
            <m:r>
              <m:rPr>
                <m:sty m:val="p"/>
              </m:rPr>
              <m:t>ℓ</m:t>
            </m:r>
          </m:sup>
        </m:sSubSup>
        <m:r>
          <m:rPr>
            <m:sty m:val="p"/>
          </m:rPr>
          <m:t>=</m:t>
        </m:r>
        <m:r>
          <m:rPr/>
          <m:t>1</m:t>
        </m:r>
      </m:oMath>
      <w:r>
        <w:rPr>
          <w:lang w:eastAsia="zh-CN"/>
        </w:rPr>
        <w:t>被选中，则出站取货服务时刻不得早于入站卸货服务时刻：</w:t>
      </w:r>
    </w:p>
    <w:p w14:paraId="24E278ED">
      <w:pPr>
        <w:pStyle w:val="3"/>
        <w:tabs>
          <w:tab w:val="center" w:pos="4400"/>
          <w:tab w:val="right" w:pos="8800"/>
        </w:tabs>
        <w:spacing w:before="60" w:after="60" w:line="240" w:lineRule="auto"/>
        <w:jc w:val="left"/>
        <w:rPr>
          <w:szCs w:val="21"/>
        </w:rPr>
      </w:pPr>
      <w:r>
        <w:rPr>
          <w:szCs w:val="21"/>
          <w:lang w:eastAsia="zh-CN"/>
        </w:rPr>
        <w:tab/>
      </w:r>
      <m:oMath>
        <m:sSubSup>
          <m:sSubSupPr/>
          <m:e>
            <m:r>
              <m:rPr/>
              <m:t>r</m:t>
            </m:r>
          </m:e>
          <m:sub>
            <m:r>
              <m:rPr/>
              <m:t>iℎ</m:t>
            </m:r>
          </m:sub>
          <m:sup>
            <m:r>
              <m:rPr/>
              <m:t>k</m:t>
            </m:r>
            <m:r>
              <m:rPr>
                <m:sty m:val="p"/>
              </m:rPr>
              <m:t>ℓ</m:t>
            </m:r>
          </m:sup>
        </m:sSubSup>
        <m:r>
          <m:rPr>
            <m:sty m:val="p"/>
          </m:rPr>
          <m:t>=</m:t>
        </m:r>
        <m:r>
          <m:rPr/>
          <m:t>1 </m:t>
        </m:r>
        <m:r>
          <m:rPr>
            <m:sty m:val="p"/>
          </m:rPr>
          <m:t>⇒</m:t>
        </m:r>
        <m:r>
          <m:rPr/>
          <m:t> </m:t>
        </m:r>
        <m:sSubSup>
          <m:sSubSupPr/>
          <m:e>
            <m:r>
              <m:rPr/>
              <m:t>T</m:t>
            </m:r>
          </m:e>
          <m:sub>
            <m:sSubSup>
              <m:sSubSupPr/>
              <m:e>
                <m:r>
                  <m:rPr/>
                  <m:t>η</m:t>
                </m:r>
              </m:e>
              <m:sub>
                <m:r>
                  <m:rPr/>
                  <m:t>iℎ</m:t>
                </m:r>
              </m:sub>
              <m:sup>
                <m:r>
                  <m:rPr>
                    <m:sty m:val="p"/>
                  </m:rPr>
                  <m:t>+</m:t>
                </m:r>
              </m:sup>
            </m:sSubSup>
          </m:sub>
          <m:sup>
            <m:r>
              <m:rPr>
                <m:sty m:val="p"/>
              </m:rPr>
              <m:t>ℓ</m:t>
            </m:r>
          </m:sup>
        </m:sSubSup>
        <m:r>
          <m:rPr>
            <m:sty m:val="p"/>
          </m:rPr>
          <m:t>≥</m:t>
        </m:r>
        <m:sSubSup>
          <m:sSubSupPr/>
          <m:e>
            <m:r>
              <m:rPr/>
              <m:t>T</m:t>
            </m:r>
          </m:e>
          <m:sub>
            <m:sSubSup>
              <m:sSubSupPr/>
              <m:e>
                <m:r>
                  <m:rPr/>
                  <m:t>η</m:t>
                </m:r>
              </m:e>
              <m:sub>
                <m:r>
                  <m:rPr/>
                  <m:t>iℎ</m:t>
                </m:r>
              </m:sub>
              <m:sup>
                <m:r>
                  <m:rPr>
                    <m:sty m:val="p"/>
                  </m:rPr>
                  <m:t>−</m:t>
                </m:r>
              </m:sup>
            </m:sSubSup>
          </m:sub>
          <m:sup>
            <m:r>
              <m:rPr/>
              <m:t>k</m:t>
            </m:r>
          </m:sup>
        </m:sSubSup>
        <m:r>
          <m:rPr>
            <m:sty m:val="p"/>
          </m:rPr>
          <m:t>,</m:t>
        </m:r>
        <m:r>
          <m:rPr/>
          <m:t>  i</m:t>
        </m:r>
        <m:r>
          <m:rPr>
            <m:sty m:val="p"/>
          </m:rPr>
          <m:t>∈</m:t>
        </m:r>
        <m:r>
          <m:rPr/>
          <m:t>R</m:t>
        </m:r>
        <m:r>
          <m:rPr>
            <m:sty m:val="p"/>
          </m:rPr>
          <m:t>,</m:t>
        </m:r>
        <m:r>
          <m:rPr/>
          <m:t> ℎ</m:t>
        </m:r>
        <m:r>
          <m:rPr>
            <m:sty m:val="p"/>
          </m:rPr>
          <m:t>∈</m:t>
        </m:r>
        <m:sSubSup>
          <m:sSubSupPr/>
          <m:e>
            <m:r>
              <m:rPr/>
              <m:t>V</m:t>
            </m:r>
          </m:e>
          <m:sub>
            <m:r>
              <m:rPr/>
              <m:t>i</m:t>
            </m:r>
          </m:sub>
          <m:sup>
            <m:r>
              <m:rPr/>
              <m:t>r</m:t>
            </m:r>
          </m:sup>
        </m:sSubSup>
        <m:r>
          <m:rPr>
            <m:sty m:val="p"/>
          </m:rPr>
          <m:t>,</m:t>
        </m:r>
        <m:r>
          <m:rPr/>
          <m:t> k</m:t>
        </m:r>
        <m:r>
          <m:rPr>
            <m:sty m:val="p"/>
          </m:rPr>
          <m:t>,ℓ∈</m:t>
        </m:r>
        <m:r>
          <m:rPr/>
          <m:t>D</m:t>
        </m:r>
        <m:r>
          <m:rPr>
            <m:sty m:val="p"/>
          </m:rPr>
          <m:t>.</m:t>
        </m:r>
      </m:oMath>
      <w:r>
        <w:rPr>
          <w:szCs w:val="21"/>
        </w:rPr>
        <w:tab/>
      </w:r>
      <w:r>
        <w:rPr>
          <w:szCs w:val="21"/>
        </w:rPr>
        <w:t>(26d)</w:t>
      </w:r>
    </w:p>
    <w:p w14:paraId="015F65BF">
      <w:pPr>
        <w:pStyle w:val="170"/>
        <w:ind w:firstLine="482"/>
        <w:rPr>
          <w:szCs w:val="21"/>
          <w:lang w:eastAsia="zh-CN"/>
        </w:rPr>
      </w:pPr>
      <w:r>
        <w:rPr>
          <w:lang w:eastAsia="zh-CN"/>
        </w:rPr>
        <w:t>式（26d）与无人机</w:t>
      </w:r>
      <m:oMath>
        <m:r>
          <m:rPr>
            <m:sty m:val="p"/>
          </m:rPr>
          <m:t>ℓ</m:t>
        </m:r>
      </m:oMath>
      <w:r>
        <w:rPr>
          <w:lang w:eastAsia="zh-CN"/>
        </w:rPr>
        <w:t>自身路线的时间传播共同决定取货服务时刻：末程无人机先到时在站等待，包裹先到时则在站内缓存。无论采用哪种方式，准时性与逾期时长均按最终送达计算：</w:t>
      </w:r>
    </w:p>
    <w:p w14:paraId="1CDB0B13">
      <w:pPr>
        <w:pStyle w:val="3"/>
        <w:tabs>
          <w:tab w:val="center" w:pos="4400"/>
          <w:tab w:val="right" w:pos="8800"/>
        </w:tabs>
        <w:spacing w:before="60" w:after="60" w:line="240" w:lineRule="auto"/>
        <w:jc w:val="left"/>
        <w:rPr>
          <w:szCs w:val="21"/>
        </w:rPr>
      </w:pPr>
      <w:r>
        <w:rPr>
          <w:szCs w:val="21"/>
          <w:lang w:eastAsia="zh-CN"/>
        </w:rPr>
        <w:tab/>
      </w:r>
      <m:oMath>
        <m:sSubSup>
          <m:sSubSupPr/>
          <m:e>
            <m:r>
              <m:rPr/>
              <m:t>y</m:t>
            </m:r>
          </m:e>
          <m:sub>
            <m:r>
              <m:rPr/>
              <m:t>i</m:t>
            </m:r>
          </m:sub>
          <m:sup>
            <m:r>
              <m:rPr/>
              <m:t>k</m:t>
            </m:r>
          </m:sup>
        </m:sSubSup>
        <m:r>
          <m:rPr>
            <m:sty m:val="p"/>
          </m:rPr>
          <m:t>=</m:t>
        </m:r>
        <m:r>
          <m:rPr/>
          <m:t>1</m:t>
        </m:r>
        <m:r>
          <m:rPr>
            <m:sty m:val="p"/>
          </m:rPr>
          <m:t>⇒</m:t>
        </m:r>
        <m:sSub>
          <m:sSubPr/>
          <m:e>
            <m:r>
              <m:rPr/>
              <m:t>C</m:t>
            </m:r>
          </m:e>
          <m:sub>
            <m:r>
              <m:rPr/>
              <m:t>i</m:t>
            </m:r>
          </m:sub>
        </m:sSub>
        <m:r>
          <m:rPr>
            <m:sty m:val="p"/>
          </m:rPr>
          <m:t>=</m:t>
        </m:r>
        <m:sSubSup>
          <m:sSubSupPr/>
          <m:e>
            <m:r>
              <m:rPr/>
              <m:t>T</m:t>
            </m:r>
          </m:e>
          <m:sub>
            <m:r>
              <m:rPr/>
              <m:t>i</m:t>
            </m:r>
            <m:r>
              <m:rPr>
                <m:sty m:val="p"/>
              </m:rPr>
              <m:t>+</m:t>
            </m:r>
            <m:r>
              <m:rPr/>
              <m:t>N</m:t>
            </m:r>
          </m:sub>
          <m:sup>
            <m:r>
              <m:rPr/>
              <m:t>k</m:t>
            </m:r>
          </m:sup>
        </m:sSubSup>
        <m:r>
          <m:rPr>
            <m:sty m:val="p"/>
          </m:rPr>
          <m:t>,</m:t>
        </m:r>
        <m:r>
          <m:rPr/>
          <m:t>  </m:t>
        </m:r>
        <m:sSubSup>
          <m:sSubSupPr/>
          <m:e>
            <m:r>
              <m:rPr/>
              <m:t>r</m:t>
            </m:r>
          </m:e>
          <m:sub>
            <m:r>
              <m:rPr/>
              <m:t>iℎ</m:t>
            </m:r>
          </m:sub>
          <m:sup>
            <m:r>
              <m:rPr/>
              <m:t>k</m:t>
            </m:r>
            <m:r>
              <m:rPr>
                <m:sty m:val="p"/>
              </m:rPr>
              <m:t>ℓ</m:t>
            </m:r>
          </m:sup>
        </m:sSubSup>
        <m:r>
          <m:rPr>
            <m:sty m:val="p"/>
          </m:rPr>
          <m:t>=</m:t>
        </m:r>
        <m:r>
          <m:rPr/>
          <m:t>1</m:t>
        </m:r>
        <m:r>
          <m:rPr>
            <m:sty m:val="p"/>
          </m:rPr>
          <m:t>⇒</m:t>
        </m:r>
        <m:sSub>
          <m:sSubPr/>
          <m:e>
            <m:r>
              <m:rPr/>
              <m:t>C</m:t>
            </m:r>
          </m:e>
          <m:sub>
            <m:r>
              <m:rPr/>
              <m:t>i</m:t>
            </m:r>
          </m:sub>
        </m:sSub>
        <m:r>
          <m:rPr>
            <m:sty m:val="p"/>
          </m:rPr>
          <m:t>=</m:t>
        </m:r>
        <m:sSubSup>
          <m:sSubSupPr/>
          <m:e>
            <m:r>
              <m:rPr/>
              <m:t>T</m:t>
            </m:r>
          </m:e>
          <m:sub>
            <m:r>
              <m:rPr/>
              <m:t>i</m:t>
            </m:r>
            <m:r>
              <m:rPr>
                <m:sty m:val="p"/>
              </m:rPr>
              <m:t>+</m:t>
            </m:r>
            <m:r>
              <m:rPr/>
              <m:t>N</m:t>
            </m:r>
          </m:sub>
          <m:sup>
            <m:r>
              <m:rPr>
                <m:sty m:val="p"/>
              </m:rPr>
              <m:t>ℓ</m:t>
            </m:r>
          </m:sup>
        </m:sSubSup>
        <m:r>
          <m:rPr>
            <m:sty m:val="p"/>
          </m:rPr>
          <m:t>,</m:t>
        </m:r>
        <m:r>
          <m:rPr/>
          <m:t>  </m:t>
        </m:r>
        <m:sSub>
          <m:sSubPr/>
          <m:e>
            <m:r>
              <m:rPr/>
              <m:t>L</m:t>
            </m:r>
          </m:e>
          <m:sub>
            <m:r>
              <m:rPr/>
              <m:t>i</m:t>
            </m:r>
          </m:sub>
        </m:sSub>
        <m:r>
          <m:rPr>
            <m:sty m:val="p"/>
          </m:rPr>
          <m:t>=max{</m:t>
        </m:r>
        <m:r>
          <m:rPr/>
          <m:t>0</m:t>
        </m:r>
        <m:r>
          <m:rPr>
            <m:sty m:val="p"/>
          </m:rPr>
          <m:t>,</m:t>
        </m:r>
        <m:sSub>
          <m:sSubPr/>
          <m:e>
            <m:r>
              <m:rPr/>
              <m:t>C</m:t>
            </m:r>
          </m:e>
          <m:sub>
            <m:r>
              <m:rPr/>
              <m:t>i</m:t>
            </m:r>
          </m:sub>
        </m:sSub>
        <m:r>
          <m:rPr>
            <m:sty m:val="p"/>
          </m:rPr>
          <m:t>−</m:t>
        </m:r>
        <m:sSub>
          <m:sSubPr/>
          <m:e>
            <m:r>
              <m:rPr/>
              <m:t>T</m:t>
            </m:r>
          </m:e>
          <m:sub>
            <m:r>
              <m:rPr>
                <m:sty m:val="p"/>
              </m:rPr>
              <m:t>max,</m:t>
            </m:r>
            <m:r>
              <m:rPr/>
              <m:t>i</m:t>
            </m:r>
          </m:sub>
        </m:sSub>
        <m:r>
          <m:rPr>
            <m:sty m:val="p"/>
          </m:rPr>
          <m:t>}.</m:t>
        </m:r>
      </m:oMath>
      <w:r>
        <w:rPr>
          <w:szCs w:val="21"/>
        </w:rPr>
        <w:tab/>
      </w:r>
      <w:r>
        <w:rPr>
          <w:szCs w:val="21"/>
        </w:rPr>
        <w:t>(26e)</w:t>
      </w:r>
    </w:p>
    <w:p w14:paraId="69FD0D88">
      <w:pPr>
        <w:pStyle w:val="170"/>
        <w:ind w:firstLine="482"/>
        <w:rPr>
          <w:szCs w:val="21"/>
          <w:lang w:eastAsia="zh-CN"/>
        </w:rPr>
      </w:pPr>
      <w:r>
        <w:rPr>
          <w:lang w:eastAsia="zh-CN"/>
        </w:rPr>
        <w:t>完整候选解的时序由“各无人机路线先后边”和“卸货—取货交接边”共同构成优先图。该图必须无环；若出现环，则意味着多架无人机相互等待而形成死锁，候选解判为不可行：</w:t>
      </w:r>
    </w:p>
    <w:p w14:paraId="6C2024E6">
      <w:pPr>
        <w:pStyle w:val="3"/>
        <w:tabs>
          <w:tab w:val="center" w:pos="4400"/>
          <w:tab w:val="right" w:pos="8800"/>
        </w:tabs>
        <w:spacing w:before="60" w:after="60" w:line="240" w:lineRule="auto"/>
        <w:jc w:val="left"/>
        <w:rPr>
          <w:szCs w:val="21"/>
        </w:rPr>
      </w:pPr>
      <w:r>
        <w:rPr>
          <w:szCs w:val="21"/>
          <w:lang w:eastAsia="zh-CN"/>
        </w:rPr>
        <w:tab/>
      </w:r>
      <m:oMath>
        <m:r>
          <m:rPr>
            <m:sty m:val="p"/>
          </m:rPr>
          <m:t>acyclic</m:t>
        </m:r>
        <m:d>
          <m:dPr>
            <m:sepChr m:val=""/>
          </m:dPr>
          <m:e>
            <m:sSup>
              <m:sSupPr/>
              <m:e>
                <m:r>
                  <m:rPr>
                    <m:sty m:val="p"/>
                    <m:scr m:val="script"/>
                  </m:rPr>
                  <m:t>G</m:t>
                </m:r>
              </m:e>
              <m:sup>
                <m:r>
                  <m:rPr>
                    <m:sty m:val="p"/>
                  </m:rPr>
                  <m:t>pre</m:t>
                </m:r>
              </m:sup>
            </m:sSup>
          </m:e>
        </m:d>
        <m:r>
          <m:rPr>
            <m:sty m:val="p"/>
          </m:rPr>
          <m:t>=</m:t>
        </m:r>
        <m:r>
          <m:rPr/>
          <m:t>1</m:t>
        </m:r>
        <m:r>
          <m:rPr>
            <m:sty m:val="p"/>
          </m:rPr>
          <m:t>,</m:t>
        </m:r>
        <m:r>
          <m:rPr/>
          <m:t>  </m:t>
        </m:r>
        <m:sSup>
          <m:sSupPr/>
          <m:e>
            <m:r>
              <m:rPr>
                <m:sty m:val="p"/>
                <m:scr m:val="script"/>
              </m:rPr>
              <m:t>ℰ</m:t>
            </m:r>
          </m:e>
          <m:sup>
            <m:r>
              <m:rPr>
                <m:sty m:val="p"/>
              </m:rPr>
              <m:t>pre</m:t>
            </m:r>
          </m:sup>
        </m:sSup>
        <m:r>
          <m:rPr>
            <m:sty m:val="p"/>
          </m:rPr>
          <m:t>=</m:t>
        </m:r>
        <m:sSup>
          <m:sSupPr/>
          <m:e>
            <m:r>
              <m:rPr>
                <m:sty m:val="p"/>
                <m:scr m:val="script"/>
              </m:rPr>
              <m:t>ℰ</m:t>
            </m:r>
          </m:e>
          <m:sup>
            <m:r>
              <m:rPr>
                <m:sty m:val="p"/>
              </m:rPr>
              <m:t>route</m:t>
            </m:r>
          </m:sup>
        </m:sSup>
        <m:r>
          <m:rPr>
            <m:sty m:val="p"/>
          </m:rPr>
          <m:t>∪</m:t>
        </m:r>
        <m:sSup>
          <m:sSupPr/>
          <m:e>
            <m:r>
              <m:rPr>
                <m:sty m:val="p"/>
                <m:scr m:val="script"/>
              </m:rPr>
              <m:t>ℰ</m:t>
            </m:r>
          </m:e>
          <m:sup>
            <m:r>
              <m:rPr>
                <m:sty m:val="p"/>
              </m:rPr>
              <m:t>handoff</m:t>
            </m:r>
          </m:sup>
        </m:sSup>
        <m:r>
          <m:rPr>
            <m:sty m:val="p"/>
          </m:rPr>
          <m:t>.</m:t>
        </m:r>
      </m:oMath>
      <w:r>
        <w:rPr>
          <w:szCs w:val="21"/>
        </w:rPr>
        <w:tab/>
      </w:r>
      <w:r>
        <w:rPr>
          <w:szCs w:val="21"/>
        </w:rPr>
        <w:t>(26f)</w:t>
      </w:r>
    </w:p>
    <w:p w14:paraId="39E6A999">
      <w:pPr>
        <w:pStyle w:val="170"/>
        <w:ind w:firstLine="482"/>
        <w:rPr>
          <w:szCs w:val="21"/>
          <w:lang w:eastAsia="zh-CN"/>
        </w:rPr>
      </w:pPr>
      <w:r>
        <w:rPr>
          <w:lang w:eastAsia="zh-CN"/>
        </w:rPr>
        <w:t>中继站不设置库存容量与长期库存状态，只记录同一任务的卸货先于取货；其是否部署无人机不影响交接可用性。求解时，直送与各候选中继站的接力送方案均进入同一破坏—修复搜索空间，并统一按式（3）的三层字典序目标比较。当全部</w:t>
      </w:r>
      <m:oMath>
        <m:sSubSup>
          <m:sSubSupPr/>
          <m:e>
            <m:r>
              <m:rPr/>
              <m:t>r</m:t>
            </m:r>
          </m:e>
          <m:sub>
            <m:r>
              <m:rPr/>
              <m:t>iℎ</m:t>
            </m:r>
          </m:sub>
          <m:sup>
            <m:r>
              <m:rPr/>
              <m:t>k</m:t>
            </m:r>
            <m:r>
              <m:rPr>
                <m:sty m:val="p"/>
              </m:rPr>
              <m:t>ℓ</m:t>
            </m:r>
          </m:sup>
        </m:sSubSup>
        <m:r>
          <m:rPr>
            <m:sty m:val="p"/>
          </m:rPr>
          <m:t>=</m:t>
        </m:r>
        <m:r>
          <m:rPr/>
          <m:t>0</m:t>
        </m:r>
      </m:oMath>
      <w:r>
        <w:rPr>
          <w:lang w:eastAsia="zh-CN"/>
        </w:rPr>
        <w:t>时，模型退化为基础直送结构；当进一步令</w:t>
      </w:r>
      <m:oMath>
        <m:sSub>
          <m:sSubPr/>
          <m:e>
            <m:r>
              <m:rPr/>
              <m:t>o</m:t>
            </m:r>
          </m:e>
          <m:sub>
            <m:r>
              <m:rPr/>
              <m:t>k</m:t>
            </m:r>
          </m:sub>
        </m:sSub>
        <m:r>
          <m:rPr>
            <m:sty m:val="p"/>
          </m:rPr>
          <m:t>=</m:t>
        </m:r>
        <m:r>
          <m:rPr/>
          <m:t>0</m:t>
        </m:r>
      </m:oMath>
      <w:r>
        <w:rPr>
          <w:lang w:eastAsia="zh-CN"/>
        </w:rPr>
        <w:t>时，退化为全部无人机从共同调度中心出发的情形。</w:t>
      </w:r>
    </w:p>
    <w:p w14:paraId="2E64918C">
      <w:pPr>
        <w:pStyle w:val="4"/>
        <w:spacing w:before="240" w:after="120" w:line="240" w:lineRule="auto"/>
        <w:jc w:val="left"/>
        <w:rPr>
          <w:color w:val="auto"/>
          <w:sz w:val="21"/>
          <w:szCs w:val="21"/>
          <w:lang w:eastAsia="zh-CN"/>
        </w:rPr>
      </w:pPr>
      <w:r>
        <w:rPr>
          <w:szCs w:val="21"/>
          <w:lang w:eastAsia="zh-CN"/>
        </w:rPr>
        <w:t>3.4 有效不等式</w:t>
      </w:r>
    </w:p>
    <w:p w14:paraId="6330636D">
      <w:pPr>
        <w:pStyle w:val="170"/>
        <w:ind w:firstLine="482"/>
        <w:rPr>
          <w:szCs w:val="21"/>
          <w:lang w:eastAsia="zh-CN"/>
        </w:rPr>
      </w:pPr>
      <w:r>
        <w:rPr>
          <w:lang w:eastAsia="zh-CN"/>
        </w:rPr>
        <w:t>基础模型的时间传播与载荷传播均含充分大常数，其线性松弛仍可能出现与实际路径结构不一致的分数解。借鉴Meng et al.[13]的结构强化思路，本文保留两类与基础直接服务结构相关的有效不等式；显然不可行弧已在候选弧集合构造阶段剔除，不再重复列示。接力任务不使用上述直接服务不等式剪枝，其交接时序按照3.3.7的全局DAG规则校验。</w:t>
      </w:r>
    </w:p>
    <w:p w14:paraId="526335F2">
      <w:pPr>
        <w:pStyle w:val="5"/>
        <w:spacing w:before="180" w:after="80" w:line="240" w:lineRule="auto"/>
        <w:jc w:val="left"/>
        <w:rPr>
          <w:color w:val="auto"/>
          <w:szCs w:val="21"/>
          <w:lang w:eastAsia="zh-CN"/>
        </w:rPr>
      </w:pPr>
      <w:r>
        <w:rPr>
          <w:szCs w:val="21"/>
          <w:lang w:eastAsia="zh-CN"/>
        </w:rPr>
        <w:t>3.4.1 容量诱导的连续取件不等式</w:t>
      </w:r>
    </w:p>
    <w:p w14:paraId="43196D97">
      <w:pPr>
        <w:pStyle w:val="170"/>
        <w:ind w:firstLine="482"/>
        <w:rPr>
          <w:szCs w:val="21"/>
          <w:lang w:eastAsia="zh-CN"/>
        </w:rPr>
      </w:pPr>
      <w:r>
        <w:rPr>
          <w:lang w:eastAsia="zh-CN"/>
        </w:rPr>
        <w:t xml:space="preserve">本文设定无人机最大同时载货量为2件，且每次取件使在载包裹数量增加1。因此，任一可行路径均不可能连续访问三个不同的取件节点。对于任意两两不同的取件节点 </w:t>
      </w:r>
      <w:r>
        <w:rPr>
          <w:rFonts w:ascii="Cambria Math" w:hAnsi="Cambria Math" w:eastAsia="Cambria Math" w:cs="Cambria Math"/>
          <w:i/>
          <w:lang w:eastAsia="zh-CN"/>
        </w:rPr>
        <w:t>i</w:t>
      </w:r>
      <w:r>
        <w:rPr>
          <w:lang w:eastAsia="zh-CN"/>
        </w:rPr>
        <w:t>、</w:t>
      </w:r>
      <w:r>
        <w:rPr>
          <w:rFonts w:ascii="Cambria Math" w:hAnsi="Cambria Math" w:eastAsia="Cambria Math" w:cs="Cambria Math"/>
          <w:i/>
          <w:lang w:eastAsia="zh-CN"/>
        </w:rPr>
        <w:t>j</w:t>
      </w:r>
      <w:r>
        <w:rPr>
          <w:lang w:eastAsia="zh-CN"/>
        </w:rPr>
        <w:t>、</w:t>
      </w:r>
      <w:r>
        <w:rPr>
          <w:rFonts w:ascii="Cambria Math" w:hAnsi="Cambria Math" w:eastAsia="Cambria Math" w:cs="Cambria Math"/>
          <w:i/>
          <w:lang w:eastAsia="zh-CN"/>
        </w:rPr>
        <w:t>h</w:t>
      </w:r>
      <w:r>
        <w:rPr>
          <w:lang w:eastAsia="zh-CN"/>
        </w:rPr>
        <w:t xml:space="preserve"> 以及无人机 </w:t>
      </w:r>
      <w:r>
        <w:rPr>
          <w:rFonts w:ascii="Cambria Math" w:hAnsi="Cambria Math" w:eastAsia="Cambria Math" w:cs="Cambria Math"/>
          <w:i/>
          <w:lang w:eastAsia="zh-CN"/>
        </w:rPr>
        <w:t>k</w:t>
      </w:r>
      <w:r>
        <w:rPr>
          <w:lang w:eastAsia="zh-CN"/>
        </w:rPr>
        <w:t>，有</w:t>
      </w:r>
    </w:p>
    <w:p w14:paraId="4BEF4F26">
      <w:pPr>
        <w:pStyle w:val="3"/>
        <w:tabs>
          <w:tab w:val="center" w:pos="4400"/>
          <w:tab w:val="right" w:pos="8800"/>
        </w:tabs>
        <w:spacing w:before="60" w:after="60" w:line="240" w:lineRule="auto"/>
        <w:jc w:val="left"/>
        <w:rPr>
          <w:szCs w:val="21"/>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jℎ</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≤1,  k∈D.</m:t>
        </m:r>
      </m:oMath>
      <w:r>
        <w:rPr>
          <w:szCs w:val="21"/>
        </w:rPr>
        <w:tab/>
      </w:r>
      <w:r>
        <w:rPr>
          <w:szCs w:val="21"/>
        </w:rPr>
        <w:t>(27)</w:t>
      </w:r>
    </w:p>
    <w:p w14:paraId="012955C4">
      <w:pPr>
        <w:pStyle w:val="170"/>
        <w:ind w:firstLine="482"/>
        <w:rPr>
          <w:szCs w:val="21"/>
          <w:lang w:eastAsia="zh-CN"/>
        </w:rPr>
      </w:pPr>
      <w:r>
        <w:rPr>
          <w:szCs w:val="21"/>
          <w:lang w:eastAsia="zh-CN"/>
        </w:rPr>
        <w:t>若式（27）被违反，则第三次连续取件后载荷至少增加3件，必然超过容量上限2。该不等式不排除任何整数可行解，却能绕过载荷传播中的充分大常数，直接收紧路径变量的线性松弛。</w:t>
      </w:r>
    </w:p>
    <w:p w14:paraId="29CBE585">
      <w:pPr>
        <w:pStyle w:val="5"/>
        <w:spacing w:before="180" w:after="80" w:line="240" w:lineRule="auto"/>
        <w:jc w:val="left"/>
        <w:rPr>
          <w:color w:val="auto"/>
          <w:szCs w:val="21"/>
          <w:lang w:eastAsia="zh-CN"/>
        </w:rPr>
      </w:pPr>
      <w:r>
        <w:rPr>
          <w:szCs w:val="21"/>
          <w:lang w:eastAsia="zh-CN"/>
        </w:rPr>
        <w:t>3.4.2 成对任务准时服务不相容不等式</w:t>
      </w:r>
    </w:p>
    <w:p w14:paraId="0E30E454">
      <w:pPr>
        <w:pStyle w:val="170"/>
        <w:ind w:firstLine="482"/>
        <w:rPr>
          <w:szCs w:val="21"/>
          <w:lang w:eastAsia="zh-CN"/>
        </w:rPr>
      </w:pPr>
      <w:r>
        <w:rPr>
          <w:lang w:eastAsia="zh-CN"/>
        </w:rPr>
        <w:t xml:space="preserve">进一步考虑两个不同任务 </w:t>
      </w:r>
      <w:r>
        <w:rPr>
          <w:rFonts w:ascii="Cambria Math" w:hAnsi="Cambria Math" w:eastAsia="Cambria Math" w:cs="Cambria Math"/>
          <w:i/>
          <w:lang w:eastAsia="zh-CN"/>
        </w:rPr>
        <w:t>i</w:t>
      </w:r>
      <w:r>
        <w:rPr>
          <w:lang w:eastAsia="zh-CN"/>
        </w:rPr>
        <w:t xml:space="preserve"> 和 </w:t>
      </w:r>
      <w:r>
        <w:rPr>
          <w:rFonts w:ascii="Cambria Math" w:hAnsi="Cambria Math" w:eastAsia="Cambria Math" w:cs="Cambria Math"/>
          <w:i/>
          <w:lang w:eastAsia="zh-CN"/>
        </w:rPr>
        <w:t>j</w:t>
      </w:r>
      <w:r>
        <w:rPr>
          <w:lang w:eastAsia="zh-CN"/>
        </w:rPr>
        <w:t>。由于每项任务均满足严格的先取后送关系，仅考虑这两个任务时，四个服务节点共有6种满足任务内部优先关系的合法相对访问序列。对每一种序列，按照无人机从初始节点出发并以欧氏距离依次访问节点，计算两个任务能够实现的最早送达时刻。</w:t>
      </w:r>
    </w:p>
    <w:p w14:paraId="04B434A9">
      <w:pPr>
        <w:pStyle w:val="170"/>
        <w:ind w:firstLine="482"/>
        <w:rPr>
          <w:szCs w:val="21"/>
          <w:lang w:eastAsia="zh-CN"/>
        </w:rPr>
      </w:pPr>
      <w:r>
        <w:rPr>
          <w:lang w:eastAsia="zh-CN"/>
        </w:rPr>
        <w:t xml:space="preserve">若在全部6种合法序列中，至少有一个任务无法在其最晚送达时刻之前完成，则称任务 </w:t>
      </w:r>
      <w:r>
        <w:rPr>
          <w:rFonts w:ascii="Cambria Math" w:hAnsi="Cambria Math" w:eastAsia="Cambria Math" w:cs="Cambria Math"/>
          <w:i/>
          <w:lang w:eastAsia="zh-CN"/>
        </w:rPr>
        <w:t>i</w:t>
      </w:r>
      <w:r>
        <w:rPr>
          <w:lang w:eastAsia="zh-CN"/>
        </w:rPr>
        <w:t xml:space="preserve"> 与任务 </w:t>
      </w:r>
      <w:r>
        <w:rPr>
          <w:rFonts w:ascii="Cambria Math" w:hAnsi="Cambria Math" w:eastAsia="Cambria Math" w:cs="Cambria Math"/>
          <w:i/>
          <w:lang w:eastAsia="zh-CN"/>
        </w:rPr>
        <w:t>j</w:t>
      </w:r>
      <w:r>
        <w:rPr>
          <w:lang w:eastAsia="zh-CN"/>
        </w:rPr>
        <w:t xml:space="preserve"> 准时服务不相容，并将所有此类任务对组成集合 </w:t>
      </w:r>
      <w:r>
        <w:rPr>
          <w:rFonts w:ascii="Cambria Math" w:hAnsi="Cambria Math" w:eastAsia="Cambria Math" w:cs="Cambria Math"/>
          <w:i/>
        </w:rPr>
        <w:t>Ω</w:t>
      </w:r>
      <w:r>
        <w:rPr>
          <w:lang w:eastAsia="zh-CN"/>
        </w:rPr>
        <w:t xml:space="preserve">。由于欧氏距离满足三角不等式，在两任务序列中插入其他任务只会使相应送达时刻不早于上述最早送达时刻。因此，对于任意不相容任务对和任意无人机 </w:t>
      </w:r>
      <w:r>
        <w:rPr>
          <w:rFonts w:ascii="Cambria Math" w:hAnsi="Cambria Math" w:eastAsia="Cambria Math" w:cs="Cambria Math"/>
          <w:i/>
          <w:lang w:eastAsia="zh-CN"/>
        </w:rPr>
        <w:t>k</w:t>
      </w:r>
      <w:r>
        <w:rPr>
          <w:lang w:eastAsia="zh-CN"/>
        </w:rPr>
        <w:t>，有</w:t>
      </w:r>
    </w:p>
    <w:p w14:paraId="1054F3D4">
      <w:pPr>
        <w:pStyle w:val="3"/>
        <w:tabs>
          <w:tab w:val="center" w:pos="4400"/>
          <w:tab w:val="right" w:pos="8800"/>
        </w:tabs>
        <w:spacing w:before="60" w:after="60" w:line="240" w:lineRule="auto"/>
        <w:jc w:val="left"/>
        <w:rPr>
          <w:szCs w:val="21"/>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
          <m:sSubPr>
            <m:ctrlPr>
              <w:rPr>
                <w:rFonts w:ascii="Cambria Math" w:hAnsi="Cambria Math"/>
                <w:szCs w:val="21"/>
              </w:rPr>
            </m:ctrlPr>
          </m:sSubPr>
          <m:e>
            <m:r>
              <m:rPr/>
              <w:rPr>
                <w:rFonts w:ascii="Cambria Math" w:hAnsi="Cambria Math" w:eastAsia="Cambria Math" w:cs="Cambria Math"/>
                <w:szCs w:val="21"/>
              </w:rPr>
              <m:t>z</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Sub>
        <m:r>
          <m:rPr/>
          <w:rPr>
            <w:rFonts w:ascii="Cambria Math" w:hAnsi="Cambria Math" w:eastAsia="Cambria Math" w:cs="Cambria Math"/>
            <w:szCs w:val="21"/>
          </w:rPr>
          <m:t>+</m:t>
        </m:r>
        <m:sSub>
          <m:sSubPr>
            <m:ctrlPr>
              <w:rPr>
                <w:rFonts w:ascii="Cambria Math" w:hAnsi="Cambria Math"/>
                <w:szCs w:val="21"/>
              </w:rPr>
            </m:ctrlPr>
          </m:sSubPr>
          <m:e>
            <m:r>
              <m:rPr/>
              <w:rPr>
                <w:rFonts w:ascii="Cambria Math" w:hAnsi="Cambria Math" w:eastAsia="Cambria Math" w:cs="Cambria Math"/>
                <w:szCs w:val="21"/>
              </w:rPr>
              <m:t>z</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Sub>
        <m:r>
          <m:rPr/>
          <w:rPr>
            <w:rFonts w:ascii="Cambria Math" w:hAnsi="Cambria Math" w:eastAsia="Cambria Math" w:cs="Cambria Math"/>
            <w:szCs w:val="21"/>
          </w:rPr>
          <m:t>≤3,  k∈D.</m:t>
        </m:r>
      </m:oMath>
      <w:r>
        <w:rPr>
          <w:szCs w:val="21"/>
        </w:rPr>
        <w:tab/>
      </w:r>
      <w:r>
        <w:rPr>
          <w:szCs w:val="21"/>
        </w:rPr>
        <w:t>(28)</w:t>
      </w:r>
    </w:p>
    <w:p w14:paraId="261ABF3B">
      <w:pPr>
        <w:pStyle w:val="170"/>
        <w:ind w:firstLine="482"/>
        <w:rPr>
          <w:lang w:eastAsia="zh-CN"/>
        </w:rPr>
      </w:pPr>
      <w:r>
        <w:rPr>
          <w:lang w:eastAsia="zh-CN"/>
        </w:rPr>
        <w:t>式（28）表明，当任务i与任务j均要求准时完成时，两项任务不能同时分配给同一架无人机。该关系仅用于公共原点Direct模型强化；当前ALNS不调用，异地home需重定义。对于启用固定中继站接力的任务对，式（28）不直接用于剪枝，以避免排除跨无人机接力形成的可行方案。</w:t>
      </w:r>
    </w:p>
    <w:p>
      <w:pPr>
        <w:pStyle w:val="2"/>
        <w:keepNext/>
        <w:pageBreakBefore/>
        <w:widowControl/>
      </w:pPr>
      <w:r>
        <w:rPr>
          <w:rFonts w:ascii="Times New Roman" w:hAnsi="Times New Roman" w:cs="Times New Roman" w:eastAsia="Heiti SC"/>
          <w:b/>
        </w:rPr>
        <w:t>4 求解方法</w:t>
      </w:r>
    </w:p>
    <w:p>
      <w:pPr>
        <w:keepNext w:val="0"/>
        <w:widowControl/>
      </w:pPr>
      <w:r>
        <w:rPr>
          <w:rFonts w:ascii="Times New Roman" w:hAnsi="Times New Roman" w:cs="Times New Roman" w:eastAsia="Songti SC"/>
          <w:b w:val="0"/>
        </w:rPr>
        <w:t>本文采用regret-2构造完整可行初始解，以单一自适应大邻域搜索（adaptive large neighborhood search, ALNS）优化任务分配和访问顺序，并在多机场景中加入固定中继站接力与需求驱动预部署。候选解从构造、搜索到最终校验始终按第3章定义的（逾期任务数、总逾期时长、总航程）严格字典序比较，不以加权和改变服务优先级。</w:t>
      </w:r>
    </w:p>
    <w:p>
      <w:pPr>
        <w:pStyle w:val="4"/>
        <w:keepNext/>
        <w:widowControl/>
      </w:pPr>
      <w:r>
        <w:rPr>
          <w:rFonts w:ascii="Times New Roman" w:hAnsi="Times New Roman" w:cs="Times New Roman" w:eastAsia="Heiti SC"/>
          <w:b/>
        </w:rPr>
        <w:t>4.1 初始解构造与分层可行性控制</w:t>
      </w:r>
    </w:p>
    <w:p>
      <w:pPr>
        <w:keepNext w:val="0"/>
        <w:widowControl/>
      </w:pPr>
      <w:r>
        <w:rPr>
          <w:rFonts w:ascii="Times New Roman" w:hAnsi="Times New Roman" w:cs="Times New Roman" w:eastAsia="Songti SC"/>
          <w:b w:val="0"/>
        </w:rPr>
        <w:t>初始解既要在较短时间内覆盖全部任务，也要避免过早固化任务归属。构造开始时，所有任务均以直送计划进入候选集合；原点场景中各架无人机从调度中心出发，Station场景则先固定每条路线对应的实际起点home。</w:t>
      </w:r>
    </w:p>
    <w:p>
      <w:pPr>
        <w:keepNext w:val="0"/>
        <w:widowControl/>
      </w:pPr>
      <w:r>
        <w:rPr>
          <w:rFonts w:ascii="Times New Roman" w:hAnsi="Times New Roman" w:cs="Times New Roman" w:eastAsia="Songti SC"/>
          <w:b w:val="0"/>
        </w:rPr>
        <w:t>原点场景直接对尚未插入的原始任务执行regret-2；Station场景先为每架无人机播种一个取件点最接近其home的任务，再对剩余任务执行regret-2。regret-2枚举满足先取后送的成对插入位置，分别取得最佳与次佳可行插入结果，并优先处理失去当前最佳位置后代价上升最大的任务。插入增量按三层得分比较，同时维护容量、单机任务上限和取送配对；异地起点场景的首段距离由实际home到首个访问节点计算。构造结束后，独立完整评价器再次验证任务唯一服务、容量、先取后送与全局接力时序。</w:t>
      </w:r>
    </w:p>
    <w:p>
      <w:pPr>
        <w:keepNext w:val="0"/>
        <w:widowControl/>
      </w:pPr>
      <w:r>
        <w:rPr>
          <w:rFonts w:ascii="Times New Roman" w:hAnsi="Times New Roman" w:cs="Times New Roman" w:eastAsia="Songti SC"/>
          <w:b w:val="0"/>
        </w:rPr>
        <w:t>搜索中的可行性控制分层实现：修复算子只从局部可行的成对插入中选择，从而维护路线容量、配对和任务上限；启用Relay时，全局评价器把路线续接边与中继“卸货→取货”交接边合并为有向图，用于检测循环等待、按拓扑序传播服务时刻并计入站内等待。初始解与最终最优解另由独立完整评价器重新检查任务唯一服务和全部约束。逾期只在任务最终送达节点完成时判定。</w:t>
      </w:r>
    </w:p>
    <w:p>
      <w:pPr>
        <w:pStyle w:val="4"/>
        <w:keepNext/>
        <w:widowControl/>
      </w:pPr>
      <w:r>
        <w:rPr>
          <w:rFonts w:ascii="Times New Roman" w:hAnsi="Times New Roman" w:cs="Times New Roman" w:eastAsia="Heiti SC"/>
          <w:b/>
        </w:rPr>
        <w:t>4.2 自适应大邻域搜索主算法</w:t>
      </w:r>
    </w:p>
    <w:p>
      <w:pPr>
        <w:keepNext w:val="0"/>
        <w:widowControl/>
      </w:pPr>
      <w:r>
        <w:rPr>
          <w:rFonts w:ascii="Times New Roman" w:hAnsi="Times New Roman" w:cs="Times New Roman" w:eastAsia="Songti SC"/>
          <w:b w:val="0"/>
        </w:rPr>
        <w:t>ALNS的一次迭代依次完成算子选择、完整任务移除、完整方案修复、精确评价、接受判定与权重更新。破坏过程从不只删除取件或送达的一半；修复过程也必须把取送节点作为同一任务恢复。候选由局部可行插入结构维护；Relay候选再经DAG时序评价后进入接受准则和最优解比较。搜索结束时，best解必须通过独立完整评价器，非法时直接报错且不输出结果。</w:t>
      </w:r>
    </w:p>
    <w:p>
      <w:pPr>
        <w:pStyle w:val="16"/>
        <w:keepNext/>
        <w:widowControl/>
        <w:ind w:firstLine="0"/>
        <w:jc w:val="center"/>
      </w:pPr>
      <w:r>
        <w:rPr>
          <w:rFonts w:ascii="Times New Roman" w:hAnsi="Times New Roman" w:cs="Times New Roman" w:eastAsia="Songti SC"/>
          <w:b w:val="0"/>
          <w:i w:val="0"/>
          <w:color w:val="000000"/>
          <w:sz w:val="18"/>
        </w:rPr>
        <w:t>表4-1 ALNS核心算子与作用</w:t>
      </w:r>
    </w:p>
    <w:tbl>
      <w:tblPr>
        <w:tblStyle w:val="171"/>
        <w:tblW w:type="dxa" w:w="9179"/>
        <w:jc w:val="center"/>
        <w:tblLayout w:type="fixed"/>
        <w:tblLook w:firstColumn="1" w:firstRow="1" w:lastColumn="0" w:lastRow="0" w:noHBand="0" w:noVBand="1" w:val="04A0"/>
      </w:tblPr>
      <w:tblGrid>
        <w:gridCol w:w="726"/>
        <w:gridCol w:w="1387"/>
        <w:gridCol w:w="2311"/>
        <w:gridCol w:w="1915"/>
        <w:gridCol w:w="1981"/>
        <w:gridCol w:w="858"/>
      </w:tblGrid>
      <w:tr>
        <w:trPr>
          <w:cantSplit/>
          <w:tblHeader w:val="true"/>
        </w:trPr>
        <w:tc>
          <w:tcPr>
            <w:tcW w:type="dxa" w:w="72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类型</w:t>
            </w:r>
          </w:p>
        </w:tc>
        <w:tc>
          <w:tcPr>
            <w:tcW w:type="dxa" w:w="138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注册键</w:t>
            </w:r>
          </w:p>
        </w:tc>
        <w:tc>
          <w:tcPr>
            <w:tcW w:type="dxa" w:w="231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选择依据</w:t>
            </w:r>
          </w:p>
        </w:tc>
        <w:tc>
          <w:tcPr>
            <w:tcW w:type="dxa" w:w="191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改变内容</w:t>
            </w:r>
          </w:p>
        </w:tc>
        <w:tc>
          <w:tcPr>
            <w:tcW w:type="dxa" w:w="198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可行性保护</w:t>
            </w:r>
          </w:p>
        </w:tc>
        <w:tc>
          <w:tcPr>
            <w:tcW w:type="dxa" w:w="85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最终启用</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random</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随机抽取完整任务</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任务归属与访问位置</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统一可行性评价</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worst_distance</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优先移除边际航程最大的任务</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长距离局部结构</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容量、配对与DAG</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worst_lex</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按三层目标边际损失排序</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服务与里程冲突任务</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严格字典序重评</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spatial_related</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移除空间邻近的相关任务</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局部空间簇</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完整任务成对移除</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deadline_related</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移除截止期相近的任务</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时效相关任务簇</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最终送达时刻重算</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late_critical</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优先移除逾期或高风险任务</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关键服务任务</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无逾期时安全回退</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route_segment</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破坏连续路线片段</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局部访问片段</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任务取送成对清理</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capacity_conflict</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聚焦高载荷冲突附近任务</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容量紧张片段</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容量轨迹逐点检查</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assignment_destroy</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跨无人机解除任务分配</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任务—无人机归属</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单机任务上限与全局校验</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greedy</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选择最佳可行插入</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取送成对插入位置</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枚举后精确评价</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regret2</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按最佳与次佳插入差排序</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最难延后任务</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候选不足时确定性回退</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regret3</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按前三个插入机会的遗憾值排序</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插入选择脆弱任务</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候选可行性逐一检查</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deadline</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按截止期紧迫度优先插入</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紧急任务位置</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准时性以最终送达判定</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slack</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按剩余时限与松弛度优先插入</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低松弛任务位置</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时间与容量联合检查</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bl>
    <w:p>
      <w:pPr>
        <w:keepNext w:val="0"/>
        <w:widowControl/>
      </w:pPr>
      <w:r>
        <w:rPr>
          <w:rFonts w:ascii="Times New Roman" w:hAnsi="Times New Roman" w:cs="Times New Roman" w:eastAsia="Songti SC"/>
          <w:b w:val="0"/>
        </w:rPr>
        <w:t>最终注册表共含14个核心算子，其中9个破坏算子负责打开不同类型的搜索邻域，5个修复算子负责恢复完整可行方案。轮盘赌按当前权重选择一对算子；系统根据候选是否被接受、是否改善当前解以及是否刷新全局最优分配分层奖励，并在固定区段内平滑更新权重。模拟退火式接受准则允许有限的劣解跳转，墙钟时间是主要终止条件，最大迭代数仅作为安全上界。</w:t>
      </w:r>
    </w:p>
    <w:p>
      <w:pPr>
        <w:keepNext w:val="0"/>
        <w:widowControl/>
      </w:pPr>
      <w:r>
        <w:rPr>
          <w:rFonts w:ascii="Times New Roman" w:hAnsi="Times New Roman" w:cs="Times New Roman" w:eastAsia="Songti SC"/>
          <w:b w:val="0"/>
        </w:rPr>
        <w:t>每次正式运行保存uses、accepted、current_improvements、best_improvements、total_reward及最终权重，供第5.4节复核。最终主算法不调用VND、Ejection Swap、Route Pool或Cluster Regret，也不将home_displaced与route_clear计入注册算子或实验结论。</w:t>
      </w:r>
    </w:p>
    <w:p>
      <w:pPr>
        <w:pStyle w:val="4"/>
        <w:keepNext/>
        <w:widowControl/>
      </w:pPr>
      <w:r>
        <w:rPr>
          <w:rFonts w:ascii="Times New Roman" w:hAnsi="Times New Roman" w:cs="Times New Roman" w:eastAsia="Heiti SC"/>
          <w:b/>
        </w:rPr>
        <w:t>4.3 固定中继站接力与跨机交接</w:t>
      </w:r>
    </w:p>
    <w:p>
      <w:pPr>
        <w:keepNext w:val="0"/>
        <w:widowControl/>
      </w:pPr>
      <w:r>
        <w:rPr>
          <w:rFonts w:ascii="Times New Roman" w:hAnsi="Times New Roman" w:cs="Times New Roman" w:eastAsia="Songti SC"/>
          <w:b w:val="0"/>
        </w:rPr>
        <w:t>每项任务在DIRECT与RELAY(h)两类服务计划中唯一选择一种。DIRECT由同一架无人机连续完成取件与送达；RELAY(h)通过候选固定中继站h拆成入站RELAY_IN与出站RELAY_OUT两条运输腿，两腿可以由同一架或不同无人机执行。</w:t>
      </w:r>
    </w:p>
    <w:p>
      <w:pPr>
        <w:keepNext w:val="0"/>
        <w:widowControl/>
      </w:pPr>
      <w:r>
        <w:rPr>
          <w:rFonts w:ascii="Times New Roman" w:hAnsi="Times New Roman" w:cs="Times New Roman" w:eastAsia="Songti SC"/>
          <w:b w:val="0"/>
        </w:rPr>
        <w:t>交接采用异步先卸后取语义：入站无人机完成卸货后，包裹可在站内缓存；出站无人机提前到站时等待卸货完成。因此只要求中继取货时刻不早于卸货时刻，并不要求两架无人机同时到站。两腿由不同无人机完成时计一次cross_uav_handoff；由同一无人机完成时计为same_uav_relay，但仍保留经站绕行和完整时序。</w:t>
      </w:r>
    </w:p>
    <w:p>
      <w:pPr>
        <w:keepNext w:val="0"/>
        <w:widowControl/>
      </w:pPr>
      <w:r>
        <w:rPr>
          <w:rFonts w:ascii="Times New Roman" w:hAnsi="Times New Roman" w:cs="Times New Roman" w:eastAsia="Songti SC"/>
          <w:b w:val="0"/>
        </w:rPr>
        <w:t>Relay搜索以强DIRECT incumbent为起点，通过候选站筛选、中继播种和周期性跨机精化扩展服务计划。任何接力候选均须通过全局DAG无环检查和时间传播，然后再参与三层目标比较。正式Relay协议把可用搜索时间约按80%/20%分为DIRECT预热和Relay扩展；名义300 s时约对应240 s与60 s，实际分段还会扣除构造时间和安全余量。</w:t>
      </w:r>
    </w:p>
    <w:p>
      <w:pPr>
        <w:pStyle w:val="4"/>
        <w:keepNext/>
        <w:widowControl/>
      </w:pPr>
      <w:r>
        <w:rPr>
          <w:rFonts w:ascii="Times New Roman" w:hAnsi="Times New Roman" w:cs="Times New Roman" w:eastAsia="Heiti SC"/>
          <w:b/>
        </w:rPr>
        <w:t>4.4 需求驱动的无人机初始预部署</w:t>
      </w:r>
    </w:p>
    <w:p>
      <w:pPr>
        <w:keepNext w:val="0"/>
        <w:widowControl/>
      </w:pPr>
      <w:r>
        <w:rPr>
          <w:rFonts w:ascii="Times New Roman" w:hAnsi="Times New Roman" w:cs="Times New Roman" w:eastAsia="Songti SC"/>
          <w:b w:val="0"/>
        </w:rPr>
        <w:t>预部署候选起点由调度中心和固定中继站组成。算法综合取件点距离的平滑衰减、截止期紧迫度与服务价值计算各候选点的需求得分，再把连续需求份额转换为无人机整数配额。Hamilton最大余数法保证配额总数严格等于机队规模；同一站点可以部署0架、1架或多架无人机，并以软性单点上限避免运力过度集中。</w:t>
      </w:r>
    </w:p>
    <w:p>
      <w:pPr>
        <w:keepNext w:val="0"/>
        <w:widowControl/>
      </w:pPr>
      <w:r>
        <w:rPr>
          <w:rFonts w:ascii="Times New Roman" w:hAnsi="Times New Roman" w:cs="Times New Roman" w:eastAsia="Songti SC"/>
          <w:b w:val="0"/>
        </w:rPr>
        <w:t>随后通过轻量局部调整优化由需求加权首段距离与超额负载不均衡惩罚组成的替代目标，因此不保证每一步都单独缩短首段距离。预部署结果在一次求解开始前固定，初始构造、插入增量、路线评价和最终校验都按路线索引读取实际home。某站点作为无人机起点与其是否实际承担Relay交接是两个独立决定，不能把“部署在站点”解释为“必然经该站交接”。</w:t>
      </w:r>
    </w:p>
    <w:tbl>
      <w:tblPr>
        <w:tblStyle w:val="171"/>
        <w:tblW w:type="dxa" w:w="7894"/>
        <w:jc w:val="center"/>
        <w:tblLayout w:type="fixed"/>
        <w:tblLook w:firstColumn="1" w:firstRow="1" w:lastColumn="0" w:lastRow="0" w:noHBand="0" w:noVBand="1" w:val="04A0"/>
      </w:tblPr>
      <w:tblGrid>
        <w:gridCol w:w="7894"/>
      </w:tblGrid>
      <w:tr>
        <w:trPr>
          <w:cantSplit/>
          <w:tblHeader w:val="true"/>
        </w:trPr>
        <w:tc>
          <w:tcPr>
            <w:tcW w:type="dxa" w:w="7894"/>
            <w:shd w:fill="EEF3F8"/>
            <w:tcMar>
              <w:top w:w="95" w:type="dxa"/>
              <w:start w:w="90" w:type="dxa"/>
              <w:bottom w:w="95"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8"/>
              </w:rPr>
              <w:t>任务数据、调度中心与候选固定中继网络</w:t>
            </w:r>
          </w:p>
        </w:tc>
      </w:tr>
      <w:tr>
        <w:trPr>
          <w:cantSplit/>
        </w:trPr>
        <w:tc>
          <w:tcPr>
            <w:tcW w:type="dxa" w:w="7894"/>
          </w:tcPr>
          <w:p>
            <w:pPr>
              <w:keepNext/>
              <w:widowControl/>
              <w:spacing w:before="0" w:after="0" w:line="240" w:lineRule="auto"/>
              <w:ind w:firstLine="0" w:left="0" w:right="0"/>
              <w:jc w:val="center"/>
            </w:pPr>
            <w:r>
              <w:rPr>
                <w:rFonts w:ascii="Times New Roman" w:hAnsi="Times New Roman" w:cs="Times New Roman" w:eastAsia="Songti SC"/>
                <w:sz w:val="18"/>
              </w:rPr>
              <w:t>↓</w:t>
            </w:r>
          </w:p>
        </w:tc>
      </w:tr>
      <w:tr>
        <w:trPr>
          <w:cantSplit/>
        </w:trPr>
        <w:tc>
          <w:tcPr>
            <w:tcW w:type="dxa" w:w="7894"/>
            <w:shd w:fill="FFFFFF"/>
            <w:tcMar>
              <w:top w:w="95" w:type="dxa"/>
              <w:start w:w="90" w:type="dxa"/>
              <w:bottom w:w="95"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val="0"/>
                <w:sz w:val="18"/>
              </w:rPr>
              <w:t>按场景固定无人机home：原点或需求驱动Station预部署</w:t>
            </w:r>
          </w:p>
        </w:tc>
      </w:tr>
      <w:tr>
        <w:trPr>
          <w:cantSplit/>
        </w:trPr>
        <w:tc>
          <w:tcPr>
            <w:tcW w:type="dxa" w:w="7894"/>
          </w:tcPr>
          <w:p>
            <w:pPr>
              <w:keepNext/>
              <w:widowControl/>
              <w:spacing w:before="0" w:after="0" w:line="240" w:lineRule="auto"/>
              <w:ind w:firstLine="0" w:left="0" w:right="0"/>
              <w:jc w:val="center"/>
            </w:pPr>
            <w:r>
              <w:rPr>
                <w:rFonts w:ascii="Times New Roman" w:hAnsi="Times New Roman" w:cs="Times New Roman" w:eastAsia="Songti SC"/>
                <w:sz w:val="18"/>
              </w:rPr>
              <w:t>↓</w:t>
            </w:r>
          </w:p>
        </w:tc>
      </w:tr>
      <w:tr>
        <w:trPr>
          <w:cantSplit/>
        </w:trPr>
        <w:tc>
          <w:tcPr>
            <w:tcW w:type="dxa" w:w="7894"/>
            <w:shd w:fill="EEF3F8"/>
            <w:tcMar>
              <w:top w:w="95" w:type="dxa"/>
              <w:start w:w="90" w:type="dxa"/>
              <w:bottom w:w="95"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val="0"/>
                <w:sz w:val="18"/>
              </w:rPr>
              <w:t>Station场景home-first播种；对其余任务regret-2构造完整DIRECT初始解</w:t>
            </w:r>
          </w:p>
        </w:tc>
      </w:tr>
      <w:tr>
        <w:trPr>
          <w:cantSplit/>
        </w:trPr>
        <w:tc>
          <w:tcPr>
            <w:tcW w:type="dxa" w:w="7894"/>
          </w:tcPr>
          <w:p>
            <w:pPr>
              <w:keepNext/>
              <w:widowControl/>
              <w:spacing w:before="0" w:after="0" w:line="240" w:lineRule="auto"/>
              <w:ind w:firstLine="0" w:left="0" w:right="0"/>
              <w:jc w:val="center"/>
            </w:pPr>
            <w:r>
              <w:rPr>
                <w:rFonts w:ascii="Times New Roman" w:hAnsi="Times New Roman" w:cs="Times New Roman" w:eastAsia="Songti SC"/>
                <w:sz w:val="18"/>
              </w:rPr>
              <w:t>↓</w:t>
            </w:r>
          </w:p>
        </w:tc>
      </w:tr>
      <w:tr>
        <w:trPr>
          <w:cantSplit/>
        </w:trPr>
        <w:tc>
          <w:tcPr>
            <w:tcW w:type="dxa" w:w="7894"/>
            <w:shd w:fill="FFFFFF"/>
            <w:tcMar>
              <w:top w:w="95" w:type="dxa"/>
              <w:start w:w="90" w:type="dxa"/>
              <w:bottom w:w="95"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val="0"/>
                <w:sz w:val="18"/>
              </w:rPr>
              <w:t>Relay关闭：单阶段ALNS；Relay开启：约80% DIRECT预热 + 20% Relay搜索</w:t>
            </w:r>
          </w:p>
        </w:tc>
      </w:tr>
      <w:tr>
        <w:trPr>
          <w:cantSplit/>
        </w:trPr>
        <w:tc>
          <w:tcPr>
            <w:tcW w:type="dxa" w:w="7894"/>
          </w:tcPr>
          <w:p>
            <w:pPr>
              <w:keepNext/>
              <w:widowControl/>
              <w:spacing w:before="0" w:after="0" w:line="240" w:lineRule="auto"/>
              <w:ind w:firstLine="0" w:left="0" w:right="0"/>
              <w:jc w:val="center"/>
            </w:pPr>
            <w:r>
              <w:rPr>
                <w:rFonts w:ascii="Times New Roman" w:hAnsi="Times New Roman" w:cs="Times New Roman" w:eastAsia="Songti SC"/>
                <w:sz w:val="18"/>
              </w:rPr>
              <w:t>↓</w:t>
            </w:r>
          </w:p>
        </w:tc>
      </w:tr>
      <w:tr>
        <w:trPr>
          <w:cantSplit/>
        </w:trPr>
        <w:tc>
          <w:tcPr>
            <w:tcW w:type="dxa" w:w="7894"/>
            <w:shd w:fill="EEF3F8"/>
            <w:tcMar>
              <w:top w:w="95" w:type="dxa"/>
              <w:start w:w="90" w:type="dxa"/>
              <w:bottom w:w="95"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val="0"/>
                <w:sz w:val="18"/>
              </w:rPr>
              <w:t>局部路线校验 + 全局DAG无环与时刻传播</w:t>
            </w:r>
          </w:p>
        </w:tc>
      </w:tr>
      <w:tr>
        <w:trPr>
          <w:cantSplit/>
        </w:trPr>
        <w:tc>
          <w:tcPr>
            <w:tcW w:type="dxa" w:w="7894"/>
          </w:tcPr>
          <w:p>
            <w:pPr>
              <w:keepNext/>
              <w:widowControl/>
              <w:spacing w:before="0" w:after="0" w:line="240" w:lineRule="auto"/>
              <w:ind w:firstLine="0" w:left="0" w:right="0"/>
              <w:jc w:val="center"/>
            </w:pPr>
            <w:r>
              <w:rPr>
                <w:rFonts w:ascii="Times New Roman" w:hAnsi="Times New Roman" w:cs="Times New Roman" w:eastAsia="Songti SC"/>
                <w:sz w:val="18"/>
              </w:rPr>
              <w:t>↓</w:t>
            </w:r>
          </w:p>
        </w:tc>
      </w:tr>
      <w:tr>
        <w:trPr>
          <w:cantSplit/>
        </w:trPr>
        <w:tc>
          <w:tcPr>
            <w:tcW w:type="dxa" w:w="7894"/>
            <w:shd w:fill="FFFFFF"/>
            <w:tcMar>
              <w:top w:w="95" w:type="dxa"/>
              <w:start w:w="90" w:type="dxa"/>
              <w:bottom w:w="95"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8"/>
              </w:rPr>
              <w:t>按（逾期数，总逾期，航程）严格字典序保留最优解</w:t>
            </w:r>
          </w:p>
        </w:tc>
      </w:tr>
    </w:tbl>
    <w:p>
      <w:pPr>
        <w:pStyle w:val="16"/>
        <w:keepNext w:val="0"/>
        <w:widowControl/>
        <w:ind w:firstLine="0"/>
        <w:jc w:val="center"/>
      </w:pPr>
      <w:r>
        <w:rPr>
          <w:rFonts w:ascii="Times New Roman" w:hAnsi="Times New Roman" w:cs="Times New Roman" w:eastAsia="Songti SC"/>
          <w:b w:val="0"/>
          <w:i w:val="0"/>
          <w:color w:val="000000"/>
          <w:sz w:val="18"/>
        </w:rPr>
        <w:t>图4-1 总体求解流程</w:t>
      </w:r>
    </w:p>
    <w:tbl>
      <w:tblPr>
        <w:tblStyle w:val="171"/>
        <w:tblW w:type="dxa" w:w="9179"/>
        <w:jc w:val="center"/>
        <w:tblLayout w:type="fixed"/>
        <w:tblLook w:firstColumn="1" w:firstRow="1" w:lastColumn="0" w:lastRow="0" w:noHBand="0" w:noVBand="1" w:val="04A0"/>
      </w:tblPr>
      <w:tblGrid>
        <w:gridCol w:w="3060"/>
        <w:gridCol w:w="3060"/>
        <w:gridCol w:w="3060"/>
      </w:tblGrid>
      <w:tr>
        <w:trPr>
          <w:cantSplit/>
          <w:tblHeader w:val="true"/>
        </w:trPr>
        <w:tc>
          <w:tcPr>
            <w:tcW w:type="dxa" w:w="3060"/>
            <w:shd w:fill="D9E2F3"/>
            <w:tcMar>
              <w:top w:w="110" w:type="dxa"/>
              <w:start w:w="90" w:type="dxa"/>
              <w:bottom w:w="11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7"/>
              </w:rPr>
              <w:t>DIRECT</w:t>
            </w:r>
          </w:p>
        </w:tc>
        <w:tc>
          <w:tcPr>
            <w:tcW w:type="dxa" w:w="3060"/>
            <w:shd w:fill="D9E2F3"/>
            <w:tcMar>
              <w:top w:w="110" w:type="dxa"/>
              <w:start w:w="90" w:type="dxa"/>
              <w:bottom w:w="11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7"/>
              </w:rPr>
              <w:t>同机经站</w:t>
            </w:r>
          </w:p>
        </w:tc>
        <w:tc>
          <w:tcPr>
            <w:tcW w:type="dxa" w:w="3060"/>
            <w:shd w:fill="D9E2F3"/>
            <w:tcMar>
              <w:top w:w="110" w:type="dxa"/>
              <w:start w:w="90" w:type="dxa"/>
              <w:bottom w:w="11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7"/>
              </w:rPr>
              <w:t>跨机接力</w:t>
            </w:r>
          </w:p>
        </w:tc>
      </w:tr>
      <w:tr>
        <w:trPr>
          <w:cantSplit/>
        </w:trPr>
        <w:tc>
          <w:tcPr>
            <w:tcW w:type="dxa" w:w="3060"/>
            <w:tcMar>
              <w:top w:w="110" w:type="dxa"/>
              <w:start w:w="90" w:type="dxa"/>
              <w:bottom w:w="11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val="0"/>
                <w:sz w:val="17"/>
              </w:rPr>
              <w:t>home_k → P_i → D_i</w:t>
              <w:br/>
              <w:t>同一架无人机完成</w:t>
            </w:r>
          </w:p>
        </w:tc>
        <w:tc>
          <w:tcPr>
            <w:tcW w:type="dxa" w:w="3060"/>
            <w:tcMar>
              <w:top w:w="110" w:type="dxa"/>
              <w:start w:w="90" w:type="dxa"/>
              <w:bottom w:w="11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val="0"/>
                <w:sz w:val="17"/>
              </w:rPr>
              <w:t>home_k → P_i → h卸货 → h取货 → D_i</w:t>
              <w:br/>
              <w:t>仍计经站等待与绕行</w:t>
            </w:r>
          </w:p>
        </w:tc>
        <w:tc>
          <w:tcPr>
            <w:tcW w:type="dxa" w:w="3060"/>
            <w:tcMar>
              <w:top w:w="110" w:type="dxa"/>
              <w:start w:w="90" w:type="dxa"/>
              <w:bottom w:w="11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val="0"/>
                <w:sz w:val="17"/>
              </w:rPr>
              <w:t>UAV k：home_k → P_i → h卸货</w:t>
              <w:br/>
              <w:t>UAV l：home_l → h取货 → D_i</w:t>
              <w:br/>
              <w:t>取货时刻 ≥ 卸货时刻</w:t>
            </w:r>
          </w:p>
        </w:tc>
      </w:tr>
    </w:tbl>
    <w:p>
      <w:pPr>
        <w:pStyle w:val="16"/>
        <w:keepNext w:val="0"/>
        <w:widowControl/>
        <w:ind w:firstLine="0"/>
        <w:jc w:val="center"/>
      </w:pPr>
      <w:r>
        <w:rPr>
          <w:rFonts w:ascii="Times New Roman" w:hAnsi="Times New Roman" w:cs="Times New Roman" w:eastAsia="Songti SC"/>
          <w:b w:val="0"/>
          <w:i w:val="0"/>
          <w:color w:val="000000"/>
          <w:sz w:val="18"/>
        </w:rPr>
        <w:t>图4-2 固定中继交接与异地起点示意</w:t>
      </w:r>
    </w:p>
    <w:p>
      <w:pPr>
        <w:keepNext w:val="0"/>
        <w:widowControl/>
      </w:pPr>
      <w:r>
        <w:rPr>
          <w:rFonts w:ascii="Times New Roman" w:hAnsi="Times New Roman" w:cs="Times New Roman" w:eastAsia="Songti SC"/>
          <w:b w:val="0"/>
        </w:rPr>
        <w:t>图4-2同时强调两个解耦关系：中继站可以承担交接而不部署无人机，部署在某站的无人机也不必在该站发生交接。算法细节、边界处理和伪代码见附录A。</w:t>
      </w:r>
    </w:p>
    <w:p>
      <w:pPr>
        <w:pStyle w:val="2"/>
        <w:keepNext/>
        <w:pageBreakBefore/>
        <w:widowControl/>
      </w:pPr>
      <w:r>
        <w:rPr>
          <w:rFonts w:ascii="Times New Roman" w:hAnsi="Times New Roman" w:cs="Times New Roman" w:eastAsia="Heiti SC"/>
          <w:b/>
        </w:rPr>
        <w:t>5 数值实验与算法有效性</w:t>
      </w:r>
    </w:p>
    <w:p>
      <w:pPr>
        <w:keepNext w:val="0"/>
        <w:widowControl/>
      </w:pPr>
      <w:r>
        <w:rPr>
          <w:rFonts w:ascii="Times New Roman" w:hAnsi="Times New Roman" w:cs="Times New Roman" w:eastAsia="Songti SC"/>
          <w:b w:val="0"/>
        </w:rPr>
        <w:t>本章以正式final_benchmarks结果验证模型、精确求解器、ALNS主算法和14个核心算子，不把200任务业务策略差异提前解释为机制结论。实验包括单机小规模精确对照与截止期统一放宽的多机规模扩展两组；除图5-1为题设路线示意外，其余结果表图均直接读取正式JSON。</w:t>
      </w:r>
    </w:p>
    <w:p>
      <w:pPr>
        <w:pStyle w:val="4"/>
        <w:keepNext/>
        <w:widowControl/>
      </w:pPr>
      <w:r>
        <w:rPr>
          <w:rFonts w:ascii="Times New Roman" w:hAnsi="Times New Roman" w:cs="Times New Roman" w:eastAsia="Heiti SC"/>
          <w:b/>
        </w:rPr>
        <w:t>5.1 实验设计、实例与评价指标</w:t>
      </w:r>
    </w:p>
    <w:p>
      <w:pPr>
        <w:pStyle w:val="16"/>
        <w:keepNext/>
        <w:widowControl/>
        <w:ind w:firstLine="0"/>
        <w:jc w:val="center"/>
      </w:pPr>
      <w:r>
        <w:rPr>
          <w:rFonts w:ascii="Times New Roman" w:hAnsi="Times New Roman" w:cs="Times New Roman" w:eastAsia="Songti SC"/>
          <w:b w:val="0"/>
          <w:i w:val="0"/>
          <w:color w:val="000000"/>
          <w:sz w:val="18"/>
        </w:rPr>
        <w:t>表5-1 实例与实验设置</w:t>
      </w:r>
    </w:p>
    <w:tbl>
      <w:tblPr>
        <w:tblStyle w:val="171"/>
        <w:tblW w:type="dxa" w:w="9179"/>
        <w:jc w:val="center"/>
        <w:tblLayout w:type="fixed"/>
        <w:tblLook w:firstColumn="1" w:firstRow="1" w:lastColumn="0" w:lastRow="0" w:noHBand="0" w:noVBand="1" w:val="04A0"/>
      </w:tblPr>
      <w:tblGrid>
        <w:gridCol w:w="1425"/>
        <w:gridCol w:w="1197"/>
        <w:gridCol w:w="912"/>
        <w:gridCol w:w="1710"/>
        <w:gridCol w:w="1140"/>
        <w:gridCol w:w="1995"/>
        <w:gridCol w:w="798"/>
      </w:tblGrid>
      <w:tr>
        <w:trPr>
          <w:cantSplit/>
          <w:tblHeader w:val="true"/>
        </w:trPr>
        <w:tc>
          <w:tcPr>
            <w:tcW w:type="dxa" w:w="142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实例组</w:t>
            </w:r>
          </w:p>
        </w:tc>
        <w:tc>
          <w:tcPr>
            <w:tcW w:type="dxa" w:w="119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任务数</w:t>
            </w:r>
          </w:p>
        </w:tc>
        <w:tc>
          <w:tcPr>
            <w:tcW w:type="dxa" w:w="9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无人机数</w:t>
            </w:r>
          </w:p>
        </w:tc>
        <w:tc>
          <w:tcPr>
            <w:tcW w:type="dxa" w:w="171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截止期规则</w:t>
            </w:r>
          </w:p>
        </w:tc>
        <w:tc>
          <w:tcPr>
            <w:tcW w:type="dxa" w:w="114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种子</w:t>
            </w:r>
          </w:p>
        </w:tc>
        <w:tc>
          <w:tcPr>
            <w:tcW w:type="dxa" w:w="199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方法/预算</w:t>
            </w:r>
          </w:p>
        </w:tc>
        <w:tc>
          <w:tcPr>
            <w:tcW w:type="dxa" w:w="79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精确解</w:t>
            </w:r>
          </w:p>
        </w:tc>
      </w:tr>
      <w:tr>
        <w:trPr>
          <w:cantSplit/>
        </w:trPr>
        <w:tc>
          <w:tcPr>
            <w:tcW w:type="dxa" w:w="142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题设距离矩阵</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2</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1</w:t>
            </w:r>
          </w:p>
        </w:tc>
        <w:tc>
          <w:tcPr>
            <w:tcW w:type="dxa" w:w="171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原始截止期</w:t>
            </w:r>
          </w:p>
        </w:tc>
        <w:tc>
          <w:tcPr>
            <w:tcW w:type="dxa" w:w="114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w:t>
            </w:r>
          </w:p>
        </w:tc>
        <w:tc>
          <w:tcPr>
            <w:tcW w:type="dxa" w:w="199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Pareto-DP</w:t>
            </w:r>
          </w:p>
        </w:tc>
        <w:tc>
          <w:tcPr>
            <w:tcW w:type="dxa" w:w="7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是</w:t>
            </w:r>
          </w:p>
        </w:tc>
      </w:tr>
      <w:tr>
        <w:trPr>
          <w:cantSplit/>
        </w:trPr>
        <w:tc>
          <w:tcPr>
            <w:tcW w:type="dxa" w:w="142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正式数据前缀</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5, 8, 10, 12</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1</w:t>
            </w:r>
          </w:p>
        </w:tc>
        <w:tc>
          <w:tcPr>
            <w:tcW w:type="dxa" w:w="171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原始截止期</w:t>
            </w:r>
          </w:p>
        </w:tc>
        <w:tc>
          <w:tcPr>
            <w:tcW w:type="dxa" w:w="114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2026081701</w:t>
            </w:r>
          </w:p>
        </w:tc>
        <w:tc>
          <w:tcPr>
            <w:tcW w:type="dxa" w:w="199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Pareto-DP / C2-Lex-ALNS</w:t>
            </w:r>
          </w:p>
        </w:tc>
        <w:tc>
          <w:tcPr>
            <w:tcW w:type="dxa" w:w="7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是</w:t>
            </w:r>
          </w:p>
        </w:tc>
      </w:tr>
      <w:tr>
        <w:trPr>
          <w:cantSplit/>
        </w:trPr>
        <w:tc>
          <w:tcPr>
            <w:tcW w:type="dxa" w:w="142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宽松多机扩展</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50, 100, 150, 200</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ceil(N/25)</w:t>
            </w:r>
          </w:p>
        </w:tc>
        <w:tc>
          <w:tcPr>
            <w:tcW w:type="dxa" w:w="171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原始截止期×2.50</w:t>
            </w:r>
          </w:p>
        </w:tc>
        <w:tc>
          <w:tcPr>
            <w:tcW w:type="dxa" w:w="114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2026081701</w:t>
            </w:r>
          </w:p>
        </w:tc>
        <w:tc>
          <w:tcPr>
            <w:tcW w:type="dxa" w:w="199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C2-Lex-ALNS，30 s</w:t>
            </w:r>
          </w:p>
        </w:tc>
        <w:tc>
          <w:tcPr>
            <w:tcW w:type="dxa" w:w="7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否</w:t>
            </w:r>
          </w:p>
        </w:tc>
      </w:tr>
    </w:tbl>
    <w:p>
      <w:pPr>
        <w:keepNext w:val="0"/>
        <w:widowControl/>
      </w:pPr>
      <w:r>
        <w:rPr>
          <w:rFonts w:ascii="Times New Roman" w:hAnsi="Times New Roman" w:cs="Times New Roman" w:eastAsia="Songti SC"/>
          <w:b w:val="0"/>
        </w:rPr>
        <w:t>评价按三层目标依次报告late_count、total_lateness_min和distance_km，并同时保留valid、runtime_seconds、iterations和算子统计。若前一层不同，后一层指标不能用来逆转比较。多机扩展仅有一个固定种子，因而不绘制误差线，也不把单次运行解释为稳定性证明。</w:t>
      </w:r>
    </w:p>
    <w:p>
      <w:pPr>
        <w:pStyle w:val="4"/>
        <w:keepNext/>
        <w:widowControl/>
      </w:pPr>
      <w:r>
        <w:rPr>
          <w:rFonts w:ascii="Times New Roman" w:hAnsi="Times New Roman" w:cs="Times New Roman" w:eastAsia="Heiti SC"/>
          <w:b/>
        </w:rPr>
        <w:t>5.2 单机小算例与精确解对照</w:t>
      </w:r>
    </w:p>
    <w:p>
      <w:pPr>
        <w:keepNext w:val="0"/>
        <w:widowControl/>
      </w:pPr>
      <w:r>
        <w:rPr>
          <w:rFonts w:ascii="Times New Roman" w:hAnsi="Times New Roman" w:cs="Times New Roman" w:eastAsia="Songti SC"/>
          <w:b w:val="0"/>
        </w:rPr>
        <w:t>题设两任务距离矩阵由Pareto标签动态规划求得路线0→P1→P2→D2→D1，正式结果为(0, 0.00, 11.00)，其中总里程11 km。该结果说明即使每个任务内部必须先取后送，不同任务之间仍可交叉安排访问顺序以缩短航程。</w:t>
      </w:r>
    </w:p>
    <w:p>
      <w:pPr>
        <w:keepNext/>
        <w:spacing w:before="0" w:after="0"/>
        <w:ind w:firstLine="0" w:left="0" w:right="0"/>
        <w:jc w:val="center"/>
      </w:pPr>
      <w:r>
        <w:drawing>
          <wp:inline xmlns:a="http://schemas.openxmlformats.org/drawingml/2006/main" xmlns:pic="http://schemas.openxmlformats.org/drawingml/2006/picture">
            <wp:extent cx="5478945" cy="4755917"/>
            <wp:docPr id="7" name="Picture 7" descr="图5-1 题设两任务最优路线" title="fig5_1_title_example.png"/>
            <wp:cNvGraphicFramePr>
              <a:graphicFrameLocks noChangeAspect="1"/>
            </wp:cNvGraphicFramePr>
            <a:graphic>
              <a:graphicData uri="http://schemas.openxmlformats.org/drawingml/2006/picture">
                <pic:pic>
                  <pic:nvPicPr>
                    <pic:cNvPr id="0" name="fig5_1_title_example.png"/>
                    <pic:cNvPicPr/>
                  </pic:nvPicPr>
                  <pic:blipFill>
                    <a:blip r:embed="rId10"/>
                    <a:stretch>
                      <a:fillRect/>
                    </a:stretch>
                  </pic:blipFill>
                  <pic:spPr>
                    <a:xfrm>
                      <a:off x="0" y="0"/>
                      <a:ext cx="5478945" cy="4755917"/>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图5-1 题设两任务最优路线</w:t>
      </w:r>
    </w:p>
    <w:p>
      <w:pPr>
        <w:pStyle w:val="16"/>
        <w:keepNext/>
        <w:widowControl/>
        <w:ind w:firstLine="0"/>
        <w:jc w:val="center"/>
      </w:pPr>
      <w:r>
        <w:rPr>
          <w:rFonts w:ascii="Times New Roman" w:hAnsi="Times New Roman" w:cs="Times New Roman" w:eastAsia="Songti SC"/>
          <w:b w:val="0"/>
          <w:i w:val="0"/>
          <w:color w:val="000000"/>
          <w:sz w:val="18"/>
        </w:rPr>
        <w:t>表5-2 单机精确解与ALNS对照</w:t>
      </w:r>
    </w:p>
    <w:tbl>
      <w:tblPr>
        <w:tblStyle w:val="171"/>
        <w:tblW w:type="dxa" w:w="9179"/>
        <w:jc w:val="center"/>
        <w:tblLayout w:type="fixed"/>
        <w:tblLook w:firstColumn="1" w:firstRow="1" w:lastColumn="0" w:lastRow="0" w:noHBand="0" w:noVBand="1" w:val="04A0"/>
      </w:tblPr>
      <w:tblGrid>
        <w:gridCol w:w="846"/>
        <w:gridCol w:w="2148"/>
        <w:gridCol w:w="1107"/>
        <w:gridCol w:w="2148"/>
        <w:gridCol w:w="1107"/>
        <w:gridCol w:w="1107"/>
        <w:gridCol w:w="716"/>
      </w:tblGrid>
      <w:tr>
        <w:trPr>
          <w:cantSplit/>
          <w:tblHeader w:val="true"/>
        </w:trPr>
        <w:tc>
          <w:tcPr>
            <w:tcW w:type="dxa" w:w="84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任务数</w:t>
            </w:r>
          </w:p>
        </w:tc>
        <w:tc>
          <w:tcPr>
            <w:tcW w:type="dxa" w:w="214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精确三层得分</w:t>
            </w:r>
          </w:p>
        </w:tc>
        <w:tc>
          <w:tcPr>
            <w:tcW w:type="dxa" w:w="110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精确时间/s</w:t>
            </w:r>
          </w:p>
        </w:tc>
        <w:tc>
          <w:tcPr>
            <w:tcW w:type="dxa" w:w="214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ALNS三层得分</w:t>
            </w:r>
          </w:p>
        </w:tc>
        <w:tc>
          <w:tcPr>
            <w:tcW w:type="dxa" w:w="110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ALNS时间/s</w:t>
            </w:r>
          </w:p>
        </w:tc>
        <w:tc>
          <w:tcPr>
            <w:tcW w:type="dxa" w:w="110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与精确解</w:t>
            </w:r>
          </w:p>
        </w:tc>
        <w:tc>
          <w:tcPr>
            <w:tcW w:type="dxa" w:w="71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有效</w:t>
            </w:r>
          </w:p>
        </w:tc>
      </w:tr>
      <w:tr>
        <w:trPr>
          <w:cantSplit/>
        </w:trPr>
        <w:tc>
          <w:tcPr>
            <w:tcW w:type="dxa" w:w="84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(0, 0.000, 28.953)</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0.0010</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(0, 0.000, 28.953)</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0.0715</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相同</w:t>
            </w:r>
          </w:p>
        </w:tc>
        <w:tc>
          <w:tcPr>
            <w:tcW w:type="dxa" w:w="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84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(1, 0.643, 46.404)</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0.0285</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(1, 0.774, 45.501)</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0.1149</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不同</w:t>
            </w:r>
          </w:p>
        </w:tc>
        <w:tc>
          <w:tcPr>
            <w:tcW w:type="dxa" w:w="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84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(2, 17.864, 54.646)</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0.2845</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(2, 17.864, 54.646)</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0.1598</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相同</w:t>
            </w:r>
          </w:p>
        </w:tc>
        <w:tc>
          <w:tcPr>
            <w:tcW w:type="dxa" w:w="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84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(3, 65.784, 62.411)</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3.5684</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(3, 99.450, 64.185)</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0.1949</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不同</w:t>
            </w:r>
          </w:p>
        </w:tc>
        <w:tc>
          <w:tcPr>
            <w:tcW w:type="dxa" w:w="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bl>
    <w:p>
      <w:pPr>
        <w:keepNext w:val="0"/>
        <w:widowControl/>
      </w:pPr>
      <w:r>
        <w:rPr>
          <w:rFonts w:ascii="Times New Roman" w:hAnsi="Times New Roman" w:cs="Times New Roman" w:eastAsia="Songti SC"/>
          <w:b w:val="0"/>
        </w:rPr>
        <w:t>在4个正式小规模前缀实例中，ALNS有2个达到精确三层得分。Pareto动态规划在同一状态下保留非支配前缀，因为更短的累计距离同时意味着更早到达；只保留单一局部标签可能丢失未来更优路径。该对照验证的是已覆盖小规模上的结果一致性，不把这一结论外推为大规模全局最优。</w:t>
      </w:r>
    </w:p>
    <w:p>
      <w:pPr>
        <w:keepNext/>
        <w:spacing w:before="0" w:after="0"/>
        <w:ind w:firstLine="0" w:left="0" w:right="0"/>
        <w:jc w:val="center"/>
      </w:pPr>
      <w:r>
        <w:drawing>
          <wp:inline xmlns:a="http://schemas.openxmlformats.org/drawingml/2006/main" xmlns:pic="http://schemas.openxmlformats.org/drawingml/2006/picture">
            <wp:extent cx="5478945" cy="2492228"/>
            <wp:docPr id="8" name="Picture 8" descr="图5-2 小规模精确求解时间与ALNS一致性" title="fig5_2_exact_validation.png"/>
            <wp:cNvGraphicFramePr>
              <a:graphicFrameLocks noChangeAspect="1"/>
            </wp:cNvGraphicFramePr>
            <a:graphic>
              <a:graphicData uri="http://schemas.openxmlformats.org/drawingml/2006/picture">
                <pic:pic>
                  <pic:nvPicPr>
                    <pic:cNvPr id="0" name="fig5_2_exact_validation.png"/>
                    <pic:cNvPicPr/>
                  </pic:nvPicPr>
                  <pic:blipFill>
                    <a:blip r:embed="rId11"/>
                    <a:stretch>
                      <a:fillRect/>
                    </a:stretch>
                  </pic:blipFill>
                  <pic:spPr>
                    <a:xfrm>
                      <a:off x="0" y="0"/>
                      <a:ext cx="5478945" cy="2492228"/>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图5-2 小规模精确求解时间与ALNS一致性</w:t>
      </w:r>
    </w:p>
    <w:p>
      <w:pPr>
        <w:pStyle w:val="4"/>
        <w:keepNext/>
        <w:widowControl/>
      </w:pPr>
      <w:r>
        <w:rPr>
          <w:rFonts w:ascii="Times New Roman" w:hAnsi="Times New Roman" w:cs="Times New Roman" w:eastAsia="Heiti SC"/>
          <w:b/>
        </w:rPr>
        <w:t>5.3 较宽松多机实例的规模扩展</w:t>
      </w:r>
    </w:p>
    <w:p>
      <w:pPr>
        <w:keepNext w:val="0"/>
        <w:widowControl/>
      </w:pPr>
      <w:r>
        <w:rPr>
          <w:rFonts w:ascii="Times New Roman" w:hAnsi="Times New Roman" w:cs="Times New Roman" w:eastAsia="Songti SC"/>
          <w:b w:val="0"/>
        </w:rPr>
        <w:t>规模扩展把截止期统一乘以2.50，所有无人机从原点出发并关闭Relay，以隔离ALNS主算法本身。各规模的无人机数量按ceil(N/25)设置，构造与搜索合计名义预算为30 s；此实验只验证在较宽松条件下的任务分配、路线构造与可行性。</w:t>
      </w:r>
    </w:p>
    <w:p>
      <w:pPr>
        <w:pStyle w:val="16"/>
        <w:keepNext/>
        <w:widowControl/>
        <w:ind w:firstLine="0"/>
        <w:jc w:val="center"/>
      </w:pPr>
      <w:r>
        <w:rPr>
          <w:rFonts w:ascii="Times New Roman" w:hAnsi="Times New Roman" w:cs="Times New Roman" w:eastAsia="Songti SC"/>
          <w:b w:val="0"/>
          <w:i w:val="0"/>
          <w:color w:val="000000"/>
          <w:sz w:val="18"/>
        </w:rPr>
        <w:t>表5-3 较宽松多机实例结果</w:t>
      </w:r>
    </w:p>
    <w:tbl>
      <w:tblPr>
        <w:tblStyle w:val="171"/>
        <w:tblW w:type="dxa" w:w="9179"/>
        <w:jc w:val="center"/>
        <w:tblLayout w:type="fixed"/>
        <w:tblLook w:firstColumn="1" w:firstRow="1" w:lastColumn="0" w:lastRow="0" w:noHBand="0" w:noVBand="1" w:val="04A0"/>
      </w:tblPr>
      <w:tblGrid>
        <w:gridCol w:w="729"/>
        <w:gridCol w:w="790"/>
        <w:gridCol w:w="1277"/>
        <w:gridCol w:w="790"/>
        <w:gridCol w:w="1033"/>
        <w:gridCol w:w="1094"/>
        <w:gridCol w:w="912"/>
        <w:gridCol w:w="973"/>
        <w:gridCol w:w="912"/>
        <w:gridCol w:w="669"/>
      </w:tblGrid>
      <w:tr>
        <w:trPr>
          <w:cantSplit/>
          <w:tblHeader w:val="true"/>
        </w:trPr>
        <w:tc>
          <w:tcPr>
            <w:tcW w:type="dxa" w:w="72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任务</w:t>
            </w:r>
          </w:p>
        </w:tc>
        <w:tc>
          <w:tcPr>
            <w:tcW w:type="dxa" w:w="79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无人机</w:t>
            </w:r>
          </w:p>
        </w:tc>
        <w:tc>
          <w:tcPr>
            <w:tcW w:type="dxa" w:w="127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种子</w:t>
            </w:r>
          </w:p>
        </w:tc>
        <w:tc>
          <w:tcPr>
            <w:tcW w:type="dxa" w:w="79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逾期数</w:t>
            </w:r>
          </w:p>
        </w:tc>
        <w:tc>
          <w:tcPr>
            <w:tcW w:type="dxa" w:w="103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总逾期/min</w:t>
            </w:r>
          </w:p>
        </w:tc>
        <w:tc>
          <w:tcPr>
            <w:tcW w:type="dxa" w:w="10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航程/km</w:t>
            </w:r>
          </w:p>
        </w:tc>
        <w:tc>
          <w:tcPr>
            <w:tcW w:type="dxa" w:w="9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时间/s</w:t>
            </w:r>
          </w:p>
        </w:tc>
        <w:tc>
          <w:tcPr>
            <w:tcW w:type="dxa" w:w="97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迭代</w:t>
            </w:r>
          </w:p>
        </w:tc>
        <w:tc>
          <w:tcPr>
            <w:tcW w:type="dxa" w:w="9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迭代/s</w:t>
            </w:r>
          </w:p>
        </w:tc>
        <w:tc>
          <w:tcPr>
            <w:tcW w:type="dxa" w:w="66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有效</w:t>
            </w:r>
          </w:p>
        </w:tc>
      </w:tr>
      <w:tr>
        <w:trPr>
          <w:cantSplit/>
        </w:trPr>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50</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12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175.526</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29.98</w:t>
            </w:r>
          </w:p>
        </w:tc>
        <w:tc>
          <w:tcPr>
            <w:tcW w:type="dxa" w:w="9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29749</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992.4</w:t>
            </w:r>
          </w:p>
        </w:tc>
        <w:tc>
          <w:tcPr>
            <w:tcW w:type="dxa" w:w="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2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322.078</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29.89</w:t>
            </w:r>
          </w:p>
        </w:tc>
        <w:tc>
          <w:tcPr>
            <w:tcW w:type="dxa" w:w="9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10876</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363.9</w:t>
            </w:r>
          </w:p>
        </w:tc>
        <w:tc>
          <w:tcPr>
            <w:tcW w:type="dxa" w:w="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150</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12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455.940</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29.65</w:t>
            </w:r>
          </w:p>
        </w:tc>
        <w:tc>
          <w:tcPr>
            <w:tcW w:type="dxa" w:w="9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4924</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166.1</w:t>
            </w:r>
          </w:p>
        </w:tc>
        <w:tc>
          <w:tcPr>
            <w:tcW w:type="dxa" w:w="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200</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2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604.460</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29.27</w:t>
            </w:r>
          </w:p>
        </w:tc>
        <w:tc>
          <w:tcPr>
            <w:tcW w:type="dxa" w:w="9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2698</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92.2</w:t>
            </w:r>
          </w:p>
        </w:tc>
        <w:tc>
          <w:tcPr>
            <w:tcW w:type="dxa" w:w="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bl>
    <w:p>
      <w:pPr>
        <w:keepNext w:val="0"/>
        <w:widowControl/>
      </w:pPr>
      <w:r>
        <w:rPr>
          <w:rFonts w:ascii="Times New Roman" w:hAnsi="Times New Roman" w:cs="Times New Roman" w:eastAsia="Songti SC"/>
          <w:b w:val="0"/>
        </w:rPr>
        <w:t>表5-3的每一行均记录为通过完整约束校验。表中的runtime_seconds仅为solve_alns搜索阶段时间；构造时间虽从30 s名义预算中扣除，但当前第5章JSON未单列construction_seconds或总wall_seconds，因而不能据此复核完整墙钟。迭代速度按实际迭代数除以搜索阶段时间计算。由于每个规模只有一次运行，图5-3仅连接观测点，用于呈现规模变化，不提供方差或显著性。</w:t>
      </w:r>
    </w:p>
    <w:p>
      <w:pPr>
        <w:keepNext/>
        <w:spacing w:before="0" w:after="0"/>
        <w:ind w:firstLine="0" w:left="0" w:right="0"/>
        <w:jc w:val="center"/>
      </w:pPr>
      <w:r>
        <w:drawing>
          <wp:inline xmlns:a="http://schemas.openxmlformats.org/drawingml/2006/main" xmlns:pic="http://schemas.openxmlformats.org/drawingml/2006/picture">
            <wp:extent cx="5478945" cy="2078862"/>
            <wp:docPr id="9" name="Picture 9" descr="图5-3 宽松截止期多机规模扩展结果" title="fig5_3_relaxed_multiscale.png"/>
            <wp:cNvGraphicFramePr>
              <a:graphicFrameLocks noChangeAspect="1"/>
            </wp:cNvGraphicFramePr>
            <a:graphic>
              <a:graphicData uri="http://schemas.openxmlformats.org/drawingml/2006/picture">
                <pic:pic>
                  <pic:nvPicPr>
                    <pic:cNvPr id="0" name="fig5_3_relaxed_multiscale.png"/>
                    <pic:cNvPicPr/>
                  </pic:nvPicPr>
                  <pic:blipFill>
                    <a:blip r:embed="rId12"/>
                    <a:stretch>
                      <a:fillRect/>
                    </a:stretch>
                  </pic:blipFill>
                  <pic:spPr>
                    <a:xfrm>
                      <a:off x="0" y="0"/>
                      <a:ext cx="5478945" cy="2078862"/>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图5-3 宽松截止期多机规模扩展结果</w:t>
      </w:r>
    </w:p>
    <w:p>
      <w:pPr>
        <w:pStyle w:val="4"/>
        <w:keepNext/>
        <w:widowControl/>
      </w:pPr>
      <w:r>
        <w:rPr>
          <w:rFonts w:ascii="Times New Roman" w:hAnsi="Times New Roman" w:cs="Times New Roman" w:eastAsia="Heiti SC"/>
          <w:b/>
        </w:rPr>
        <w:t>5.4 核心算子有效性</w:t>
      </w:r>
    </w:p>
    <w:p>
      <w:pPr>
        <w:keepNext w:val="0"/>
        <w:widowControl/>
      </w:pPr>
      <w:r>
        <w:rPr>
          <w:rFonts w:ascii="Times New Roman" w:hAnsi="Times New Roman" w:cs="Times New Roman" w:eastAsia="Songti SC"/>
          <w:b w:val="0"/>
        </w:rPr>
        <w:t>算子有效性使用正式小规模ALNS、多机扩展和四场景运行中保存的统计量汇总。表5-4把调用、接受、改进和奖励先跨运行累加，因此迭代更多的运行权重更高；图5-4则先在每次运行内把排他性结果转为百分比，再对运行等权平均。最终权重仅取有完整solution文件的4个多机扩展与12个四场景运行做算术平均；4个小规模ALNS行没有序列化末权重，因而不进入该列。两种口径和样本范围回答的问题不同，不应逐格等同。</w:t>
      </w:r>
    </w:p>
    <w:p>
      <w:pPr>
        <w:pStyle w:val="16"/>
        <w:keepNext/>
        <w:widowControl/>
        <w:ind w:firstLine="0"/>
        <w:jc w:val="center"/>
      </w:pPr>
      <w:r>
        <w:rPr>
          <w:rFonts w:ascii="Times New Roman" w:hAnsi="Times New Roman" w:cs="Times New Roman" w:eastAsia="Songti SC"/>
          <w:b w:val="0"/>
          <w:i w:val="0"/>
          <w:color w:val="000000"/>
          <w:sz w:val="18"/>
        </w:rPr>
        <w:t>表5-4 核心算子运行统计</w:t>
      </w:r>
    </w:p>
    <w:tbl>
      <w:tblPr>
        <w:tblStyle w:val="171"/>
        <w:tblW w:type="dxa" w:w="9179"/>
        <w:jc w:val="center"/>
        <w:tblLayout w:type="fixed"/>
        <w:tblLook w:firstColumn="1" w:firstRow="1" w:lastColumn="0" w:lastRow="0" w:noHBand="0" w:noVBand="1" w:val="04A0"/>
      </w:tblPr>
      <w:tblGrid>
        <w:gridCol w:w="635"/>
        <w:gridCol w:w="1386"/>
        <w:gridCol w:w="750"/>
        <w:gridCol w:w="750"/>
        <w:gridCol w:w="924"/>
        <w:gridCol w:w="924"/>
        <w:gridCol w:w="924"/>
        <w:gridCol w:w="981"/>
        <w:gridCol w:w="924"/>
        <w:gridCol w:w="981"/>
      </w:tblGrid>
      <w:tr>
        <w:trPr>
          <w:cantSplit/>
          <w:tblHeader w:val="true"/>
        </w:trPr>
        <w:tc>
          <w:tcPr>
            <w:tcW w:type="dxa" w:w="63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类型</w:t>
            </w:r>
          </w:p>
        </w:tc>
        <w:tc>
          <w:tcPr>
            <w:tcW w:type="dxa" w:w="138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算子</w:t>
            </w:r>
          </w:p>
        </w:tc>
        <w:tc>
          <w:tcPr>
            <w:tcW w:type="dxa" w:w="75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调用</w:t>
            </w:r>
          </w:p>
        </w:tc>
        <w:tc>
          <w:tcPr>
            <w:tcW w:type="dxa" w:w="75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接受</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接受率/%</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当前改进</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全局改进</w:t>
            </w:r>
          </w:p>
        </w:tc>
        <w:tc>
          <w:tcPr>
            <w:tcW w:type="dxa" w:w="98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累计奖励</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次均奖励</w:t>
            </w:r>
          </w:p>
        </w:tc>
        <w:tc>
          <w:tcPr>
            <w:tcW w:type="dxa" w:w="98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平均末权重</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random</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37719</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22697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60.17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2191</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419</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30946.0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0.820</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0.694</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worst_distance</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42301</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19132</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45.23</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5707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1249</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41249.0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0.975</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0.843</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worst_lex</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36142</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16049</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44.41</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4336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1084</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33393.0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0.924</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0.653</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spatial_related</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32864</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17236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52.45</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1673</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299</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23451.0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0.714</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0.687</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deadline_related</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36532</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20980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57.43</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2069</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420</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28867.0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0.790</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0.648</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late_critical</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33546</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15450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46.06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2986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679</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27124.0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0.809</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0.634</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route_segment</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7968</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2292</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28.77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186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52</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3058.0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0.384</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0.195</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capacity_conflict</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37046</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23366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63.07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1872</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354</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30398.0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0.821</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0.692</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assignment_destroy</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30375</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13590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44.74</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2449</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501</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22941.0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0.755</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0.505</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修复</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greedy</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91004</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55348</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60.82</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10315</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2208</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95125.0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1.045</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0.743</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修复</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regret2</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56257</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25405</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45.16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3524</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771</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39061.0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0.694</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0.570</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修复</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regret3</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79180</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43097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54.43</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7606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1720</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72795.0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0.919</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0.772</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修复</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deadline</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34658</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13582</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39.19</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1028</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167</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17334.0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0.500</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0.490</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修复</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slack</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33394</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13360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40.01</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996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191</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17112.0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0.512</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0.375</w:t>
            </w:r>
          </w:p>
        </w:tc>
      </w:tr>
    </w:tbl>
    <w:p>
      <w:pPr>
        <w:keepNext w:val="0"/>
        <w:widowControl/>
      </w:pPr>
      <w:r>
        <w:rPr>
          <w:rFonts w:ascii="Times New Roman" w:hAnsi="Times New Roman" w:cs="Times New Roman" w:eastAsia="Songti SC"/>
          <w:b w:val="0"/>
        </w:rPr>
        <w:t>14个注册算子在正式统计中均有记录。按累计全局最优改进次数，最高的观测算子为修复算子greedy（2208次）；破坏与修复算子成对使用，同一次奖励和改进标记会同时记到二者名下，因此该次数表示与全局改进共同出现的关联记录，不是单个算子的因果贡献。低频或低改进算子仍可能通过打开不同邻域帮助搜索跳出局部结构。</w:t>
      </w:r>
    </w:p>
    <w:p>
      <w:pPr>
        <w:keepNext/>
        <w:spacing w:before="0" w:after="0"/>
        <w:ind w:firstLine="0" w:left="0" w:right="0"/>
        <w:jc w:val="center"/>
      </w:pPr>
      <w:r>
        <w:drawing>
          <wp:inline xmlns:a="http://schemas.openxmlformats.org/drawingml/2006/main" xmlns:pic="http://schemas.openxmlformats.org/drawingml/2006/picture">
            <wp:extent cx="5478945" cy="3420660"/>
            <wp:docPr id="10" name="Picture 10" descr="图5-4 14个核心算子的调用结果构成（先按运行归一化，再等权汇总）" title="fig5_4_operator_effectiveness.png"/>
            <wp:cNvGraphicFramePr>
              <a:graphicFrameLocks noChangeAspect="1"/>
            </wp:cNvGraphicFramePr>
            <a:graphic>
              <a:graphicData uri="http://schemas.openxmlformats.org/drawingml/2006/picture">
                <pic:pic>
                  <pic:nvPicPr>
                    <pic:cNvPr id="0" name="fig5_4_operator_effectiveness.png"/>
                    <pic:cNvPicPr/>
                  </pic:nvPicPr>
                  <pic:blipFill>
                    <a:blip r:embed="rId13"/>
                    <a:stretch>
                      <a:fillRect/>
                    </a:stretch>
                  </pic:blipFill>
                  <pic:spPr>
                    <a:xfrm>
                      <a:off x="0" y="0"/>
                      <a:ext cx="5478945" cy="3420660"/>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图5-4 14个核心算子的调用结果构成（先按运行归一化，再等权汇总）</w:t>
      </w:r>
    </w:p>
    <w:p>
      <w:pPr>
        <w:pStyle w:val="4"/>
        <w:keepNext/>
        <w:widowControl/>
      </w:pPr>
      <w:r>
        <w:rPr>
          <w:rFonts w:ascii="Times New Roman" w:hAnsi="Times New Roman" w:cs="Times New Roman" w:eastAsia="Heiti SC"/>
          <w:b/>
        </w:rPr>
        <w:t>5.5 本章小结</w:t>
      </w:r>
    </w:p>
    <w:p>
      <w:pPr>
        <w:keepNext w:val="0"/>
        <w:widowControl/>
      </w:pPr>
      <w:r>
        <w:rPr>
          <w:rFonts w:ascii="Times New Roman" w:hAnsi="Times New Roman" w:cs="Times New Roman" w:eastAsia="Songti SC"/>
          <w:b w:val="0"/>
        </w:rPr>
        <w:t>正式结果给出三类证据：题设两任务例由精确算法复核为11 km；4个小规模实例中有2个ALNS运行达到精确三层得分；较宽松多机规模实验均产生通过校验的完整解。算子统计进一步确认最终14个注册算子实际进入搜索。正式200任务的四场景策略差异留待第6章分析。</w:t>
      </w:r>
    </w:p>
    <w:p>
      <w:pPr>
        <w:pStyle w:val="2"/>
        <w:keepNext/>
        <w:pageBreakBefore/>
        <w:widowControl/>
      </w:pPr>
      <w:r>
        <w:rPr>
          <w:rFonts w:ascii="Times New Roman" w:hAnsi="Times New Roman" w:cs="Times New Roman" w:eastAsia="Heiti SC"/>
          <w:b/>
        </w:rPr>
        <w:t>6 正式应用案例与策略分析</w:t>
      </w:r>
    </w:p>
    <w:p>
      <w:pPr>
        <w:keepNext w:val="0"/>
        <w:widowControl/>
      </w:pPr>
      <w:r>
        <w:rPr>
          <w:rFonts w:ascii="Times New Roman" w:hAnsi="Times New Roman" w:cs="Times New Roman" w:eastAsia="Songti SC"/>
          <w:b w:val="0"/>
        </w:rPr>
        <w:t>本章使用给定200任务、8架无人机的正式数据，按照最终差异化计算预算协议比较四种协同场景。纯Direct使用240 s，启用Relay或Station的场景均增加一次60 s，组合场景不会累计为360 s。因此，本章结果是按最终预算协议的配对比较，质量差异同时包含机制与额外计算时间的共同影响，不能解释为严格同墙钟下的纯机制因果效应。</w:t>
      </w:r>
    </w:p>
    <w:p>
      <w:pPr>
        <w:pStyle w:val="4"/>
        <w:keepNext/>
        <w:widowControl/>
      </w:pPr>
      <w:r>
        <w:rPr>
          <w:rFonts w:ascii="Times New Roman" w:hAnsi="Times New Roman" w:cs="Times New Roman" w:eastAsia="Heiti SC"/>
          <w:b/>
        </w:rPr>
        <w:t>6.1 200任务四场景正式案例</w:t>
      </w:r>
    </w:p>
    <w:p>
      <w:pPr>
        <w:pStyle w:val="5"/>
        <w:keepNext/>
        <w:widowControl/>
      </w:pPr>
      <w:r>
        <w:rPr>
          <w:rFonts w:ascii="Times New Roman" w:hAnsi="Times New Roman" w:cs="Times New Roman" w:eastAsia="Heiti SC"/>
          <w:b/>
        </w:rPr>
        <w:t>6.1.1 数据、网络与运行协议</w:t>
      </w:r>
    </w:p>
    <w:p>
      <w:pPr>
        <w:keepNext w:val="0"/>
        <w:widowControl/>
      </w:pPr>
      <w:r>
        <w:rPr>
          <w:rFonts w:ascii="Times New Roman" w:hAnsi="Times New Roman" w:cs="Times New Roman" w:eastAsia="Songti SC"/>
          <w:b w:val="0"/>
        </w:rPr>
        <w:t>正式实例含200项一对一取送任务和8架无人机，每机最多负责25项原始任务。解文件记录的容量为2件、速度为0.90 km/min，调度中心坐标为(0.0, 0.0)。正式运行使用3个配对种子：2026081701, 2026081702, 2026081703。</w:t>
      </w:r>
    </w:p>
    <w:p>
      <w:pPr>
        <w:keepNext w:val="0"/>
        <w:widowControl/>
      </w:pPr>
      <w:r>
        <w:rPr>
          <w:rFonts w:ascii="Times New Roman" w:hAnsi="Times New Roman" w:cs="Times New Roman" w:eastAsia="Songti SC"/>
          <w:b w:val="0"/>
        </w:rPr>
        <w:t>为保持几何口径一致，四场景均构造4个固定候选站；是否用于Relay交接或Station预部署由各场景开关决定。每个种子都覆盖相同四场景，执行顺序按种子轮换，以降低系统负载顺序造成的偏差。输入文件和求解器源码均以SHA-256记录，完整清单见附录B。</w:t>
      </w:r>
    </w:p>
    <w:p>
      <w:pPr>
        <w:pStyle w:val="5"/>
        <w:keepNext/>
        <w:widowControl/>
      </w:pPr>
      <w:r>
        <w:rPr>
          <w:rFonts w:ascii="Times New Roman" w:hAnsi="Times New Roman" w:cs="Times New Roman" w:eastAsia="Heiti SC"/>
          <w:b/>
        </w:rPr>
        <w:t>6.1.2 四场景定义与预算协议</w:t>
      </w:r>
    </w:p>
    <w:p>
      <w:pPr>
        <w:pStyle w:val="16"/>
        <w:keepNext/>
        <w:widowControl/>
        <w:ind w:firstLine="0"/>
        <w:jc w:val="center"/>
      </w:pPr>
      <w:r>
        <w:rPr>
          <w:rFonts w:ascii="Times New Roman" w:hAnsi="Times New Roman" w:cs="Times New Roman" w:eastAsia="Songti SC"/>
          <w:b w:val="0"/>
          <w:i w:val="0"/>
          <w:color w:val="000000"/>
          <w:sz w:val="18"/>
        </w:rPr>
        <w:t>表6-1 四场景定义与预算协议</w:t>
      </w:r>
    </w:p>
    <w:tbl>
      <w:tblPr>
        <w:tblStyle w:val="171"/>
        <w:tblW w:type="dxa" w:w="9179"/>
        <w:jc w:val="center"/>
        <w:tblLayout w:type="fixed"/>
        <w:tblLook w:firstColumn="1" w:firstRow="1" w:lastColumn="0" w:lastRow="0" w:noHBand="0" w:noVBand="1" w:val="04A0"/>
      </w:tblPr>
      <w:tblGrid>
        <w:gridCol w:w="1945"/>
        <w:gridCol w:w="669"/>
        <w:gridCol w:w="1520"/>
        <w:gridCol w:w="1763"/>
        <w:gridCol w:w="790"/>
        <w:gridCol w:w="729"/>
        <w:gridCol w:w="1033"/>
        <w:gridCol w:w="729"/>
      </w:tblGrid>
      <w:tr>
        <w:trPr>
          <w:cantSplit/>
          <w:tblHeader w:val="true"/>
        </w:trPr>
        <w:tc>
          <w:tcPr>
            <w:tcW w:type="dxa" w:w="194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场景</w:t>
            </w:r>
          </w:p>
        </w:tc>
        <w:tc>
          <w:tcPr>
            <w:tcW w:type="dxa" w:w="66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Relay</w:t>
            </w:r>
          </w:p>
        </w:tc>
        <w:tc>
          <w:tcPr>
            <w:tcW w:type="dxa" w:w="152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无人机起点</w:t>
            </w:r>
          </w:p>
        </w:tc>
        <w:tc>
          <w:tcPr>
            <w:tcW w:type="dxa" w:w="176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分阶段搜索</w:t>
            </w:r>
          </w:p>
        </w:tc>
        <w:tc>
          <w:tcPr>
            <w:tcW w:type="dxa" w:w="79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基础/s</w:t>
            </w:r>
          </w:p>
        </w:tc>
        <w:tc>
          <w:tcPr>
            <w:tcW w:type="dxa" w:w="72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加时/s</w:t>
            </w:r>
          </w:p>
        </w:tc>
        <w:tc>
          <w:tcPr>
            <w:tcW w:type="dxa" w:w="103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名义预算/s</w:t>
            </w:r>
          </w:p>
        </w:tc>
        <w:tc>
          <w:tcPr>
            <w:tcW w:type="dxa" w:w="72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种子数</w:t>
            </w:r>
          </w:p>
        </w:tc>
      </w:tr>
      <w:tr>
        <w:trPr>
          <w:cantSplit/>
        </w:trPr>
        <w:tc>
          <w:tcPr>
            <w:tcW w:type="dxa" w:w="19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pure_direct</w:t>
            </w:r>
          </w:p>
        </w:tc>
        <w:tc>
          <w:tcPr>
            <w:tcW w:type="dxa" w:w="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关</w:t>
            </w:r>
          </w:p>
        </w:tc>
        <w:tc>
          <w:tcPr>
            <w:tcW w:type="dxa" w:w="152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原点</w:t>
            </w:r>
          </w:p>
        </w:tc>
        <w:tc>
          <w:tcPr>
            <w:tcW w:type="dxa" w:w="17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全程DIRECT</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r>
      <w:tr>
        <w:trPr>
          <w:cantSplit/>
        </w:trPr>
        <w:tc>
          <w:tcPr>
            <w:tcW w:type="dxa" w:w="19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direct_relay</w:t>
            </w:r>
          </w:p>
        </w:tc>
        <w:tc>
          <w:tcPr>
            <w:tcW w:type="dxa" w:w="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开</w:t>
            </w:r>
          </w:p>
        </w:tc>
        <w:tc>
          <w:tcPr>
            <w:tcW w:type="dxa" w:w="152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原点</w:t>
            </w:r>
          </w:p>
        </w:tc>
        <w:tc>
          <w:tcPr>
            <w:tcW w:type="dxa" w:w="17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80% DIRECT + 20% Relay</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w:t>
            </w:r>
          </w:p>
        </w:tc>
        <w:tc>
          <w:tcPr>
            <w:tcW w:type="dxa" w:w="10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r>
      <w:tr>
        <w:trPr>
          <w:cantSplit/>
        </w:trPr>
        <w:tc>
          <w:tcPr>
            <w:tcW w:type="dxa" w:w="194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direct_stations</w:t>
            </w:r>
          </w:p>
        </w:tc>
        <w:tc>
          <w:tcPr>
            <w:tcW w:type="dxa" w:w="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关</w:t>
            </w:r>
          </w:p>
        </w:tc>
        <w:tc>
          <w:tcPr>
            <w:tcW w:type="dxa" w:w="152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需求驱动Station</w:t>
            </w:r>
          </w:p>
        </w:tc>
        <w:tc>
          <w:tcPr>
            <w:tcW w:type="dxa" w:w="17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全程DIRECT</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w:t>
            </w:r>
          </w:p>
        </w:tc>
        <w:tc>
          <w:tcPr>
            <w:tcW w:type="dxa" w:w="10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r>
      <w:tr>
        <w:trPr>
          <w:cantSplit/>
        </w:trPr>
        <w:tc>
          <w:tcPr>
            <w:tcW w:type="dxa" w:w="194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direct_relay_stations</w:t>
            </w:r>
          </w:p>
        </w:tc>
        <w:tc>
          <w:tcPr>
            <w:tcW w:type="dxa" w:w="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开</w:t>
            </w:r>
          </w:p>
        </w:tc>
        <w:tc>
          <w:tcPr>
            <w:tcW w:type="dxa" w:w="152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需求驱动Station</w:t>
            </w:r>
          </w:p>
        </w:tc>
        <w:tc>
          <w:tcPr>
            <w:tcW w:type="dxa" w:w="17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80% DIRECT + 20% Relay</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w:t>
            </w:r>
          </w:p>
        </w:tc>
        <w:tc>
          <w:tcPr>
            <w:tcW w:type="dxa" w:w="10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r>
    </w:tbl>
    <w:p>
      <w:pPr>
        <w:keepNext w:val="0"/>
        <w:widowControl/>
      </w:pPr>
      <w:r>
        <w:rPr>
          <w:rFonts w:ascii="Times New Roman" w:hAnsi="Times New Roman" w:cs="Times New Roman" w:eastAsia="Songti SC"/>
          <w:b w:val="0"/>
        </w:rPr>
        <w:t>表6-1中的加时按“是否使用Relay或Station”判断，只增加一次。构造时间计入名义预算，搜索时间还扣除安全余量；Relay场景在剩余预算内执行80% DIRECT预热与20% Relay搜索。</w:t>
      </w:r>
    </w:p>
    <w:p>
      <w:pPr>
        <w:pStyle w:val="5"/>
        <w:keepNext/>
        <w:widowControl/>
      </w:pPr>
      <w:r>
        <w:rPr>
          <w:rFonts w:ascii="Times New Roman" w:hAnsi="Times New Roman" w:cs="Times New Roman" w:eastAsia="Heiti SC"/>
          <w:b/>
        </w:rPr>
        <w:t>6.1.3 解质量与稳定性</w:t>
      </w:r>
    </w:p>
    <w:p>
      <w:pPr>
        <w:pStyle w:val="16"/>
        <w:keepNext/>
        <w:widowControl/>
        <w:ind w:firstLine="0"/>
        <w:jc w:val="center"/>
      </w:pPr>
      <w:r>
        <w:rPr>
          <w:rFonts w:ascii="Times New Roman" w:hAnsi="Times New Roman" w:cs="Times New Roman" w:eastAsia="Songti SC"/>
          <w:b w:val="0"/>
          <w:i w:val="0"/>
          <w:color w:val="000000"/>
          <w:sz w:val="18"/>
        </w:rPr>
        <w:t>表6-2 四场景三种子汇总结果</w:t>
      </w:r>
    </w:p>
    <w:tbl>
      <w:tblPr>
        <w:tblStyle w:val="171"/>
        <w:tblW w:type="dxa" w:w="9179"/>
        <w:jc w:val="center"/>
        <w:tblLayout w:type="fixed"/>
        <w:tblLook w:firstColumn="1" w:firstRow="1" w:lastColumn="0" w:lastRow="0" w:noHBand="0" w:noVBand="1" w:val="04A0"/>
      </w:tblPr>
      <w:tblGrid>
        <w:gridCol w:w="1787"/>
        <w:gridCol w:w="1109"/>
        <w:gridCol w:w="1294"/>
        <w:gridCol w:w="1294"/>
        <w:gridCol w:w="924"/>
        <w:gridCol w:w="924"/>
        <w:gridCol w:w="924"/>
        <w:gridCol w:w="924"/>
      </w:tblGrid>
      <w:tr>
        <w:trPr>
          <w:cantSplit/>
          <w:tblHeader w:val="true"/>
        </w:trPr>
        <w:tc>
          <w:tcPr>
            <w:tcW w:type="dxa" w:w="178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场景</w:t>
            </w:r>
          </w:p>
        </w:tc>
        <w:tc>
          <w:tcPr>
            <w:tcW w:type="dxa" w:w="110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逾期数</w:t>
            </w:r>
          </w:p>
        </w:tc>
        <w:tc>
          <w:tcPr>
            <w:tcW w:type="dxa" w:w="12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总逾期/min</w:t>
            </w:r>
          </w:p>
        </w:tc>
        <w:tc>
          <w:tcPr>
            <w:tcW w:type="dxa" w:w="12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航程/km</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墙钟/s</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迭代/s</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Relay任务</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跨机交接</w:t>
            </w:r>
          </w:p>
        </w:tc>
      </w:tr>
      <w:tr>
        <w:trPr>
          <w:cantSplit/>
        </w:trPr>
        <w:tc>
          <w:tcPr>
            <w:tcW w:type="dxa" w:w="17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Direct（原点起点）</w:t>
            </w:r>
          </w:p>
        </w:tc>
        <w:tc>
          <w:tcPr>
            <w:tcW w:type="dxa" w:w="110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63.67±1.53</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2078.83±44.60</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623.14±10.55</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77.0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r>
      <w:tr>
        <w:trPr>
          <w:cantSplit/>
        </w:trPr>
        <w:tc>
          <w:tcPr>
            <w:tcW w:type="dxa" w:w="17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 + Relay（原点起点）</w:t>
            </w:r>
          </w:p>
        </w:tc>
        <w:tc>
          <w:tcPr>
            <w:tcW w:type="dxa" w:w="110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63.67±1.53</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2085.83±47.96</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626.62±7.15</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65.1</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r>
      <w:tr>
        <w:trPr>
          <w:cantSplit/>
        </w:trPr>
        <w:tc>
          <w:tcPr>
            <w:tcW w:type="dxa" w:w="17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 + Station（需求驱动预部署）</w:t>
            </w:r>
          </w:p>
        </w:tc>
        <w:tc>
          <w:tcPr>
            <w:tcW w:type="dxa" w:w="110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59.33±0.58</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1897.46±113.36</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612.94±13.14</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75.6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r>
      <w:tr>
        <w:trPr>
          <w:cantSplit/>
        </w:trPr>
        <w:tc>
          <w:tcPr>
            <w:tcW w:type="dxa" w:w="17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 + Relay + Station</w:t>
            </w:r>
          </w:p>
        </w:tc>
        <w:tc>
          <w:tcPr>
            <w:tcW w:type="dxa" w:w="110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59.67±0.58</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1890.95±127.59</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622.47±18.54</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67.8</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4.67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4.33</w:t>
            </w:r>
          </w:p>
        </w:tc>
      </w:tr>
    </w:tbl>
    <w:p>
      <w:pPr>
        <w:keepNext w:val="0"/>
        <w:widowControl/>
      </w:pPr>
      <w:r>
        <w:rPr>
          <w:rFonts w:ascii="Times New Roman" w:hAnsi="Times New Roman" w:cs="Times New Roman" w:eastAsia="Songti SC"/>
          <w:b w:val="0"/>
        </w:rPr>
        <w:t>按三种子均值的三层顺序，观测到的最优场景为Direct + Station（需求驱动预部署），其均值三层得分为(59.33, 1897.46, 612.94)。均值只用于描述总体水平，逐种子配对胜负仍按每一对三层得分单独判定。</w:t>
      </w:r>
    </w:p>
    <w:p>
      <w:pPr>
        <w:keepNext/>
        <w:spacing w:before="0" w:after="0"/>
        <w:ind w:firstLine="0" w:left="0" w:right="0"/>
        <w:jc w:val="center"/>
      </w:pPr>
      <w:r>
        <w:drawing>
          <wp:inline xmlns:a="http://schemas.openxmlformats.org/drawingml/2006/main" xmlns:pic="http://schemas.openxmlformats.org/drawingml/2006/picture">
            <wp:extent cx="5478945" cy="2774950"/>
            <wp:docPr id="11" name="Picture 11" descr="图6-1 四场景三层目标比较（均值、标准差与逐次观测）" title="fig6_1_scenario_comparison.png"/>
            <wp:cNvGraphicFramePr>
              <a:graphicFrameLocks noChangeAspect="1"/>
            </wp:cNvGraphicFramePr>
            <a:graphic>
              <a:graphicData uri="http://schemas.openxmlformats.org/drawingml/2006/picture">
                <pic:pic>
                  <pic:nvPicPr>
                    <pic:cNvPr id="0" name="fig6_1_scenario_comparison.png"/>
                    <pic:cNvPicPr/>
                  </pic:nvPicPr>
                  <pic:blipFill>
                    <a:blip r:embed="rId14"/>
                    <a:stretch>
                      <a:fillRect/>
                    </a:stretch>
                  </pic:blipFill>
                  <pic:spPr>
                    <a:xfrm>
                      <a:off x="0" y="0"/>
                      <a:ext cx="5478945" cy="2774950"/>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图6-1 四场景三层目标比较（均值、标准差与逐次观测）</w:t>
      </w:r>
    </w:p>
    <w:p>
      <w:pPr>
        <w:pStyle w:val="5"/>
        <w:keepNext/>
        <w:widowControl/>
      </w:pPr>
      <w:r>
        <w:rPr>
          <w:rFonts w:ascii="Times New Roman" w:hAnsi="Times New Roman" w:cs="Times New Roman" w:eastAsia="Heiti SC"/>
          <w:b/>
        </w:rPr>
        <w:t>6.1.4 相对纯Direct的逐种子配对结果</w:t>
      </w:r>
    </w:p>
    <w:p>
      <w:pPr>
        <w:pStyle w:val="16"/>
        <w:keepNext/>
        <w:widowControl/>
        <w:ind w:firstLine="0"/>
        <w:jc w:val="center"/>
      </w:pPr>
      <w:r>
        <w:rPr>
          <w:rFonts w:ascii="Times New Roman" w:hAnsi="Times New Roman" w:cs="Times New Roman" w:eastAsia="Songti SC"/>
          <w:b w:val="0"/>
          <w:i w:val="0"/>
          <w:color w:val="000000"/>
          <w:sz w:val="18"/>
        </w:rPr>
        <w:t>表6-3 相对纯Direct的逐种子配对比较</w:t>
      </w:r>
    </w:p>
    <w:tbl>
      <w:tblPr>
        <w:tblStyle w:val="171"/>
        <w:tblW w:type="dxa" w:w="9179"/>
        <w:jc w:val="center"/>
        <w:tblLayout w:type="fixed"/>
        <w:tblLook w:firstColumn="1" w:firstRow="1" w:lastColumn="0" w:lastRow="0" w:noHBand="0" w:noVBand="1" w:val="04A0"/>
      </w:tblPr>
      <w:tblGrid>
        <w:gridCol w:w="1633"/>
        <w:gridCol w:w="901"/>
        <w:gridCol w:w="1577"/>
        <w:gridCol w:w="1577"/>
        <w:gridCol w:w="732"/>
        <w:gridCol w:w="957"/>
        <w:gridCol w:w="957"/>
        <w:gridCol w:w="845"/>
      </w:tblGrid>
      <w:tr>
        <w:trPr>
          <w:cantSplit/>
          <w:tblHeader w:val="true"/>
        </w:trPr>
        <w:tc>
          <w:tcPr>
            <w:tcW w:type="dxa" w:w="163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比较场景</w:t>
            </w:r>
          </w:p>
        </w:tc>
        <w:tc>
          <w:tcPr>
            <w:tcW w:type="dxa" w:w="90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种子</w:t>
            </w:r>
          </w:p>
        </w:tc>
        <w:tc>
          <w:tcPr>
            <w:tcW w:type="dxa" w:w="157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纯Direct得分</w:t>
            </w:r>
          </w:p>
        </w:tc>
        <w:tc>
          <w:tcPr>
            <w:tcW w:type="dxa" w:w="157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场景得分</w:t>
            </w:r>
          </w:p>
        </w:tc>
        <w:tc>
          <w:tcPr>
            <w:tcW w:type="dxa" w:w="73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Δ逾期数</w:t>
            </w:r>
          </w:p>
        </w:tc>
        <w:tc>
          <w:tcPr>
            <w:tcW w:type="dxa" w:w="95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Δ总逾期/min</w:t>
            </w:r>
          </w:p>
        </w:tc>
        <w:tc>
          <w:tcPr>
            <w:tcW w:type="dxa" w:w="95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Δ航程/km</w:t>
            </w:r>
          </w:p>
        </w:tc>
        <w:tc>
          <w:tcPr>
            <w:tcW w:type="dxa" w:w="84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字典序结果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Relay（原点起点）</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2026081701</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(62, 2043.49, 619.57)</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(62, 2030.61, 618.37)</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-12.88</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-1.21</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Relay（原点起点）</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2026081702</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(65, 2064.06, 614.84)</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(65, 2109.83, 631.02)</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45.76</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16.19</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负</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Relay（原点起点）</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2026081703</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(64, 2128.94, 635.01)</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(64, 2117.05, 630.47)</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-11.88</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-4.54</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Station（需求驱动预部署）</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2026081701</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(62, 2043.49, 619.57)</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(59, 1979.94, 618.07)</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-63.56</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-1.50</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Station（需求驱动预部署）</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2026081702</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(65, 2064.06, 614.84)</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(59, 1768.20, 598.02)</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-6</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-295.86</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-16.82</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Station（需求驱动预部署）</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2026081703</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(64, 2128.94, 635.01)</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(60, 1944.25, 622.74)</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-184.69</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-12.27</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Relay + Station</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2026081701</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(62, 2043.49, 619.57)</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(60, 1941.42, 627.44)</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-102.08</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7.87</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Relay + Station</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2026081702</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(65, 2064.06, 614.84)</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(59, 1745.84, 601.95)</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-6</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-318.22</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-12.88</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Relay + Station</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2026081703</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(64, 2128.94, 635.01)</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(60, 1985.59, 638.01)</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-143.35</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3.00</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bl>
    <w:p>
      <w:pPr>
        <w:keepNext w:val="0"/>
        <w:widowControl/>
      </w:pPr>
      <w:r>
        <w:rPr>
          <w:rFonts w:ascii="Times New Roman" w:hAnsi="Times New Roman" w:cs="Times New Roman" w:eastAsia="Songti SC"/>
          <w:b w:val="0"/>
        </w:rPr>
        <w:t>相对纯Direct的三组配对结果分别为：Direct + Relay（原点起点）为2胜0平1负；Direct + Station（需求驱动预部署）为3胜0平0负；Direct + Relay + Station为3胜0平0负。差值定义为扩展场景减去纯Direct，负值表示对应单项数值下降；最终胜负仍优先由逾期数决定，其次才是总逾期和航程。</w:t>
      </w:r>
    </w:p>
    <w:p>
      <w:pPr>
        <w:pStyle w:val="5"/>
        <w:keepNext/>
        <w:widowControl/>
      </w:pPr>
      <w:r>
        <w:rPr>
          <w:rFonts w:ascii="Times New Roman" w:hAnsi="Times New Roman" w:cs="Times New Roman" w:eastAsia="Heiti SC"/>
          <w:b/>
        </w:rPr>
        <w:t>6.1.5 Relay、预部署与计算效率解释</w:t>
      </w:r>
    </w:p>
    <w:p>
      <w:pPr>
        <w:pStyle w:val="16"/>
        <w:keepNext/>
        <w:widowControl/>
        <w:ind w:firstLine="0"/>
        <w:jc w:val="center"/>
      </w:pPr>
      <w:r>
        <w:rPr>
          <w:rFonts w:ascii="Times New Roman" w:hAnsi="Times New Roman" w:cs="Times New Roman" w:eastAsia="Songti SC"/>
          <w:b w:val="0"/>
          <w:i w:val="0"/>
          <w:color w:val="000000"/>
          <w:sz w:val="18"/>
        </w:rPr>
        <w:t>表6-4 四场景机制使用与起点指标</w:t>
      </w:r>
    </w:p>
    <w:tbl>
      <w:tblPr>
        <w:tblStyle w:val="171"/>
        <w:tblW w:type="dxa" w:w="9179"/>
        <w:jc w:val="center"/>
        <w:tblLayout w:type="fixed"/>
        <w:tblLook w:firstColumn="1" w:firstRow="1" w:lastColumn="0" w:lastRow="0" w:noHBand="0" w:noVBand="1" w:val="04A0"/>
      </w:tblPr>
      <w:tblGrid>
        <w:gridCol w:w="1943"/>
        <w:gridCol w:w="1005"/>
        <w:gridCol w:w="1005"/>
        <w:gridCol w:w="1005"/>
        <w:gridCol w:w="1005"/>
        <w:gridCol w:w="1005"/>
        <w:gridCol w:w="1072"/>
        <w:gridCol w:w="1139"/>
      </w:tblGrid>
      <w:tr>
        <w:trPr>
          <w:cantSplit/>
          <w:tblHeader w:val="true"/>
        </w:trPr>
        <w:tc>
          <w:tcPr>
            <w:tcW w:type="dxa" w:w="194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场景</w:t>
            </w:r>
          </w:p>
        </w:tc>
        <w:tc>
          <w:tcPr>
            <w:tcW w:type="dxa" w:w="100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Relay任务</w:t>
            </w:r>
          </w:p>
        </w:tc>
        <w:tc>
          <w:tcPr>
            <w:tcW w:type="dxa" w:w="100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Relay占比</w:t>
            </w:r>
          </w:p>
        </w:tc>
        <w:tc>
          <w:tcPr>
            <w:tcW w:type="dxa" w:w="100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跨机交接</w:t>
            </w:r>
          </w:p>
        </w:tc>
        <w:tc>
          <w:tcPr>
            <w:tcW w:type="dxa" w:w="100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同机经站</w:t>
            </w:r>
          </w:p>
        </w:tc>
        <w:tc>
          <w:tcPr>
            <w:tcW w:type="dxa" w:w="100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等待/min</w:t>
            </w:r>
          </w:p>
        </w:tc>
        <w:tc>
          <w:tcPr>
            <w:tcW w:type="dxa" w:w="107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首段空飞/km</w:t>
            </w:r>
          </w:p>
        </w:tc>
        <w:tc>
          <w:tcPr>
            <w:tcW w:type="dxa" w:w="113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最近home分配率</w:t>
            </w:r>
          </w:p>
        </w:tc>
      </w:tr>
      <w:tr>
        <w:trPr>
          <w:cantSplit/>
        </w:trPr>
        <w:tc>
          <w:tcPr>
            <w:tcW w:type="dxa" w:w="1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Direct（原点起点）</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22.51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1.000</w:t>
            </w:r>
          </w:p>
        </w:tc>
      </w:tr>
      <w:tr>
        <w:trPr>
          <w:cantSplit/>
        </w:trPr>
        <w:tc>
          <w:tcPr>
            <w:tcW w:type="dxa" w:w="194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 + Relay（原点起点）</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0.015</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2.48</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22.51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1.000</w:t>
            </w:r>
          </w:p>
        </w:tc>
      </w:tr>
      <w:tr>
        <w:trPr>
          <w:cantSplit/>
        </w:trPr>
        <w:tc>
          <w:tcPr>
            <w:tcW w:type="dxa" w:w="194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 + Station（需求驱动预部署）</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7.42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0.250</w:t>
            </w:r>
          </w:p>
        </w:tc>
      </w:tr>
      <w:tr>
        <w:trPr>
          <w:cantSplit/>
        </w:trPr>
        <w:tc>
          <w:tcPr>
            <w:tcW w:type="dxa" w:w="194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 + Relay + Station</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4.67</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0.023</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4.33</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0.33</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7.42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0.249</w:t>
            </w:r>
          </w:p>
        </w:tc>
      </w:tr>
    </w:tbl>
    <w:p>
      <w:pPr>
        <w:keepNext w:val="0"/>
        <w:widowControl/>
      </w:pPr>
      <w:r>
        <w:rPr>
          <w:rFonts w:ascii="Times New Roman" w:hAnsi="Times New Roman" w:cs="Times New Roman" w:eastAsia="Songti SC"/>
          <w:b w:val="0"/>
        </w:rPr>
        <w:t>两个Relay场景的六次运行合计使用23个Relay任务，其中记录22次跨机交接；因此Relay机制在正式解中确实被调用。 deadhead_km仅统计每架无人机从home到首个访问节点的首段调位里程；home_assignment_rate表示可识别的DIRECT取件任务中，其所在路线home为全部已部署home中最近者的比例，Relay腿不进入该分母，且原点场景因home相同而天然为1。三个扩展场景获得额外60 s，故机制指标与实测墙钟必须结合表6-1、表6-2共同解读。</w:t>
      </w:r>
    </w:p>
    <w:p>
      <w:pPr>
        <w:keepNext/>
        <w:spacing w:before="0" w:after="0"/>
        <w:ind w:firstLine="0" w:left="0" w:right="0"/>
        <w:jc w:val="center"/>
      </w:pPr>
      <w:r>
        <w:drawing>
          <wp:inline xmlns:a="http://schemas.openxmlformats.org/drawingml/2006/main" xmlns:pic="http://schemas.openxmlformats.org/drawingml/2006/picture">
            <wp:extent cx="5478945" cy="5386965"/>
            <wp:docPr id="12" name="Picture 12" descr="图6-2 四场景固定种子2026081701的路线布局" title="fig6_2_route_layouts.png"/>
            <wp:cNvGraphicFramePr>
              <a:graphicFrameLocks noChangeAspect="1"/>
            </wp:cNvGraphicFramePr>
            <a:graphic>
              <a:graphicData uri="http://schemas.openxmlformats.org/drawingml/2006/picture">
                <pic:pic>
                  <pic:nvPicPr>
                    <pic:cNvPr id="0" name="fig6_2_route_layouts.png"/>
                    <pic:cNvPicPr/>
                  </pic:nvPicPr>
                  <pic:blipFill>
                    <a:blip r:embed="rId15"/>
                    <a:stretch>
                      <a:fillRect/>
                    </a:stretch>
                  </pic:blipFill>
                  <pic:spPr>
                    <a:xfrm>
                      <a:off x="0" y="0"/>
                      <a:ext cx="5478945" cy="5386965"/>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图6-2 四场景固定种子2026081701的路线布局</w:t>
      </w:r>
    </w:p>
    <w:p>
      <w:pPr>
        <w:pStyle w:val="4"/>
        <w:keepNext/>
        <w:widowControl/>
      </w:pPr>
      <w:r>
        <w:rPr>
          <w:rFonts w:ascii="Times New Roman" w:hAnsi="Times New Roman" w:cs="Times New Roman" w:eastAsia="Heiti SC"/>
          <w:b/>
        </w:rPr>
        <w:t>6.2 组合场景敏感性分析</w:t>
      </w:r>
    </w:p>
    <w:p>
      <w:pPr>
        <w:keepNext w:val="0"/>
        <w:widowControl/>
      </w:pPr>
      <w:r>
        <w:rPr>
          <w:rFonts w:ascii="Times New Roman" w:hAnsi="Times New Roman" w:cs="Times New Roman" w:eastAsia="Songti SC"/>
          <w:b w:val="0"/>
        </w:rPr>
        <w:t>敏感性分析固定使用direct_relay_stations和种子2026081701，每次名义预算300 s。每次只改变一个参数，其余参数回到组合场景基准值；三个参数各有5个水平。由于每个水平只有一次运行，本节只讨论观察趋势，不提供误差线或统计显著性。</w:t>
      </w:r>
    </w:p>
    <w:p>
      <w:pPr>
        <w:pStyle w:val="16"/>
        <w:keepNext/>
        <w:widowControl/>
        <w:ind w:firstLine="0"/>
        <w:jc w:val="center"/>
      </w:pPr>
      <w:r>
        <w:rPr>
          <w:rFonts w:ascii="Times New Roman" w:hAnsi="Times New Roman" w:cs="Times New Roman" w:eastAsia="Songti SC"/>
          <w:b w:val="0"/>
          <w:i w:val="0"/>
          <w:color w:val="000000"/>
          <w:sz w:val="18"/>
        </w:rPr>
        <w:t>表6-5 敏感性实验设计</w:t>
      </w:r>
    </w:p>
    <w:tbl>
      <w:tblPr>
        <w:tblStyle w:val="171"/>
        <w:tblW w:type="dxa" w:w="9179"/>
        <w:jc w:val="center"/>
        <w:tblLayout w:type="fixed"/>
        <w:tblLook w:firstColumn="1" w:firstRow="1" w:lastColumn="0" w:lastRow="0" w:noHBand="0" w:noVBand="1" w:val="04A0"/>
      </w:tblPr>
      <w:tblGrid>
        <w:gridCol w:w="1530"/>
        <w:gridCol w:w="918"/>
        <w:gridCol w:w="857"/>
        <w:gridCol w:w="1163"/>
        <w:gridCol w:w="857"/>
        <w:gridCol w:w="1285"/>
        <w:gridCol w:w="918"/>
        <w:gridCol w:w="1652"/>
      </w:tblGrid>
      <w:tr>
        <w:trPr>
          <w:cantSplit/>
          <w:tblHeader w:val="true"/>
        </w:trPr>
        <w:tc>
          <w:tcPr>
            <w:tcW w:type="dxa" w:w="153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参数</w:t>
            </w:r>
          </w:p>
        </w:tc>
        <w:tc>
          <w:tcPr>
            <w:tcW w:type="dxa" w:w="91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水平</w:t>
            </w:r>
          </w:p>
        </w:tc>
        <w:tc>
          <w:tcPr>
            <w:tcW w:type="dxa" w:w="85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无人机</w:t>
            </w:r>
          </w:p>
        </w:tc>
        <w:tc>
          <w:tcPr>
            <w:tcW w:type="dxa" w:w="116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截止期倍率</w:t>
            </w:r>
          </w:p>
        </w:tc>
        <w:tc>
          <w:tcPr>
            <w:tcW w:type="dxa" w:w="85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中继站</w:t>
            </w:r>
          </w:p>
        </w:tc>
        <w:tc>
          <w:tcPr>
            <w:tcW w:type="dxa" w:w="128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种子</w:t>
            </w:r>
          </w:p>
        </w:tc>
        <w:tc>
          <w:tcPr>
            <w:tcW w:type="dxa" w:w="91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预算/s</w:t>
            </w:r>
          </w:p>
        </w:tc>
        <w:tc>
          <w:tcPr>
            <w:tcW w:type="dxa" w:w="165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控制</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drone_count</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drone_count</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drone_count</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drone_count</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drone_count</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deadline_multiplier</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0.80</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0.80</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deadline_multiplier</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0.90</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0.90</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deadline_multiplier</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deadline_multiplier</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1.10</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1.10</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deadline_multiplier</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1.20</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1.20</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station_count</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station_count</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station_count</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station_count</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r>
        <w:trPr>
          <w:cantSplit/>
        </w:trPr>
        <w:tc>
          <w:tcPr>
            <w:tcW w:type="dxa" w:w="15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station_count</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16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128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w:t>
            </w:r>
          </w:p>
        </w:tc>
        <w:tc>
          <w:tcPr>
            <w:tcW w:type="dxa" w:w="16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其余参数取基准值</w:t>
            </w:r>
          </w:p>
        </w:tc>
      </w:tr>
    </w:tbl>
    <w:p>
      <w:pPr>
        <w:keepNext w:val="0"/>
        <w:widowControl/>
      </w:pPr>
      <w:r>
        <w:rPr>
          <w:rFonts w:ascii="Times New Roman" w:hAnsi="Times New Roman" w:cs="Times New Roman" w:eastAsia="Songti SC"/>
          <w:b w:val="0"/>
        </w:rPr>
        <w:t>三个单因素轴都独立包含基准组合（8架无人机、截止期倍率1.0、4个站点），不跨轴复用已求得的基准解。固定seed用于控制随机流，但墙钟终止会使实际迭代数受运行速度影响，因此三个基准点不作为独立重复合并，也不要求逐位相同；每条曲线只使用本参数轴内部的五次运行。</w:t>
      </w:r>
    </w:p>
    <w:p>
      <w:pPr>
        <w:pStyle w:val="5"/>
        <w:keepNext/>
        <w:widowControl/>
      </w:pPr>
      <w:r>
        <w:rPr>
          <w:rFonts w:ascii="Times New Roman" w:hAnsi="Times New Roman" w:cs="Times New Roman" w:eastAsia="Heiti SC"/>
          <w:b/>
        </w:rPr>
        <w:t>6.2.1 无人机数量</w:t>
      </w:r>
    </w:p>
    <w:p>
      <w:pPr>
        <w:pStyle w:val="16"/>
        <w:keepNext/>
        <w:widowControl/>
        <w:ind w:firstLine="0"/>
        <w:jc w:val="center"/>
      </w:pPr>
      <w:r>
        <w:rPr>
          <w:rFonts w:ascii="Times New Roman" w:hAnsi="Times New Roman" w:cs="Times New Roman" w:eastAsia="Songti SC"/>
          <w:b w:val="0"/>
          <w:i w:val="0"/>
          <w:color w:val="000000"/>
          <w:sz w:val="18"/>
        </w:rPr>
        <w:t>表6-6 无人机数单因素结果</w:t>
      </w:r>
    </w:p>
    <w:tbl>
      <w:tblPr>
        <w:tblStyle w:val="171"/>
        <w:tblW w:type="dxa" w:w="9179"/>
        <w:jc w:val="center"/>
        <w:tblLayout w:type="fixed"/>
        <w:tblLook w:firstColumn="1" w:firstRow="1" w:lastColumn="0" w:lastRow="0" w:noHBand="0" w:noVBand="1" w:val="04A0"/>
      </w:tblPr>
      <w:tblGrid>
        <w:gridCol w:w="1131"/>
        <w:gridCol w:w="865"/>
        <w:gridCol w:w="1197"/>
        <w:gridCol w:w="1197"/>
        <w:gridCol w:w="998"/>
        <w:gridCol w:w="998"/>
        <w:gridCol w:w="998"/>
        <w:gridCol w:w="1064"/>
        <w:gridCol w:w="732"/>
      </w:tblGrid>
      <w:tr>
        <w:trPr>
          <w:cantSplit/>
          <w:tblHeader w:val="true"/>
        </w:trPr>
        <w:tc>
          <w:tcPr>
            <w:tcW w:type="dxa" w:w="113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无人机数</w:t>
            </w:r>
          </w:p>
        </w:tc>
        <w:tc>
          <w:tcPr>
            <w:tcW w:type="dxa" w:w="86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逾期数</w:t>
            </w:r>
          </w:p>
        </w:tc>
        <w:tc>
          <w:tcPr>
            <w:tcW w:type="dxa" w:w="119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总逾期/min</w:t>
            </w:r>
          </w:p>
        </w:tc>
        <w:tc>
          <w:tcPr>
            <w:tcW w:type="dxa" w:w="119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航程/km</w:t>
            </w:r>
          </w:p>
        </w:tc>
        <w:tc>
          <w:tcPr>
            <w:tcW w:type="dxa" w:w="99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Relay任务</w:t>
            </w:r>
          </w:p>
        </w:tc>
        <w:tc>
          <w:tcPr>
            <w:tcW w:type="dxa" w:w="99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跨机交接</w:t>
            </w:r>
          </w:p>
        </w:tc>
        <w:tc>
          <w:tcPr>
            <w:tcW w:type="dxa" w:w="99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等待/min</w:t>
            </w:r>
          </w:p>
        </w:tc>
        <w:tc>
          <w:tcPr>
            <w:tcW w:type="dxa" w:w="106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首段空飞/km</w:t>
            </w:r>
          </w:p>
        </w:tc>
        <w:tc>
          <w:tcPr>
            <w:tcW w:type="dxa" w:w="73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有效</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1906.87</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609.88</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0.06</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9.14</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46</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1344.19</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603.79</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9.31</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33</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728.97</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606.90</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8.74</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13</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230.73</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619.16</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11.17</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564.74</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5.72</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14.40</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bl>
    <w:p>
      <w:pPr>
        <w:keepNext w:val="0"/>
        <w:widowControl/>
      </w:pPr>
      <w:r>
        <w:rPr>
          <w:rFonts w:ascii="Times New Roman" w:hAnsi="Times New Roman" w:cs="Times New Roman" w:eastAsia="Songti SC"/>
          <w:b w:val="0"/>
        </w:rPr>
        <w:t>在本次单种子、单因素取值范围内，无人机数量的字典序最优观测点为16，得分为(0, 0.00, 564.74)。从最低水平到最高水平，逾期任务数由60变为0，总逾期由1906.87 min变为0.00 min，航程由609.88 km变为564.74 km。该比较只描述本固定种子下的方向，不作显著性推断。</w:t>
      </w:r>
    </w:p>
    <w:p>
      <w:pPr>
        <w:keepNext/>
        <w:spacing w:before="0" w:after="0"/>
        <w:ind w:firstLine="0" w:left="0" w:right="0"/>
        <w:jc w:val="center"/>
      </w:pPr>
      <w:r>
        <w:drawing>
          <wp:inline xmlns:a="http://schemas.openxmlformats.org/drawingml/2006/main" xmlns:pic="http://schemas.openxmlformats.org/drawingml/2006/picture">
            <wp:extent cx="5478945" cy="2086997"/>
            <wp:docPr id="13" name="Picture 13" descr="图6-3 无人机数量敏感性" title="fig6_3_drone_count_sensitivity.png"/>
            <wp:cNvGraphicFramePr>
              <a:graphicFrameLocks noChangeAspect="1"/>
            </wp:cNvGraphicFramePr>
            <a:graphic>
              <a:graphicData uri="http://schemas.openxmlformats.org/drawingml/2006/picture">
                <pic:pic>
                  <pic:nvPicPr>
                    <pic:cNvPr id="0" name="fig6_3_drone_count_sensitivity.png"/>
                    <pic:cNvPicPr/>
                  </pic:nvPicPr>
                  <pic:blipFill>
                    <a:blip r:embed="rId16"/>
                    <a:stretch>
                      <a:fillRect/>
                    </a:stretch>
                  </pic:blipFill>
                  <pic:spPr>
                    <a:xfrm>
                      <a:off x="0" y="0"/>
                      <a:ext cx="5478945" cy="2086997"/>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图6-3 无人机数量敏感性</w:t>
      </w:r>
    </w:p>
    <w:p>
      <w:pPr>
        <w:pStyle w:val="5"/>
        <w:keepNext/>
        <w:widowControl/>
      </w:pPr>
      <w:r>
        <w:rPr>
          <w:rFonts w:ascii="Times New Roman" w:hAnsi="Times New Roman" w:cs="Times New Roman" w:eastAsia="Heiti SC"/>
          <w:b/>
        </w:rPr>
        <w:t>6.2.2 最晚送达时间紧度</w:t>
      </w:r>
    </w:p>
    <w:p>
      <w:pPr>
        <w:pStyle w:val="16"/>
        <w:keepNext/>
        <w:widowControl/>
        <w:ind w:firstLine="0"/>
        <w:jc w:val="center"/>
      </w:pPr>
      <w:r>
        <w:rPr>
          <w:rFonts w:ascii="Times New Roman" w:hAnsi="Times New Roman" w:cs="Times New Roman" w:eastAsia="Songti SC"/>
          <w:b w:val="0"/>
          <w:i w:val="0"/>
          <w:color w:val="000000"/>
          <w:sz w:val="18"/>
        </w:rPr>
        <w:t>表6-7 截止期倍率单因素结果</w:t>
      </w:r>
    </w:p>
    <w:tbl>
      <w:tblPr>
        <w:tblStyle w:val="171"/>
        <w:tblW w:type="dxa" w:w="9179"/>
        <w:jc w:val="center"/>
        <w:tblLayout w:type="fixed"/>
        <w:tblLook w:firstColumn="1" w:firstRow="1" w:lastColumn="0" w:lastRow="0" w:noHBand="0" w:noVBand="1" w:val="04A0"/>
      </w:tblPr>
      <w:tblGrid>
        <w:gridCol w:w="1131"/>
        <w:gridCol w:w="865"/>
        <w:gridCol w:w="1197"/>
        <w:gridCol w:w="1197"/>
        <w:gridCol w:w="998"/>
        <w:gridCol w:w="998"/>
        <w:gridCol w:w="998"/>
        <w:gridCol w:w="1064"/>
        <w:gridCol w:w="732"/>
      </w:tblGrid>
      <w:tr>
        <w:trPr>
          <w:cantSplit/>
          <w:tblHeader w:val="true"/>
        </w:trPr>
        <w:tc>
          <w:tcPr>
            <w:tcW w:type="dxa" w:w="113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截止期倍率</w:t>
            </w:r>
          </w:p>
        </w:tc>
        <w:tc>
          <w:tcPr>
            <w:tcW w:type="dxa" w:w="86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逾期数</w:t>
            </w:r>
          </w:p>
        </w:tc>
        <w:tc>
          <w:tcPr>
            <w:tcW w:type="dxa" w:w="119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总逾期/min</w:t>
            </w:r>
          </w:p>
        </w:tc>
        <w:tc>
          <w:tcPr>
            <w:tcW w:type="dxa" w:w="119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航程/km</w:t>
            </w:r>
          </w:p>
        </w:tc>
        <w:tc>
          <w:tcPr>
            <w:tcW w:type="dxa" w:w="99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Relay任务</w:t>
            </w:r>
          </w:p>
        </w:tc>
        <w:tc>
          <w:tcPr>
            <w:tcW w:type="dxa" w:w="99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跨机交接</w:t>
            </w:r>
          </w:p>
        </w:tc>
        <w:tc>
          <w:tcPr>
            <w:tcW w:type="dxa" w:w="99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等待/min</w:t>
            </w:r>
          </w:p>
        </w:tc>
        <w:tc>
          <w:tcPr>
            <w:tcW w:type="dxa" w:w="106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首段空飞/km</w:t>
            </w:r>
          </w:p>
        </w:tc>
        <w:tc>
          <w:tcPr>
            <w:tcW w:type="dxa" w:w="73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有效</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0.80</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81</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2797.67</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610.43</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0.20</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7.98</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0.90</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71</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2227.97</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605.66</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2.13</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6.73</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1941.42</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627.44</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9.14</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1.10</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49</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1480.81</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607.41</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2.62</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6.32</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1.20</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39</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1161.89</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618.95</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0.03</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10.22</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bl>
    <w:p>
      <w:pPr>
        <w:keepNext w:val="0"/>
        <w:widowControl/>
      </w:pPr>
      <w:r>
        <w:rPr>
          <w:rFonts w:ascii="Times New Roman" w:hAnsi="Times New Roman" w:cs="Times New Roman" w:eastAsia="Songti SC"/>
          <w:b w:val="0"/>
        </w:rPr>
        <w:t>在本次单种子、单因素取值范围内，截止期倍率的字典序最优观测点为1.20，得分为(39, 1161.89, 618.95)。从最低水平到最高水平，逾期任务数由81变为39，总逾期由2797.67 min变为1161.89 min，航程由610.43 km变为618.95 km。该比较只描述本固定种子下的方向，不作显著性推断。</w:t>
      </w:r>
    </w:p>
    <w:p>
      <w:pPr>
        <w:keepNext/>
        <w:spacing w:before="0" w:after="0"/>
        <w:ind w:firstLine="0" w:left="0" w:right="0"/>
        <w:jc w:val="center"/>
      </w:pPr>
      <w:r>
        <w:drawing>
          <wp:inline xmlns:a="http://schemas.openxmlformats.org/drawingml/2006/main" xmlns:pic="http://schemas.openxmlformats.org/drawingml/2006/picture">
            <wp:extent cx="5478945" cy="2054026"/>
            <wp:docPr id="14" name="Picture 14" descr="图6-4 截止期紧度敏感性" title="fig6_3_deadline_multiplier_sensitivity.png"/>
            <wp:cNvGraphicFramePr>
              <a:graphicFrameLocks noChangeAspect="1"/>
            </wp:cNvGraphicFramePr>
            <a:graphic>
              <a:graphicData uri="http://schemas.openxmlformats.org/drawingml/2006/picture">
                <pic:pic>
                  <pic:nvPicPr>
                    <pic:cNvPr id="0" name="fig6_3_deadline_multiplier_sensitivity.png"/>
                    <pic:cNvPicPr/>
                  </pic:nvPicPr>
                  <pic:blipFill>
                    <a:blip r:embed="rId17"/>
                    <a:stretch>
                      <a:fillRect/>
                    </a:stretch>
                  </pic:blipFill>
                  <pic:spPr>
                    <a:xfrm>
                      <a:off x="0" y="0"/>
                      <a:ext cx="5478945" cy="2054026"/>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图6-4 截止期紧度敏感性</w:t>
      </w:r>
    </w:p>
    <w:p>
      <w:pPr>
        <w:pStyle w:val="5"/>
        <w:keepNext/>
        <w:widowControl/>
      </w:pPr>
      <w:r>
        <w:rPr>
          <w:rFonts w:ascii="Times New Roman" w:hAnsi="Times New Roman" w:cs="Times New Roman" w:eastAsia="Heiti SC"/>
          <w:b/>
        </w:rPr>
        <w:t>6.2.3 中继站数量</w:t>
      </w:r>
    </w:p>
    <w:p>
      <w:pPr>
        <w:pStyle w:val="16"/>
        <w:keepNext/>
        <w:widowControl/>
        <w:ind w:firstLine="0"/>
        <w:jc w:val="center"/>
      </w:pPr>
      <w:r>
        <w:rPr>
          <w:rFonts w:ascii="Times New Roman" w:hAnsi="Times New Roman" w:cs="Times New Roman" w:eastAsia="Songti SC"/>
          <w:b w:val="0"/>
          <w:i w:val="0"/>
          <w:color w:val="000000"/>
          <w:sz w:val="18"/>
        </w:rPr>
        <w:t>表6-8 中继站数单因素结果</w:t>
      </w:r>
    </w:p>
    <w:tbl>
      <w:tblPr>
        <w:tblStyle w:val="171"/>
        <w:tblW w:type="dxa" w:w="9179"/>
        <w:jc w:val="center"/>
        <w:tblLayout w:type="fixed"/>
        <w:tblLook w:firstColumn="1" w:firstRow="1" w:lastColumn="0" w:lastRow="0" w:noHBand="0" w:noVBand="1" w:val="04A0"/>
      </w:tblPr>
      <w:tblGrid>
        <w:gridCol w:w="1131"/>
        <w:gridCol w:w="865"/>
        <w:gridCol w:w="1197"/>
        <w:gridCol w:w="1197"/>
        <w:gridCol w:w="998"/>
        <w:gridCol w:w="998"/>
        <w:gridCol w:w="998"/>
        <w:gridCol w:w="1064"/>
        <w:gridCol w:w="732"/>
      </w:tblGrid>
      <w:tr>
        <w:trPr>
          <w:cantSplit/>
          <w:tblHeader w:val="true"/>
        </w:trPr>
        <w:tc>
          <w:tcPr>
            <w:tcW w:type="dxa" w:w="113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中继站数</w:t>
            </w:r>
          </w:p>
        </w:tc>
        <w:tc>
          <w:tcPr>
            <w:tcW w:type="dxa" w:w="86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逾期数</w:t>
            </w:r>
          </w:p>
        </w:tc>
        <w:tc>
          <w:tcPr>
            <w:tcW w:type="dxa" w:w="119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总逾期/min</w:t>
            </w:r>
          </w:p>
        </w:tc>
        <w:tc>
          <w:tcPr>
            <w:tcW w:type="dxa" w:w="119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航程/km</w:t>
            </w:r>
          </w:p>
        </w:tc>
        <w:tc>
          <w:tcPr>
            <w:tcW w:type="dxa" w:w="99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Relay任务</w:t>
            </w:r>
          </w:p>
        </w:tc>
        <w:tc>
          <w:tcPr>
            <w:tcW w:type="dxa" w:w="99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跨机交接</w:t>
            </w:r>
          </w:p>
        </w:tc>
        <w:tc>
          <w:tcPr>
            <w:tcW w:type="dxa" w:w="99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等待/min</w:t>
            </w:r>
          </w:p>
        </w:tc>
        <w:tc>
          <w:tcPr>
            <w:tcW w:type="dxa" w:w="106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首段空飞/km</w:t>
            </w:r>
          </w:p>
        </w:tc>
        <w:tc>
          <w:tcPr>
            <w:tcW w:type="dxa" w:w="73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有效</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1983.99</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608.23</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8.84</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2012.31</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635.12</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7.16</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1940.00</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623.75</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9.62</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9.14</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1823.99</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607.90</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8.63</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11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8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58</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1800.98</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609.49</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9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3.30</w:t>
            </w:r>
          </w:p>
        </w:tc>
        <w:tc>
          <w:tcPr>
            <w:tcW w:type="dxa" w:w="10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7.70</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bl>
    <w:p>
      <w:pPr>
        <w:keepNext w:val="0"/>
        <w:widowControl/>
      </w:pPr>
      <w:r>
        <w:rPr>
          <w:rFonts w:ascii="Times New Roman" w:hAnsi="Times New Roman" w:cs="Times New Roman" w:eastAsia="Songti SC"/>
          <w:b w:val="0"/>
        </w:rPr>
        <w:t>在本次单种子、单因素取值范围内，中继站数量的字典序最优观测点为6，得分为(58, 1800.98, 609.49)。从最低水平到最高水平，逾期任务数由59变为58，总逾期由1983.99 min变为1800.98 min，航程由608.23 km变为609.49 km。该比较只描述本固定种子下的方向，不作显著性推断。</w:t>
      </w:r>
    </w:p>
    <w:p>
      <w:pPr>
        <w:keepNext/>
        <w:spacing w:before="0" w:after="0"/>
        <w:ind w:firstLine="0" w:left="0" w:right="0"/>
        <w:jc w:val="center"/>
      </w:pPr>
      <w:r>
        <w:drawing>
          <wp:inline xmlns:a="http://schemas.openxmlformats.org/drawingml/2006/main" xmlns:pic="http://schemas.openxmlformats.org/drawingml/2006/picture">
            <wp:extent cx="5478945" cy="2027210"/>
            <wp:docPr id="15" name="Picture 15" descr="图6-5 中继站数量敏感性" title="fig6_3_station_count_sensitivity.png"/>
            <wp:cNvGraphicFramePr>
              <a:graphicFrameLocks noChangeAspect="1"/>
            </wp:cNvGraphicFramePr>
            <a:graphic>
              <a:graphicData uri="http://schemas.openxmlformats.org/drawingml/2006/picture">
                <pic:pic>
                  <pic:nvPicPr>
                    <pic:cNvPr id="0" name="fig6_3_station_count_sensitivity.png"/>
                    <pic:cNvPicPr/>
                  </pic:nvPicPr>
                  <pic:blipFill>
                    <a:blip r:embed="rId18"/>
                    <a:stretch>
                      <a:fillRect/>
                    </a:stretch>
                  </pic:blipFill>
                  <pic:spPr>
                    <a:xfrm>
                      <a:off x="0" y="0"/>
                      <a:ext cx="5478945" cy="2027210"/>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图6-5 中继站数量敏感性</w:t>
      </w:r>
    </w:p>
    <w:p>
      <w:pPr>
        <w:pStyle w:val="4"/>
        <w:keepNext/>
        <w:widowControl/>
      </w:pPr>
      <w:r>
        <w:rPr>
          <w:rFonts w:ascii="Times New Roman" w:hAnsi="Times New Roman" w:cs="Times New Roman" w:eastAsia="Heiti SC"/>
          <w:b/>
        </w:rPr>
        <w:t>6.3 管理启示</w:t>
      </w:r>
    </w:p>
    <w:p>
      <w:pPr>
        <w:keepNext w:val="0"/>
        <w:widowControl/>
      </w:pPr>
      <w:r>
        <w:rPr>
          <w:rFonts w:ascii="Times New Roman" w:hAnsi="Times New Roman" w:cs="Times New Roman" w:eastAsia="Songti SC"/>
          <w:b w:val="0"/>
        </w:rPr>
        <w:t>第一，本固定种子下，无人机数量为16时取得最低观测三层得分(0, 0.00, 564.74)。该结果仅提示应先检查增加运力后逾期数是否仍下降，再比较里程，并不构成最优机队规模的统计估计。</w:t>
      </w:r>
    </w:p>
    <w:p>
      <w:pPr>
        <w:keepNext w:val="0"/>
        <w:widowControl/>
      </w:pPr>
      <w:r>
        <w:rPr>
          <w:rFonts w:ascii="Times New Roman" w:hAnsi="Times New Roman" w:cs="Times New Roman" w:eastAsia="Songti SC"/>
          <w:b w:val="0"/>
        </w:rPr>
        <w:t>第二，本次站数轴以6站取得最低观测得分(58, 1800.98, 609.49)。站数同时改变接力候选网与预部署起点，故需结合Relay任务、跨机交接、等待和首段调位，不能单归因于接力覆盖。</w:t>
      </w:r>
    </w:p>
    <w:p>
      <w:pPr>
        <w:keepNext w:val="0"/>
        <w:widowControl/>
      </w:pPr>
      <w:r>
        <w:rPr>
          <w:rFonts w:ascii="Times New Roman" w:hAnsi="Times New Roman" w:cs="Times New Roman" w:eastAsia="Songti SC"/>
          <w:b w:val="0"/>
        </w:rPr>
        <w:t>第三，截止期倍率由0.80提高到1.20时，逾期数由81降至39。解释Relay作用还须确认Relay任务和跨机交接均非零，不能只由总得分反推机制使用。</w:t>
      </w:r>
    </w:p>
    <w:p>
      <w:pPr>
        <w:pStyle w:val="2"/>
        <w:keepNext/>
        <w:pageBreakBefore/>
        <w:widowControl/>
      </w:pPr>
      <w:r>
        <w:rPr>
          <w:rFonts w:ascii="Times New Roman" w:hAnsi="Times New Roman" w:cs="Times New Roman" w:eastAsia="Heiti SC"/>
          <w:b/>
        </w:rPr>
        <w:t>7 结论与展望</w:t>
      </w:r>
    </w:p>
    <w:p>
      <w:pPr>
        <w:pStyle w:val="4"/>
        <w:keepNext/>
        <w:widowControl/>
      </w:pPr>
      <w:r>
        <w:rPr>
          <w:rFonts w:ascii="Times New Roman" w:hAnsi="Times New Roman" w:cs="Times New Roman" w:eastAsia="Heiti SC"/>
          <w:b/>
        </w:rPr>
        <w:t>7.1 主要结论</w:t>
      </w:r>
    </w:p>
    <w:p>
      <w:pPr>
        <w:keepNext w:val="0"/>
        <w:widowControl/>
      </w:pPr>
      <w:r>
        <w:rPr>
          <w:rFonts w:ascii="Times New Roman" w:hAnsi="Times New Roman" w:cs="Times New Roman" w:eastAsia="Songti SC"/>
          <w:b w:val="0"/>
        </w:rPr>
        <w:t>在模型层面，本文统一描述开放式一对一取送、容量与单机任务上限、最终送达截止期、直送/固定中继接力以及异地起点，并以逾期任务数、总逾期时长和总航程构成严格三层目标。该口径避免用较短航程掩盖更差的服务水平。</w:t>
      </w:r>
    </w:p>
    <w:p>
      <w:pPr>
        <w:keepNext w:val="0"/>
        <w:widowControl/>
      </w:pPr>
      <w:r>
        <w:rPr>
          <w:rFonts w:ascii="Times New Roman" w:hAnsi="Times New Roman" w:cs="Times New Roman" w:eastAsia="Songti SC"/>
          <w:b w:val="0"/>
        </w:rPr>
        <w:t>在算法层面，regret-2与14算子ALNS共同优化任务归属和访问顺序，全局DAG评价统一处理异步中继交接，需求驱动预部署为每条路线固定实际起点。题设两任务例由精确动态规划复核为11 km，小规模对照和多机扩展的正式记录支持实现一致性、解可行性与可运行性。</w:t>
      </w:r>
    </w:p>
    <w:p>
      <w:pPr>
        <w:keepNext w:val="0"/>
        <w:widowControl/>
      </w:pPr>
      <w:r>
        <w:rPr>
          <w:rFonts w:ascii="Times New Roman" w:hAnsi="Times New Roman" w:cs="Times New Roman" w:eastAsia="Songti SC"/>
          <w:b w:val="0"/>
        </w:rPr>
        <w:t>在实验层面，按三种子均值三层顺序，Direct + Station（需求驱动预部署）的观测得分最低，均值为(59.33, 1897.46, 612.94)；相对纯Direct的配对结果为Direct + Relay（原点起点） 2胜0平1负；Direct + Station（需求驱动预部署） 3胜0平0负；Direct + Relay + Station 3胜0平0负。敏感性分析只支持单种子下的方向性解释，完整水平和结果见表6-6至表6-8。</w:t>
      </w:r>
    </w:p>
    <w:p>
      <w:pPr>
        <w:pStyle w:val="4"/>
        <w:keepNext/>
        <w:widowControl/>
      </w:pPr>
      <w:r>
        <w:rPr>
          <w:rFonts w:ascii="Times New Roman" w:hAnsi="Times New Roman" w:cs="Times New Roman" w:eastAsia="Heiti SC"/>
          <w:b/>
        </w:rPr>
        <w:t>7.2 理论与实践贡献</w:t>
      </w:r>
    </w:p>
    <w:p>
      <w:pPr>
        <w:keepNext w:val="0"/>
        <w:widowControl/>
      </w:pPr>
      <w:r>
        <w:rPr>
          <w:rFonts w:ascii="Times New Roman" w:hAnsi="Times New Roman" w:cs="Times New Roman" w:eastAsia="Songti SC"/>
          <w:b w:val="0"/>
        </w:rPr>
        <w:t>本文的理论贡献是把最终送达服务优先级写成可直接比较的严格三层目标，使逾期任务数量不被里程或时间权重抵消。方法贡献是以统一服务计划层和DAG时序评价连接DIRECT、RELAY与跨机交接，并以统一约束口径和分层可行性控制贯穿构造与搜索。实践贡献是以需求驱动预部署代替固定一站一机，再通过正式数据同时检查运力、站点、时效压力、首段调位和真实交接使用情况。</w:t>
      </w:r>
    </w:p>
    <w:p>
      <w:pPr>
        <w:pStyle w:val="4"/>
        <w:keepNext/>
        <w:widowControl/>
      </w:pPr>
      <w:r>
        <w:rPr>
          <w:rFonts w:ascii="Times New Roman" w:hAnsi="Times New Roman" w:cs="Times New Roman" w:eastAsia="Heiti SC"/>
          <w:b/>
        </w:rPr>
        <w:t>7.3 研究局限</w:t>
      </w:r>
    </w:p>
    <w:p>
      <w:pPr>
        <w:pStyle w:val="17"/>
        <w:keepNext w:val="0"/>
        <w:widowControl/>
      </w:pPr>
      <w:r>
        <w:rPr>
          <w:rFonts w:ascii="Times New Roman" w:hAnsi="Times New Roman" w:cs="Times New Roman" w:eastAsia="Songti SC"/>
          <w:b w:val="0"/>
        </w:rPr>
        <w:t>距离与飞行时间为确定性输入，未纳入天气、风场和随机服务时间；</w:t>
      </w:r>
    </w:p>
    <w:p>
      <w:pPr>
        <w:pStyle w:val="17"/>
        <w:keepNext w:val="0"/>
        <w:widowControl/>
      </w:pPr>
      <w:r>
        <w:rPr>
          <w:rFonts w:ascii="Times New Roman" w:hAnsi="Times New Roman" w:cs="Times New Roman" w:eastAsia="Songti SC"/>
          <w:b w:val="0"/>
        </w:rPr>
        <w:t>尚未建模电池衰减、充换电、空域冲突与飞行高度；</w:t>
      </w:r>
    </w:p>
    <w:p>
      <w:pPr>
        <w:pStyle w:val="17"/>
        <w:keepNext w:val="0"/>
        <w:widowControl/>
      </w:pPr>
      <w:r>
        <w:rPr>
          <w:rFonts w:ascii="Times New Roman" w:hAnsi="Times New Roman" w:cs="Times New Roman" w:eastAsia="Songti SC"/>
          <w:b w:val="0"/>
        </w:rPr>
        <w:t>固定中继站允许等待与缓存，但未设置最大缓存时长、库存容量、服务容量或并发队列；</w:t>
      </w:r>
    </w:p>
    <w:p>
      <w:pPr>
        <w:pStyle w:val="17"/>
        <w:keepNext w:val="0"/>
        <w:widowControl/>
      </w:pPr>
      <w:r>
        <w:rPr>
          <w:rFonts w:ascii="Times New Roman" w:hAnsi="Times New Roman" w:cs="Times New Roman" w:eastAsia="Songti SC"/>
          <w:b w:val="0"/>
        </w:rPr>
        <w:t>第6.1节采用差异化预算，机制收益与额外计算时间不能完全分离；</w:t>
      </w:r>
    </w:p>
    <w:p>
      <w:pPr>
        <w:pStyle w:val="17"/>
        <w:keepNext w:val="0"/>
        <w:widowControl/>
      </w:pPr>
      <w:r>
        <w:rPr>
          <w:rFonts w:ascii="Times New Roman" w:hAnsi="Times New Roman" w:cs="Times New Roman" w:eastAsia="Songti SC"/>
          <w:b w:val="0"/>
        </w:rPr>
        <w:t>第6.1节只有一个200任务实例和3个种子，不能代表更广泛需求分布；</w:t>
      </w:r>
    </w:p>
    <w:p>
      <w:pPr>
        <w:pStyle w:val="17"/>
        <w:keepNext w:val="0"/>
        <w:widowControl/>
      </w:pPr>
      <w:r>
        <w:rPr>
          <w:rFonts w:ascii="Times New Roman" w:hAnsi="Times New Roman" w:cs="Times New Roman" w:eastAsia="Songti SC"/>
          <w:b w:val="0"/>
        </w:rPr>
        <w:t>第6.2节每个参数水平只有一个种子，单因素设计不能识别参数交互；</w:t>
      </w:r>
    </w:p>
    <w:p>
      <w:pPr>
        <w:pStyle w:val="17"/>
        <w:keepNext w:val="0"/>
        <w:widowControl/>
      </w:pPr>
      <w:r>
        <w:rPr>
          <w:rFonts w:ascii="Times New Roman" w:hAnsi="Times New Roman" w:cs="Times New Roman" w:eastAsia="Songti SC"/>
          <w:b w:val="0"/>
        </w:rPr>
        <w:t>首段空飞与最近home分配率只是局部代理指标，不能替代完整运营成本；</w:t>
      </w:r>
    </w:p>
    <w:p>
      <w:pPr>
        <w:pStyle w:val="17"/>
        <w:keepNext w:val="0"/>
        <w:widowControl/>
      </w:pPr>
      <w:r>
        <w:rPr>
          <w:rFonts w:ascii="Times New Roman" w:hAnsi="Times New Roman" w:cs="Times New Roman" w:eastAsia="Songti SC"/>
          <w:b w:val="0"/>
        </w:rPr>
        <w:t>精确动态规划仅支持单机、DIRECT、公共原点的小规模验证，不能证明大规模或扩展场景全局最优。</w:t>
      </w:r>
    </w:p>
    <w:p>
      <w:pPr>
        <w:pStyle w:val="4"/>
        <w:keepNext/>
        <w:widowControl/>
      </w:pPr>
      <w:r>
        <w:rPr>
          <w:rFonts w:ascii="Times New Roman" w:hAnsi="Times New Roman" w:cs="Times New Roman" w:eastAsia="Heiti SC"/>
          <w:b/>
        </w:rPr>
        <w:t>7.4 后续研究</w:t>
      </w:r>
    </w:p>
    <w:p>
      <w:pPr>
        <w:pStyle w:val="17"/>
        <w:keepNext w:val="0"/>
        <w:widowControl/>
      </w:pPr>
      <w:r>
        <w:rPr>
          <w:rFonts w:ascii="Times New Roman" w:hAnsi="Times New Roman" w:cs="Times New Roman" w:eastAsia="Songti SC"/>
          <w:b w:val="0"/>
        </w:rPr>
        <w:t>补充相同总墙钟下的纯机制比较，并与当前最终预算协议并列报告；</w:t>
      </w:r>
    </w:p>
    <w:p>
      <w:pPr>
        <w:pStyle w:val="17"/>
        <w:keepNext w:val="0"/>
        <w:widowControl/>
      </w:pPr>
      <w:r>
        <w:rPr>
          <w:rFonts w:ascii="Times New Roman" w:hAnsi="Times New Roman" w:cs="Times New Roman" w:eastAsia="Songti SC"/>
          <w:b w:val="0"/>
        </w:rPr>
        <w:t>为敏感性实验增加多种子、置信区间和预先规定的统计比较；</w:t>
      </w:r>
    </w:p>
    <w:p>
      <w:pPr>
        <w:pStyle w:val="17"/>
        <w:keepNext w:val="0"/>
        <w:widowControl/>
      </w:pPr>
      <w:r>
        <w:rPr>
          <w:rFonts w:ascii="Times New Roman" w:hAnsi="Times New Roman" w:cs="Times New Roman" w:eastAsia="Songti SC"/>
          <w:b w:val="0"/>
        </w:rPr>
        <w:t>引入随机飞行时间、电池、充换电和空域冲突约束；</w:t>
      </w:r>
    </w:p>
    <w:p>
      <w:pPr>
        <w:pStyle w:val="17"/>
        <w:keepNext w:val="0"/>
        <w:widowControl/>
      </w:pPr>
      <w:r>
        <w:rPr>
          <w:rFonts w:ascii="Times New Roman" w:hAnsi="Times New Roman" w:cs="Times New Roman" w:eastAsia="Songti SC"/>
          <w:b w:val="0"/>
        </w:rPr>
        <w:t>联合优化中继站选址与无人机预部署，而非在搜索前固定；</w:t>
      </w:r>
    </w:p>
    <w:p>
      <w:pPr>
        <w:pStyle w:val="17"/>
        <w:keepNext w:val="0"/>
        <w:widowControl/>
      </w:pPr>
      <w:r>
        <w:rPr>
          <w:rFonts w:ascii="Times New Roman" w:hAnsi="Times New Roman" w:cs="Times New Roman" w:eastAsia="Songti SC"/>
          <w:b w:val="0"/>
        </w:rPr>
        <w:t>为大规模实例构造更强下界或数学规划基准。</w:t>
      </w:r>
    </w:p>
    <w:p>
      <w:pPr>
        <w:pStyle w:val="2"/>
        <w:keepNext/>
        <w:pageBreakBefore/>
        <w:widowControl/>
      </w:pPr>
      <w:r>
        <w:rPr>
          <w:rFonts w:ascii="Times New Roman" w:hAnsi="Times New Roman" w:cs="Times New Roman" w:eastAsia="Heiti SC"/>
          <w:b/>
        </w:rPr>
        <w:t>附录A 算法细节与伪代码</w:t>
      </w:r>
    </w:p>
    <w:p>
      <w:pPr>
        <w:pStyle w:val="4"/>
        <w:keepNext/>
        <w:widowControl/>
      </w:pPr>
      <w:r>
        <w:rPr>
          <w:rFonts w:ascii="Times New Roman" w:hAnsi="Times New Roman" w:cs="Times New Roman" w:eastAsia="Heiti SC"/>
          <w:b/>
        </w:rPr>
        <w:t>A.1 数据结构、事件编码与记号映射</w:t>
      </w:r>
    </w:p>
    <w:p>
      <w:pPr>
        <w:keepNext w:val="0"/>
        <w:widowControl/>
      </w:pPr>
      <w:r>
        <w:rPr>
          <w:rFonts w:ascii="Times New Roman" w:hAnsi="Times New Roman" w:cs="Times New Roman" w:eastAsia="Songti SC"/>
          <w:b w:val="0"/>
        </w:rPr>
        <w:t>程序以原始任务为破坏和修复的最小单位。DIRECT计划包含同一架无人机上的取件事件P_i和最终送达事件D_i；RELAY(h)计划把任务拆成入站运输腿与出站运输腿，并在固定站点h增加卸货与取货事件。路线索引与无人机home一一绑定，路线首段始终从该home计算。</w:t>
      </w:r>
    </w:p>
    <w:p>
      <w:pPr>
        <w:keepNext w:val="0"/>
        <w:widowControl/>
      </w:pPr>
      <w:r>
        <w:rPr>
          <w:rFonts w:ascii="Times New Roman" w:hAnsi="Times New Roman" w:cs="Times New Roman" w:eastAsia="Songti SC"/>
          <w:b w:val="0"/>
        </w:rPr>
        <w:t>Score保存(late_count, total_lateness_min, distance_km)，比较运算严格按元组字典序执行。浮点指标只在数值容差范围内判断相等；任何缺失任务、重复服务、容量越界、单机任务数越界、取送倒置或交接DAG有环都会使valid为False。</w:t>
      </w:r>
    </w:p>
    <w:p>
      <w:pPr>
        <w:pStyle w:val="4"/>
        <w:keepNext/>
        <w:widowControl/>
      </w:pPr>
      <w:r>
        <w:rPr>
          <w:rFonts w:ascii="Times New Roman" w:hAnsi="Times New Roman" w:cs="Times New Roman" w:eastAsia="Heiti SC"/>
          <w:b/>
        </w:rPr>
        <w:t>A.2 单机精确Pareto标签动态规划</w:t>
      </w:r>
    </w:p>
    <w:p>
      <w:pPr>
        <w:keepNext w:val="0"/>
        <w:widowControl/>
      </w:pPr>
      <w:r>
        <w:rPr>
          <w:rFonts w:ascii="Times New Roman" w:hAnsi="Times New Roman" w:cs="Times New Roman" w:eastAsia="Songti SC"/>
          <w:b w:val="0"/>
        </w:rPr>
        <w:t>精确算法仅用于单机、DIRECT且公共原点的开放式路线。其状态由(picked_mask, delivered_mask, last_visit)构成，标签同时记录到达状态的服务结果、累计距离与访问序列。转移只能取尚未取件且容量允许的任务，或送达已经取件但尚未送达的任务。对于同一状态，若一条标签在所有相关维度均不劣且至少一维严格更优，则支配另一条标签；只有非支配前缀进入下一步。全部任务送达后，按三层得分选择严格最优标签。</w:t>
      </w:r>
    </w:p>
    <w:p>
      <w:pPr>
        <w:pStyle w:val="16"/>
        <w:keepNext/>
        <w:widowControl/>
        <w:ind w:firstLine="0"/>
        <w:jc w:val="center"/>
      </w:pPr>
      <w:r>
        <w:rPr>
          <w:rFonts w:ascii="Times New Roman" w:hAnsi="Times New Roman" w:cs="Times New Roman" w:eastAsia="Songti SC"/>
          <w:b w:val="0"/>
          <w:i w:val="0"/>
          <w:color w:val="000000"/>
          <w:sz w:val="18"/>
        </w:rPr>
        <w:t>算法A-1 单机Pareto标签动态规划</w:t>
      </w:r>
    </w:p>
    <w:tbl>
      <w:tblPr>
        <w:tblStyle w:val="171"/>
        <w:tblW w:type="dxa" w:w="9179"/>
        <w:jc w:val="center"/>
        <w:tblLayout w:type="fixed"/>
        <w:tblLook w:firstColumn="1" w:firstRow="1" w:lastColumn="0" w:lastRow="0" w:noHBand="0" w:noVBand="1" w:val="04A0"/>
      </w:tblPr>
      <w:tblGrid>
        <w:gridCol w:w="994"/>
        <w:gridCol w:w="8185"/>
      </w:tblGrid>
      <w:tr>
        <w:trPr>
          <w:cantSplit/>
          <w:tblHeader w:val="true"/>
        </w:trPr>
        <w:tc>
          <w:tcPr>
            <w:tcW w:type="dxa" w:w="9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步骤</w:t>
            </w:r>
          </w:p>
        </w:tc>
        <w:tc>
          <w:tcPr>
            <w:tcW w:type="dxa" w:w="818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操作</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1</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建立空picked_mask、空delivered_mask和调度中心起始标签</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2</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枚举容量允许的取件动作与已取未送任务的送达动作</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3</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更新到达时刻、逾期指标、累计距离与访问序列</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4</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按同状态Pareto支配规则删除被支配标签</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5</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重复直至全部任务送达，返回最小三层得分及完整路线</w:t>
            </w:r>
          </w:p>
        </w:tc>
      </w:tr>
    </w:tbl>
    <w:p>
      <w:pPr>
        <w:pStyle w:val="4"/>
        <w:keepNext/>
        <w:widowControl/>
      </w:pPr>
      <w:r>
        <w:rPr>
          <w:rFonts w:ascii="Times New Roman" w:hAnsi="Times New Roman" w:cs="Times New Roman" w:eastAsia="Heiti SC"/>
          <w:b/>
        </w:rPr>
        <w:t>A.3 regret-2初始解</w:t>
      </w:r>
    </w:p>
    <w:p>
      <w:pPr>
        <w:keepNext w:val="0"/>
        <w:widowControl/>
      </w:pPr>
      <w:r>
        <w:rPr>
          <w:rFonts w:ascii="Times New Roman" w:hAnsi="Times New Roman" w:cs="Times New Roman" w:eastAsia="Songti SC"/>
          <w:b w:val="0"/>
        </w:rPr>
        <w:t>原点场景从空路线直接对全部待服务任务生成取送成对插入候选；Station场景先为每架无人机插入一个取件点最接近其home的相邻取送任务，再把其余任务交给regret-2。候选按三层增量排序，regret-2取最佳与次佳候选之间的损失，优先插入遗憾值最大的任务。若候选不足两个，则使用确定性边界值；home-aware场景在三层得分相同的情况下偏向降低起点首段空飞。</w:t>
      </w:r>
    </w:p>
    <w:p>
      <w:pPr>
        <w:pStyle w:val="16"/>
        <w:keepNext/>
        <w:widowControl/>
        <w:ind w:firstLine="0"/>
        <w:jc w:val="center"/>
      </w:pPr>
      <w:r>
        <w:rPr>
          <w:rFonts w:ascii="Times New Roman" w:hAnsi="Times New Roman" w:cs="Times New Roman" w:eastAsia="Songti SC"/>
          <w:b w:val="0"/>
          <w:i w:val="0"/>
          <w:color w:val="000000"/>
          <w:sz w:val="18"/>
        </w:rPr>
        <w:t>算法A-2 regret-2初始解</w:t>
      </w:r>
    </w:p>
    <w:tbl>
      <w:tblPr>
        <w:tblStyle w:val="171"/>
        <w:tblW w:type="dxa" w:w="9179"/>
        <w:jc w:val="center"/>
        <w:tblLayout w:type="fixed"/>
        <w:tblLook w:firstColumn="1" w:firstRow="1" w:lastColumn="0" w:lastRow="0" w:noHBand="0" w:noVBand="1" w:val="04A0"/>
      </w:tblPr>
      <w:tblGrid>
        <w:gridCol w:w="994"/>
        <w:gridCol w:w="8185"/>
      </w:tblGrid>
      <w:tr>
        <w:trPr>
          <w:cantSplit/>
          <w:tblHeader w:val="true"/>
        </w:trPr>
        <w:tc>
          <w:tcPr>
            <w:tcW w:type="dxa" w:w="9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步骤</w:t>
            </w:r>
          </w:p>
        </w:tc>
        <w:tc>
          <w:tcPr>
            <w:tcW w:type="dxa" w:w="818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操作</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1</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读取任务、无人机home、容量、单机任务上限和候选剪枝设置</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2</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若启用home_seed，每架无人机先获得取件点最接近其home的一个任务</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3</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为每个剩余任务枚举可行取件/送达位置，计算最佳与次佳三层增量</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4</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选择遗憾值最大的任务，执行其最佳可行插入并更新剩余集合</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5</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任务集合为空后，调用独立完整评价器验证初始方案并返回构造时间</w:t>
            </w:r>
          </w:p>
        </w:tc>
      </w:tr>
    </w:tbl>
    <w:p>
      <w:pPr>
        <w:pStyle w:val="4"/>
        <w:keepNext/>
        <w:widowControl/>
      </w:pPr>
      <w:r>
        <w:rPr>
          <w:rFonts w:ascii="Times New Roman" w:hAnsi="Times New Roman" w:cs="Times New Roman" w:eastAsia="Heiti SC"/>
          <w:b/>
        </w:rPr>
        <w:t>A.4 ALNS主循环</w:t>
      </w:r>
    </w:p>
    <w:p>
      <w:pPr>
        <w:keepNext w:val="0"/>
        <w:widowControl/>
      </w:pPr>
      <w:r>
        <w:rPr>
          <w:rFonts w:ascii="Times New Roman" w:hAnsi="Times New Roman" w:cs="Times New Roman" w:eastAsia="Songti SC"/>
          <w:b w:val="0"/>
        </w:rPr>
        <w:t>ALNS接收完整初始解、14个注册算子、初始权重、温度参数、随机种子、墙钟截止时间和最大迭代上界。修复过程通过局部可行插入维护结构，Relay候选通过全局DAG评价获得时序得分；刷新最优解时保存时间戳和三层得分轨迹，搜索结束后再对best执行独立完整校验。</w:t>
      </w:r>
    </w:p>
    <w:p>
      <w:pPr>
        <w:pStyle w:val="16"/>
        <w:keepNext/>
        <w:widowControl/>
        <w:ind w:firstLine="0"/>
        <w:jc w:val="center"/>
      </w:pPr>
      <w:r>
        <w:rPr>
          <w:rFonts w:ascii="Times New Roman" w:hAnsi="Times New Roman" w:cs="Times New Roman" w:eastAsia="Songti SC"/>
          <w:b w:val="0"/>
          <w:i w:val="0"/>
          <w:color w:val="000000"/>
          <w:sz w:val="18"/>
        </w:rPr>
        <w:t>算法A-3 ALNS主循环</w:t>
      </w:r>
    </w:p>
    <w:tbl>
      <w:tblPr>
        <w:tblStyle w:val="171"/>
        <w:tblW w:type="dxa" w:w="9179"/>
        <w:jc w:val="center"/>
        <w:tblLayout w:type="fixed"/>
        <w:tblLook w:firstColumn="1" w:firstRow="1" w:lastColumn="0" w:lastRow="0" w:noHBand="0" w:noVBand="1" w:val="04A0"/>
      </w:tblPr>
      <w:tblGrid>
        <w:gridCol w:w="994"/>
        <w:gridCol w:w="8185"/>
      </w:tblGrid>
      <w:tr>
        <w:trPr>
          <w:cantSplit/>
          <w:tblHeader w:val="true"/>
        </w:trPr>
        <w:tc>
          <w:tcPr>
            <w:tcW w:type="dxa" w:w="9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步骤</w:t>
            </w:r>
          </w:p>
        </w:tc>
        <w:tc>
          <w:tcPr>
            <w:tcW w:type="dxa" w:w="818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操作</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1</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初始化current=best=regret-2解、算子权重、温度和统计计数</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2</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按权重轮盘赌选择一个destroy和一个repair算子</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3</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移除完整任务并修复为覆盖全部任务的候选方案</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4</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以局部可行插入维护容量/配对/任务上限；Relay候选执行DAG时序评价</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5</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按三层目标比较；结合模拟退火准则接受或拒绝候选</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6</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记录接受、当前改进、全局改进和奖励，区段末平滑更新权重</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7</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达到墙钟截止或迭代上界后完整校验best；合法时返回统计和轨迹</w:t>
            </w:r>
          </w:p>
        </w:tc>
      </w:tr>
    </w:tbl>
    <w:p>
      <w:pPr>
        <w:pStyle w:val="4"/>
        <w:keepNext/>
        <w:widowControl/>
      </w:pPr>
      <w:r>
        <w:rPr>
          <w:rFonts w:ascii="Times New Roman" w:hAnsi="Times New Roman" w:cs="Times New Roman" w:eastAsia="Heiti SC"/>
          <w:b/>
        </w:rPr>
        <w:t>A.5 14个核心算子的完整定义</w:t>
      </w:r>
    </w:p>
    <w:p>
      <w:pPr>
        <w:pStyle w:val="16"/>
        <w:keepNext/>
        <w:widowControl/>
        <w:ind w:firstLine="0"/>
        <w:jc w:val="center"/>
      </w:pPr>
      <w:r>
        <w:rPr>
          <w:rFonts w:ascii="Times New Roman" w:hAnsi="Times New Roman" w:cs="Times New Roman" w:eastAsia="Songti SC"/>
          <w:b w:val="0"/>
          <w:i w:val="0"/>
          <w:color w:val="000000"/>
          <w:sz w:val="18"/>
        </w:rPr>
        <w:t>表A-1 最终14个注册算子定义</w:t>
      </w:r>
    </w:p>
    <w:tbl>
      <w:tblPr>
        <w:tblStyle w:val="171"/>
        <w:tblW w:type="dxa" w:w="9179"/>
        <w:jc w:val="center"/>
        <w:tblLayout w:type="fixed"/>
        <w:tblLook w:firstColumn="1" w:firstRow="1" w:lastColumn="0" w:lastRow="0" w:noHBand="0" w:noVBand="1" w:val="04A0"/>
      </w:tblPr>
      <w:tblGrid>
        <w:gridCol w:w="1328"/>
        <w:gridCol w:w="866"/>
        <w:gridCol w:w="2021"/>
        <w:gridCol w:w="1616"/>
        <w:gridCol w:w="1790"/>
        <w:gridCol w:w="1559"/>
      </w:tblGrid>
      <w:tr>
        <w:trPr>
          <w:cantSplit/>
          <w:tblHeader w:val="true"/>
        </w:trPr>
        <w:tc>
          <w:tcPr>
            <w:tcW w:type="dxa" w:w="132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name</w:t>
            </w:r>
          </w:p>
        </w:tc>
        <w:tc>
          <w:tcPr>
            <w:tcW w:type="dxa" w:w="86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category</w:t>
            </w:r>
          </w:p>
        </w:tc>
        <w:tc>
          <w:tcPr>
            <w:tcW w:type="dxa" w:w="202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selection_rule</w:t>
            </w:r>
          </w:p>
        </w:tc>
        <w:tc>
          <w:tcPr>
            <w:tcW w:type="dxa" w:w="161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state_changed</w:t>
            </w:r>
          </w:p>
        </w:tc>
        <w:tc>
          <w:tcPr>
            <w:tcW w:type="dxa" w:w="179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feasibility_checks</w:t>
            </w:r>
          </w:p>
        </w:tc>
        <w:tc>
          <w:tcPr>
            <w:tcW w:type="dxa" w:w="155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complexity_driver</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random</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随机抽取完整任务</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任务归属与访问位置</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统一可行性评价</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worst_distance</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优先移除边际航程最大的任务</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长距离局部结构</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容量、配对与DAG</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worst_lex</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按三层目标边际损失排序</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服务与里程冲突任务</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严格字典序重评</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spatial_related</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移除空间邻近的相关任务</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局部空间簇</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完整任务成对移除</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deadline_related</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移除截止期相近的任务</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时效相关任务簇</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最终送达时刻重算</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late_critical</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优先移除逾期或高风险任务</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关键服务任务</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无逾期时安全回退</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route_segment</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破坏连续路线片段</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局部访问片段</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任务取送成对清理</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capacity_conflict</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聚焦高载荷冲突附近任务</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容量紧张片段</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容量轨迹逐点检查</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assignment_destroy</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跨无人机解除任务分配</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任务—无人机归属</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单机任务上限与全局校验</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greedy</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repair</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选择最佳可行插入</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取送成对插入位置</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枚举后精确评价</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候选评估与可行插入枚举</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regret2</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repair</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按最佳与次佳插入差排序</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最难延后任务</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候选不足时确定性回退</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候选评估与可行插入枚举</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regret3</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repair</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按前三个插入机会的遗憾值排序</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插入选择脆弱任务</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候选可行性逐一检查</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候选评估与可行插入枚举</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deadline</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repair</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按截止期紧迫度优先插入</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紧急任务位置</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准时性以最终送达判定</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候选评估与可行插入枚举</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slack</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repair</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按剩余时限与松弛度优先插入</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低松弛任务位置</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时间与容量联合检查</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候选评估与可行插入枚举</w:t>
            </w:r>
          </w:p>
        </w:tc>
      </w:tr>
    </w:tbl>
    <w:p>
      <w:pPr>
        <w:keepNext w:val="0"/>
        <w:widowControl/>
      </w:pPr>
      <w:r>
        <w:rPr>
          <w:rFonts w:ascii="Times New Roman" w:hAnsi="Times New Roman" w:cs="Times New Roman" w:eastAsia="Songti SC"/>
          <w:b w:val="0"/>
        </w:rPr>
        <w:t>边界处理遵循显式规则：任务集合为空时不执行无意义破坏；无逾期任务时late_critical回退到可定义的完整任务选择；候选不足时使用确定性排序边界。若某个待修复任务不存在精确可行插入，或初始/最终完整评价失败，程序抛出异常并中止该次运行，不把不完整方案写成有效结果。</w:t>
      </w:r>
    </w:p>
    <w:p>
      <w:pPr>
        <w:pStyle w:val="4"/>
        <w:keepNext/>
        <w:widowControl/>
      </w:pPr>
      <w:r>
        <w:rPr>
          <w:rFonts w:ascii="Times New Roman" w:hAnsi="Times New Roman" w:cs="Times New Roman" w:eastAsia="Heiti SC"/>
          <w:b/>
        </w:rPr>
        <w:t>A.6 Relay候选生成与全局DAG评价</w:t>
      </w:r>
    </w:p>
    <w:p>
      <w:pPr>
        <w:keepNext w:val="0"/>
        <w:widowControl/>
      </w:pPr>
      <w:r>
        <w:rPr>
          <w:rFonts w:ascii="Times New Roman" w:hAnsi="Times New Roman" w:cs="Times New Roman" w:eastAsia="Songti SC"/>
          <w:b w:val="0"/>
        </w:rPr>
        <w:t>Relay网络先为每项任务筛选有限的固定站候选，再把被选任务拆成入站和出站运输腿。路线内部访问顺序产生路线边，中继卸货到取货产生交接边；二者组成的DAG用于检测循环等待并传播最早服务时刻。出站无人机早到时等待，不要求与入站无人机同步到达。中继等待、同机经站与跨机交接均写入解文件，供第6章机制解释。</w:t>
      </w:r>
    </w:p>
    <w:p>
      <w:pPr>
        <w:pStyle w:val="16"/>
        <w:keepNext/>
        <w:widowControl/>
        <w:ind w:firstLine="0"/>
        <w:jc w:val="center"/>
      </w:pPr>
      <w:r>
        <w:rPr>
          <w:rFonts w:ascii="Times New Roman" w:hAnsi="Times New Roman" w:cs="Times New Roman" w:eastAsia="Songti SC"/>
          <w:b w:val="0"/>
          <w:i w:val="0"/>
          <w:color w:val="000000"/>
          <w:sz w:val="18"/>
        </w:rPr>
        <w:t>算法A-4 Relay全局评价与预部署</w:t>
      </w:r>
    </w:p>
    <w:tbl>
      <w:tblPr>
        <w:tblStyle w:val="171"/>
        <w:tblW w:type="dxa" w:w="9179"/>
        <w:jc w:val="center"/>
        <w:tblLayout w:type="fixed"/>
        <w:tblLook w:firstColumn="1" w:firstRow="1" w:lastColumn="0" w:lastRow="0" w:noHBand="0" w:noVBand="1" w:val="04A0"/>
      </w:tblPr>
      <w:tblGrid>
        <w:gridCol w:w="1300"/>
        <w:gridCol w:w="1912"/>
        <w:gridCol w:w="3595"/>
        <w:gridCol w:w="2371"/>
      </w:tblGrid>
      <w:tr>
        <w:trPr>
          <w:cantSplit/>
          <w:tblHeader w:val="true"/>
        </w:trPr>
        <w:tc>
          <w:tcPr>
            <w:tcW w:type="dxa" w:w="130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阶段</w:t>
            </w:r>
          </w:p>
        </w:tc>
        <w:tc>
          <w:tcPr>
            <w:tcW w:type="dxa" w:w="19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输入</w:t>
            </w:r>
          </w:p>
        </w:tc>
        <w:tc>
          <w:tcPr>
            <w:tcW w:type="dxa" w:w="359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关键处理</w:t>
            </w:r>
          </w:p>
        </w:tc>
        <w:tc>
          <w:tcPr>
            <w:tcW w:type="dxa" w:w="237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输出</w:t>
            </w:r>
          </w:p>
        </w:tc>
      </w:tr>
      <w:tr>
        <w:trPr>
          <w:cantSplit/>
        </w:trPr>
        <w:tc>
          <w:tcPr>
            <w:tcW w:type="dxa" w:w="13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候选网络</w:t>
            </w:r>
          </w:p>
        </w:tc>
        <w:tc>
          <w:tcPr>
            <w:tcW w:type="dxa" w:w="1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任务、站点</w:t>
            </w:r>
          </w:p>
        </w:tc>
        <w:tc>
          <w:tcPr>
            <w:tcW w:type="dxa" w:w="359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筛选绕行可接受的站点与运输腿</w:t>
            </w:r>
          </w:p>
        </w:tc>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任务—站点候选</w:t>
            </w:r>
          </w:p>
        </w:tc>
      </w:tr>
      <w:tr>
        <w:trPr>
          <w:cantSplit/>
        </w:trPr>
        <w:tc>
          <w:tcPr>
            <w:tcW w:type="dxa" w:w="13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服务计划</w:t>
            </w:r>
          </w:p>
        </w:tc>
        <w:tc>
          <w:tcPr>
            <w:tcW w:type="dxa" w:w="19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 incumbent</w:t>
            </w:r>
          </w:p>
        </w:tc>
        <w:tc>
          <w:tcPr>
            <w:tcW w:type="dxa" w:w="359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中继播种与周期性跨机精化</w:t>
            </w:r>
          </w:p>
        </w:tc>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DIRECT/RELAY计划</w:t>
            </w:r>
          </w:p>
        </w:tc>
      </w:tr>
      <w:tr>
        <w:trPr>
          <w:cantSplit/>
        </w:trPr>
        <w:tc>
          <w:tcPr>
            <w:tcW w:type="dxa" w:w="13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DAG评价</w:t>
            </w:r>
          </w:p>
        </w:tc>
        <w:tc>
          <w:tcPr>
            <w:tcW w:type="dxa" w:w="1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路线边、交接边</w:t>
            </w:r>
          </w:p>
        </w:tc>
        <w:tc>
          <w:tcPr>
            <w:tcW w:type="dxa" w:w="359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环检测、拓扑时刻传播和等待计算</w:t>
            </w:r>
          </w:p>
        </w:tc>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valid与最终送达时刻</w:t>
            </w:r>
          </w:p>
        </w:tc>
      </w:tr>
      <w:tr>
        <w:trPr>
          <w:cantSplit/>
        </w:trPr>
        <w:tc>
          <w:tcPr>
            <w:tcW w:type="dxa" w:w="13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预部署</w:t>
            </w:r>
          </w:p>
        </w:tc>
        <w:tc>
          <w:tcPr>
            <w:tcW w:type="dxa" w:w="1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候选home、需求得分</w:t>
            </w:r>
          </w:p>
        </w:tc>
        <w:tc>
          <w:tcPr>
            <w:tcW w:type="dxa" w:w="359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Hamilton配额与局部调整</w:t>
            </w:r>
          </w:p>
        </w:tc>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路线索引对应home</w:t>
            </w:r>
          </w:p>
        </w:tc>
      </w:tr>
    </w:tbl>
    <w:p>
      <w:pPr>
        <w:pStyle w:val="4"/>
        <w:keepNext/>
        <w:widowControl/>
      </w:pPr>
      <w:r>
        <w:rPr>
          <w:rFonts w:ascii="Times New Roman" w:hAnsi="Times New Roman" w:cs="Times New Roman" w:eastAsia="Heiti SC"/>
          <w:b/>
        </w:rPr>
        <w:t>A.7 正式协议参数</w:t>
      </w:r>
    </w:p>
    <w:p>
      <w:pPr>
        <w:pStyle w:val="16"/>
        <w:keepNext/>
        <w:widowControl/>
        <w:ind w:firstLine="0"/>
        <w:jc w:val="center"/>
      </w:pPr>
      <w:r>
        <w:rPr>
          <w:rFonts w:ascii="Times New Roman" w:hAnsi="Times New Roman" w:cs="Times New Roman" w:eastAsia="Songti SC"/>
          <w:b w:val="0"/>
          <w:i w:val="0"/>
          <w:color w:val="000000"/>
          <w:sz w:val="18"/>
        </w:rPr>
        <w:t>表A-2 正式结果文件可复核的算法与实验参数</w:t>
      </w:r>
    </w:p>
    <w:tbl>
      <w:tblPr>
        <w:tblStyle w:val="171"/>
        <w:tblW w:type="dxa" w:w="9179"/>
        <w:jc w:val="center"/>
        <w:tblLayout w:type="fixed"/>
        <w:tblLook w:firstColumn="1" w:firstRow="1" w:lastColumn="0" w:lastRow="0" w:noHBand="0" w:noVBand="1" w:val="04A0"/>
      </w:tblPr>
      <w:tblGrid>
        <w:gridCol w:w="1783"/>
        <w:gridCol w:w="1915"/>
        <w:gridCol w:w="1189"/>
        <w:gridCol w:w="858"/>
        <w:gridCol w:w="1783"/>
        <w:gridCol w:w="1651"/>
      </w:tblGrid>
      <w:tr>
        <w:trPr>
          <w:cantSplit/>
          <w:tblHeader w:val="true"/>
        </w:trPr>
        <w:tc>
          <w:tcPr>
            <w:tcW w:type="dxa" w:w="178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参数</w:t>
            </w:r>
          </w:p>
        </w:tc>
        <w:tc>
          <w:tcPr>
            <w:tcW w:type="dxa" w:w="191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键</w:t>
            </w:r>
          </w:p>
        </w:tc>
        <w:tc>
          <w:tcPr>
            <w:tcW w:type="dxa" w:w="118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值</w:t>
            </w:r>
          </w:p>
        </w:tc>
        <w:tc>
          <w:tcPr>
            <w:tcW w:type="dxa" w:w="85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单位</w:t>
            </w:r>
          </w:p>
        </w:tc>
        <w:tc>
          <w:tcPr>
            <w:tcW w:type="dxa" w:w="178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范围</w:t>
            </w:r>
          </w:p>
        </w:tc>
        <w:tc>
          <w:tcPr>
            <w:tcW w:type="dxa" w:w="165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来源</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目标层数</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operator_count之外的Score协议</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层</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全实验</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解文件objective_order</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最终算子数</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operator_count</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14</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个</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ALNS</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正式任务数</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tasks</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项</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第6章</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正式无人机数</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drones</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架</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第6.1节</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单机任务上限</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max_tasks_per_drone</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25</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项</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第6.1节</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基础预算</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base_seconds</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240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Relay/Station加时</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bonus_seconds</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扩展场景，只加一次</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Relay预热比例</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scenario.warmup</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比例</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Relay场景</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正式站点数</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第6.1节</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四场景runs</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敏感性单次预算</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effective_seconds_per_run</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第6.2节</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多机宽松倍率</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relaxed_deadline_multiplier</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2.50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倍</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第5.3节</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第5章manifest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多机规模预算</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scale_seconds</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第5.3节</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第5章manifest</w:t>
            </w:r>
          </w:p>
        </w:tc>
      </w:tr>
    </w:tbl>
    <w:p>
      <w:pPr>
        <w:pStyle w:val="2"/>
        <w:keepNext/>
        <w:pageBreakBefore/>
        <w:widowControl/>
      </w:pPr>
      <w:r>
        <w:rPr>
          <w:rFonts w:ascii="Times New Roman" w:hAnsi="Times New Roman" w:cs="Times New Roman" w:eastAsia="Heiti SC"/>
          <w:b/>
        </w:rPr>
        <w:t>附录B 完整实验结果与复现材料</w:t>
      </w:r>
    </w:p>
    <w:p>
      <w:pPr>
        <w:pStyle w:val="4"/>
        <w:keepNext/>
        <w:widowControl/>
      </w:pPr>
      <w:r>
        <w:rPr>
          <w:rFonts w:ascii="Times New Roman" w:hAnsi="Times New Roman" w:cs="Times New Roman" w:eastAsia="Heiti SC"/>
          <w:b/>
        </w:rPr>
        <w:t>B.1 数据字段、预处理与输入一致性</w:t>
      </w:r>
    </w:p>
    <w:p>
      <w:pPr>
        <w:keepNext w:val="0"/>
        <w:widowControl/>
      </w:pPr>
      <w:r>
        <w:rPr>
          <w:rFonts w:ascii="Times New Roman" w:hAnsi="Times New Roman" w:cs="Times New Roman" w:eastAsia="Songti SC"/>
          <w:b w:val="0"/>
        </w:rPr>
        <w:t>正式CSV的输入一致性由SHA-256校验。坐标按公里解释，飞行时间由欧氏距离除以速度获得；截止期敏感性只对所有任务的最晚送达时刻乘统一倍率，不改变坐标、任务配对或速度。任务编号和完整服务状态随各解文件保存。</w:t>
      </w:r>
    </w:p>
    <w:p>
      <w:pPr>
        <w:pStyle w:val="16"/>
        <w:keepNext/>
        <w:widowControl/>
        <w:ind w:firstLine="0"/>
        <w:jc w:val="center"/>
      </w:pPr>
      <w:r>
        <w:rPr>
          <w:rFonts w:ascii="Times New Roman" w:hAnsi="Times New Roman" w:cs="Times New Roman" w:eastAsia="Songti SC"/>
          <w:b w:val="0"/>
          <w:i w:val="0"/>
          <w:color w:val="000000"/>
          <w:sz w:val="18"/>
        </w:rPr>
        <w:t>表B-1 正式输入与模型基础字段</w:t>
      </w:r>
    </w:p>
    <w:tbl>
      <w:tblPr>
        <w:tblStyle w:val="171"/>
        <w:tblW w:type="dxa" w:w="9179"/>
        <w:jc w:val="center"/>
        <w:tblLayout w:type="fixed"/>
        <w:tblLook w:firstColumn="1" w:firstRow="1" w:lastColumn="0" w:lastRow="0" w:noHBand="0" w:noVBand="1" w:val="04A0"/>
      </w:tblPr>
      <w:tblGrid>
        <w:gridCol w:w="1967"/>
        <w:gridCol w:w="5099"/>
        <w:gridCol w:w="2113"/>
      </w:tblGrid>
      <w:tr>
        <w:trPr>
          <w:cantSplit/>
          <w:tblHeader w:val="true"/>
        </w:trPr>
        <w:tc>
          <w:tcPr>
            <w:tcW w:type="dxa" w:w="196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字段</w:t>
            </w:r>
          </w:p>
        </w:tc>
        <w:tc>
          <w:tcPr>
            <w:tcW w:type="dxa" w:w="50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值</w:t>
            </w:r>
          </w:p>
        </w:tc>
        <w:tc>
          <w:tcPr>
            <w:tcW w:type="dxa" w:w="211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来源</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输入SHA-256</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386d3fba​a9009aee​d9474937​82d657ed​0b30b25d​369c8187​bfc9619f​c7e31d25</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三组正式manifest一致</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任务数</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200</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容量</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单机任务上限</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25</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速度/(km/min)</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调度中心/km</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(0.0, 0.0)</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开放式路线</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True</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目标顺序</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late_count → total_lateness_min → distance_km</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bl>
    <w:p>
      <w:pPr>
        <w:pStyle w:val="4"/>
        <w:keepNext/>
        <w:widowControl/>
      </w:pPr>
      <w:r>
        <w:rPr>
          <w:rFonts w:ascii="Times New Roman" w:hAnsi="Times New Roman" w:cs="Times New Roman" w:eastAsia="Heiti SC"/>
          <w:b/>
        </w:rPr>
        <w:t>B.2 运行环境与可复现清单</w:t>
      </w:r>
    </w:p>
    <w:p>
      <w:pPr>
        <w:pStyle w:val="16"/>
        <w:keepNext/>
        <w:widowControl/>
        <w:ind w:firstLine="0"/>
        <w:jc w:val="center"/>
      </w:pPr>
      <w:r>
        <w:rPr>
          <w:rFonts w:ascii="Times New Roman" w:hAnsi="Times New Roman" w:cs="Times New Roman" w:eastAsia="Songti SC"/>
          <w:b w:val="0"/>
          <w:i w:val="0"/>
          <w:color w:val="000000"/>
          <w:sz w:val="18"/>
        </w:rPr>
        <w:t>表B-2 正式运行清单</w:t>
      </w:r>
    </w:p>
    <w:tbl>
      <w:tblPr>
        <w:tblStyle w:val="171"/>
        <w:tblW w:type="dxa" w:w="9179"/>
        <w:jc w:val="center"/>
        <w:tblLayout w:type="fixed"/>
        <w:tblLook w:firstColumn="1" w:firstRow="1" w:lastColumn="0" w:lastRow="0" w:noHBand="0" w:noVBand="1" w:val="04A0"/>
      </w:tblPr>
      <w:tblGrid>
        <w:gridCol w:w="2448"/>
        <w:gridCol w:w="6731"/>
      </w:tblGrid>
      <w:tr>
        <w:trPr>
          <w:cantSplit/>
          <w:tblHeader w:val="true"/>
        </w:trPr>
        <w:tc>
          <w:tcPr>
            <w:tcW w:type="dxa" w:w="244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项目</w:t>
            </w:r>
          </w:p>
        </w:tc>
        <w:tc>
          <w:tcPr>
            <w:tcW w:type="dxa" w:w="673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记录</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四场景Python</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3.13.13</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四场景平台</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macOS-26.5.2-arm64-arm-64bit-Mach-O</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四场景/敏感性求解器源码SHA-256</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e43f0874fd3c6c5600e2712ef5be1ccbc05e0e4e6725dd9ed3868a9d3b6dd0e7</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四场景生成时间UTC</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2026-08-16T17:28:12.869803+00:00</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四场景种子</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2026081701, 2026081702, 2026081703</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第5章生成时间UTC</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2026-08-16T18:47:52.429174+00:00</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第5章种子</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敏感性生成时间UTC</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2026-08-16T18:44:54.970774+00:00</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敏感性固定种子</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预算协议</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pure_direct=240 s；其余三场景=300 s</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第5章求解器源码SHA-256</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e43f0874fd3c6c5600e2712ef5be1ccbc05e0e4e6725dd9ed3868a9d3b6dd0e7</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敏感性Git提交</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136e329f107156593ff5edc3a4196cc8cc413904</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敏感性Git工作区是否有改动</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True</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敏感性实验脚本SHA-256</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5f7b6ab48e9f9e4409823d6e6a2c4043d994e876a8cd8f508a20a2fce349d08d</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敏感性场景脚本SHA-256</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066175bcc817ce85aeb1b11358c5fdca0d015d4890334c45a276c57e49533731</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敏感性依赖清单SHA-256</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9e36d716acbbbee427d6b73da4fc7b6d62c999690a81a8403aa83a6248ab9e32</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敏感性max_iterations</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10000000</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敏感性candidate_limit</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48</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敏感性安全余量/s</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0.05</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敏感性选站方法</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weighted_kmedoids</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敏感性选站种子</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42</w:t>
            </w:r>
          </w:p>
        </w:tc>
      </w:tr>
    </w:tbl>
    <w:p>
      <w:pPr>
        <w:pStyle w:val="4"/>
        <w:keepNext/>
        <w:widowControl/>
      </w:pPr>
      <w:r>
        <w:rPr>
          <w:rFonts w:ascii="Times New Roman" w:hAnsi="Times New Roman" w:cs="Times New Roman" w:eastAsia="Heiti SC"/>
          <w:b/>
        </w:rPr>
        <w:t>B.3 第5章逐运行完整结果</w:t>
      </w:r>
    </w:p>
    <w:p>
      <w:pPr>
        <w:pStyle w:val="16"/>
        <w:keepNext/>
        <w:widowControl/>
        <w:ind w:firstLine="0"/>
        <w:jc w:val="center"/>
      </w:pPr>
      <w:r>
        <w:rPr>
          <w:rFonts w:ascii="Times New Roman" w:hAnsi="Times New Roman" w:cs="Times New Roman" w:eastAsia="Songti SC"/>
          <w:b w:val="0"/>
          <w:i w:val="0"/>
          <w:color w:val="000000"/>
          <w:sz w:val="18"/>
        </w:rPr>
        <w:t>表B-3a 第5章正式逐运行身份与解质量</w:t>
      </w:r>
    </w:p>
    <w:tbl>
      <w:tblPr>
        <w:tblStyle w:val="171"/>
        <w:tblW w:type="dxa" w:w="9179"/>
        <w:jc w:val="center"/>
        <w:tblLayout w:type="fixed"/>
        <w:tblLook w:firstColumn="1" w:firstRow="1" w:lastColumn="0" w:lastRow="0" w:noHBand="0" w:noVBand="1" w:val="04A0"/>
      </w:tblPr>
      <w:tblGrid>
        <w:gridCol w:w="1848"/>
        <w:gridCol w:w="1252"/>
        <w:gridCol w:w="656"/>
        <w:gridCol w:w="775"/>
        <w:gridCol w:w="894"/>
        <w:gridCol w:w="1073"/>
        <w:gridCol w:w="656"/>
        <w:gridCol w:w="1013"/>
        <w:gridCol w:w="1013"/>
      </w:tblGrid>
      <w:tr>
        <w:trPr>
          <w:cantSplit/>
          <w:tblHeader w:val="true"/>
        </w:trPr>
        <w:tc>
          <w:tcPr>
            <w:tcW w:type="dxa" w:w="184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实例</w:t>
            </w:r>
          </w:p>
        </w:tc>
        <w:tc>
          <w:tcPr>
            <w:tcW w:type="dxa" w:w="125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方法</w:t>
            </w:r>
          </w:p>
        </w:tc>
        <w:tc>
          <w:tcPr>
            <w:tcW w:type="dxa" w:w="65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任务</w:t>
            </w:r>
          </w:p>
        </w:tc>
        <w:tc>
          <w:tcPr>
            <w:tcW w:type="dxa" w:w="77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无人机</w:t>
            </w:r>
          </w:p>
        </w:tc>
        <w:tc>
          <w:tcPr>
            <w:tcW w:type="dxa" w:w="8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截止倍率</w:t>
            </w:r>
          </w:p>
        </w:tc>
        <w:tc>
          <w:tcPr>
            <w:tcW w:type="dxa" w:w="107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种子</w:t>
            </w:r>
          </w:p>
        </w:tc>
        <w:tc>
          <w:tcPr>
            <w:tcW w:type="dxa" w:w="65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逾期</w:t>
            </w:r>
          </w:p>
        </w:tc>
        <w:tc>
          <w:tcPr>
            <w:tcW w:type="dxa" w:w="101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总逾期/min</w:t>
            </w:r>
          </w:p>
        </w:tc>
        <w:tc>
          <w:tcPr>
            <w:tcW w:type="dxa" w:w="101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航程/km</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title_example_n2</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Pareto-DP</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11.000</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official_prefix_n5</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28.953</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official_prefix_n5</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Pareto-DP</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28.953</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official_prefix_n8</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0.774</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45.501</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official_prefix_n8</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Pareto-DP</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0.643</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46.404</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official_prefix_n10</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17.864</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54.646</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official_prefix_n10</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Pareto-DP</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17.864</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54.646</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official_prefix_n12</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99.450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64.185</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official_prefix_n12</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Pareto-DP</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65.784</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62.411</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relaxed_multiuav_n50</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50</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2.50</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175.526</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relaxed_multiuav_n100</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2.50</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322.078</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relaxed_multiuav_n150</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150</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2.50</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455.940</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relaxed_multiuav_n200</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200</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2.50</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604.460</w:t>
            </w:r>
          </w:p>
        </w:tc>
      </w:tr>
    </w:tbl>
    <w:p>
      <w:pPr>
        <w:pStyle w:val="16"/>
        <w:keepNext/>
        <w:widowControl/>
        <w:ind w:firstLine="0"/>
        <w:jc w:val="center"/>
      </w:pPr>
      <w:r>
        <w:rPr>
          <w:rFonts w:ascii="Times New Roman" w:hAnsi="Times New Roman" w:cs="Times New Roman" w:eastAsia="Songti SC"/>
          <w:b w:val="0"/>
          <w:i w:val="0"/>
          <w:color w:val="000000"/>
          <w:sz w:val="18"/>
        </w:rPr>
        <w:t>表B-3b 第5章正式逐运行效率与审计字段</w:t>
      </w:r>
    </w:p>
    <w:tbl>
      <w:tblPr>
        <w:tblStyle w:val="171"/>
        <w:tblW w:type="dxa" w:w="9179"/>
        <w:jc w:val="center"/>
        <w:tblLayout w:type="fixed"/>
        <w:tblLook w:firstColumn="1" w:firstRow="1" w:lastColumn="0" w:lastRow="0" w:noHBand="0" w:noVBand="1" w:val="04A0"/>
      </w:tblPr>
      <w:tblGrid>
        <w:gridCol w:w="2412"/>
        <w:gridCol w:w="1608"/>
        <w:gridCol w:w="871"/>
        <w:gridCol w:w="1206"/>
        <w:gridCol w:w="1072"/>
        <w:gridCol w:w="871"/>
        <w:gridCol w:w="1139"/>
      </w:tblGrid>
      <w:tr>
        <w:trPr>
          <w:cantSplit/>
          <w:tblHeader w:val="true"/>
        </w:trPr>
        <w:tc>
          <w:tcPr>
            <w:tcW w:type="dxa" w:w="24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实例</w:t>
            </w:r>
          </w:p>
        </w:tc>
        <w:tc>
          <w:tcPr>
            <w:tcW w:type="dxa" w:w="160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方法</w:t>
            </w:r>
          </w:p>
        </w:tc>
        <w:tc>
          <w:tcPr>
            <w:tcW w:type="dxa" w:w="87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任务</w:t>
            </w:r>
          </w:p>
        </w:tc>
        <w:tc>
          <w:tcPr>
            <w:tcW w:type="dxa" w:w="120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时间/s</w:t>
            </w:r>
          </w:p>
        </w:tc>
        <w:tc>
          <w:tcPr>
            <w:tcW w:type="dxa" w:w="107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迭代</w:t>
            </w:r>
          </w:p>
        </w:tc>
        <w:tc>
          <w:tcPr>
            <w:tcW w:type="dxa" w:w="87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有效</w:t>
            </w:r>
          </w:p>
        </w:tc>
        <w:tc>
          <w:tcPr>
            <w:tcW w:type="dxa" w:w="113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达精确解</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title_example_n2</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Pareto-DP</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0.0001</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official_prefix_n5</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0.0715</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official_prefix_n5</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Pareto-DP</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0.0010</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official_prefix_n8</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0.1149</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否</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official_prefix_n8</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Pareto-DP</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0.0285</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official_prefix_n10</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0.1598</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official_prefix_n10</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Pareto-DP</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0.2845</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official_prefix_n12</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0.1949</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否</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official_prefix_n12</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Pareto-DP</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3.5684</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24</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relaxed_multiuav_n50</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29.9762</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29749</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relaxed_multiuav_n100</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29.8859</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10876</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relaxed_multiuav_n150</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150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29.6454</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4924</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relaxed_multiuav_n200</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29.2725</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2698</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w:t>
            </w:r>
          </w:p>
        </w:tc>
      </w:tr>
    </w:tbl>
    <w:p>
      <w:pPr>
        <w:keepNext w:val="0"/>
        <w:widowControl/>
      </w:pPr>
      <w:r>
        <w:rPr>
          <w:rFonts w:ascii="Times New Roman" w:hAnsi="Times New Roman" w:cs="Times New Roman" w:eastAsia="Songti SC"/>
          <w:b w:val="0"/>
        </w:rPr>
        <w:t>题设两任务的最优路线与11 km结果见图5-1。其余精确对照的正式JSON保存三层得分、运行时间和一致性字段；未在结果文件中序列化的路线不以人工推测补入表B-3a或表B-3b。</w:t>
      </w:r>
    </w:p>
    <w:p>
      <w:pPr>
        <w:pStyle w:val="4"/>
        <w:keepNext/>
        <w:widowControl/>
      </w:pPr>
      <w:r>
        <w:rPr>
          <w:rFonts w:ascii="Times New Roman" w:hAnsi="Times New Roman" w:cs="Times New Roman" w:eastAsia="Heiti SC"/>
          <w:b/>
        </w:rPr>
        <w:t>B.4 四场景逐种子完整结果</w:t>
      </w:r>
    </w:p>
    <w:p>
      <w:pPr>
        <w:pStyle w:val="16"/>
        <w:keepNext/>
        <w:widowControl/>
        <w:ind w:firstLine="0"/>
        <w:jc w:val="center"/>
      </w:pPr>
      <w:r>
        <w:rPr>
          <w:rFonts w:ascii="Times New Roman" w:hAnsi="Times New Roman" w:cs="Times New Roman" w:eastAsia="Songti SC"/>
          <w:b w:val="0"/>
          <w:i w:val="0"/>
          <w:color w:val="000000"/>
          <w:sz w:val="18"/>
        </w:rPr>
        <w:t>表B-4a 四场景逐运行身份与解质量</w:t>
      </w:r>
    </w:p>
    <w:tbl>
      <w:tblPr>
        <w:tblStyle w:val="171"/>
        <w:tblW w:type="dxa" w:w="9179"/>
        <w:jc w:val="center"/>
        <w:tblLayout w:type="fixed"/>
        <w:tblLook w:firstColumn="1" w:firstRow="1" w:lastColumn="0" w:lastRow="0" w:noHBand="0" w:noVBand="1" w:val="04A0"/>
      </w:tblPr>
      <w:tblGrid>
        <w:gridCol w:w="2189"/>
        <w:gridCol w:w="1342"/>
        <w:gridCol w:w="1059"/>
        <w:gridCol w:w="918"/>
        <w:gridCol w:w="1412"/>
        <w:gridCol w:w="1412"/>
        <w:gridCol w:w="847"/>
      </w:tblGrid>
      <w:tr>
        <w:trPr>
          <w:cantSplit/>
          <w:tblHeader w:val="true"/>
        </w:trPr>
        <w:tc>
          <w:tcPr>
            <w:tcW w:type="dxa" w:w="218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场景</w:t>
            </w:r>
          </w:p>
        </w:tc>
        <w:tc>
          <w:tcPr>
            <w:tcW w:type="dxa" w:w="134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种子</w:t>
            </w:r>
          </w:p>
        </w:tc>
        <w:tc>
          <w:tcPr>
            <w:tcW w:type="dxa" w:w="105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预算/s</w:t>
            </w:r>
          </w:p>
        </w:tc>
        <w:tc>
          <w:tcPr>
            <w:tcW w:type="dxa" w:w="91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逾期</w:t>
            </w:r>
          </w:p>
        </w:tc>
        <w:tc>
          <w:tcPr>
            <w:tcW w:type="dxa" w:w="14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总逾期/min</w:t>
            </w:r>
          </w:p>
        </w:tc>
        <w:tc>
          <w:tcPr>
            <w:tcW w:type="dxa" w:w="14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航程/km</w:t>
            </w:r>
          </w:p>
        </w:tc>
        <w:tc>
          <w:tcPr>
            <w:tcW w:type="dxa" w:w="84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有效</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240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2043.492</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619.572</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2030.609</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618.365</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59</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1979.936</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618.073</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1941.415</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627.442</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240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65</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2064.064</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614.836</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65</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2109.829</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631.025</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59</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1768.204</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598.018</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59</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1745.844</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601.951</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240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64</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2128.938</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635.008</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64</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2117.054</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630.468</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1944.250</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622.741</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1985.591</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638.011</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bl>
    <w:p>
      <w:pPr>
        <w:pStyle w:val="16"/>
        <w:keepNext/>
        <w:widowControl/>
        <w:ind w:firstLine="0"/>
        <w:jc w:val="center"/>
      </w:pPr>
      <w:r>
        <w:rPr>
          <w:rFonts w:ascii="Times New Roman" w:hAnsi="Times New Roman" w:cs="Times New Roman" w:eastAsia="Songti SC"/>
          <w:b w:val="0"/>
          <w:i w:val="0"/>
          <w:color w:val="000000"/>
          <w:sz w:val="18"/>
        </w:rPr>
        <w:t>表B-4b 四场景逐运行计算效率</w:t>
      </w:r>
    </w:p>
    <w:tbl>
      <w:tblPr>
        <w:tblStyle w:val="171"/>
        <w:tblW w:type="dxa" w:w="9179"/>
        <w:jc w:val="center"/>
        <w:tblLayout w:type="fixed"/>
        <w:tblLook w:firstColumn="1" w:firstRow="1" w:lastColumn="0" w:lastRow="0" w:noHBand="0" w:noVBand="1" w:val="04A0"/>
      </w:tblPr>
      <w:tblGrid>
        <w:gridCol w:w="2077"/>
        <w:gridCol w:w="1273"/>
        <w:gridCol w:w="1139"/>
        <w:gridCol w:w="1139"/>
        <w:gridCol w:w="1139"/>
        <w:gridCol w:w="1206"/>
        <w:gridCol w:w="1206"/>
      </w:tblGrid>
      <w:tr>
        <w:trPr>
          <w:cantSplit/>
          <w:tblHeader w:val="true"/>
        </w:trPr>
        <w:tc>
          <w:tcPr>
            <w:tcW w:type="dxa" w:w="207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场景</w:t>
            </w:r>
          </w:p>
        </w:tc>
        <w:tc>
          <w:tcPr>
            <w:tcW w:type="dxa" w:w="127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种子</w:t>
            </w:r>
          </w:p>
        </w:tc>
        <w:tc>
          <w:tcPr>
            <w:tcW w:type="dxa" w:w="113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构造/s</w:t>
            </w:r>
          </w:p>
        </w:tc>
        <w:tc>
          <w:tcPr>
            <w:tcW w:type="dxa" w:w="113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搜索/s</w:t>
            </w:r>
          </w:p>
        </w:tc>
        <w:tc>
          <w:tcPr>
            <w:tcW w:type="dxa" w:w="113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墙钟/s</w:t>
            </w:r>
          </w:p>
        </w:tc>
        <w:tc>
          <w:tcPr>
            <w:tcW w:type="dxa" w:w="120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迭代</w:t>
            </w:r>
          </w:p>
        </w:tc>
        <w:tc>
          <w:tcPr>
            <w:tcW w:type="dxa" w:w="120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迭代/s</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0.626</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239.325</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239.950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17695</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73.94</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1.076</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298.877</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299.976</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18373</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61.47</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0.734</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299.217</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299.951</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20866</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69.74</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1.052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298.900</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299.971</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19697</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65.90</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1.274</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238.676</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239.950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19049</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79.81</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1.320</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298.632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19420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65.03</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0.499</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299.452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299.950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23517</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78.53</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0.899</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299.053</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20641</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69.02</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0.798</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239.165</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239.962</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18445</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77.12</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0.636</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299.320</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299.976</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20573</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68.73</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0.820</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299.131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299.950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23505</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78.58</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0.519</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299.433</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299.973</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20465</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68.35</w:t>
            </w:r>
          </w:p>
        </w:tc>
      </w:tr>
    </w:tbl>
    <w:p>
      <w:pPr>
        <w:pStyle w:val="16"/>
        <w:keepNext/>
        <w:widowControl/>
        <w:ind w:firstLine="0"/>
        <w:jc w:val="center"/>
      </w:pPr>
      <w:r>
        <w:rPr>
          <w:rFonts w:ascii="Times New Roman" w:hAnsi="Times New Roman" w:cs="Times New Roman" w:eastAsia="Songti SC"/>
          <w:b w:val="0"/>
          <w:i w:val="0"/>
          <w:color w:val="000000"/>
          <w:sz w:val="18"/>
        </w:rPr>
        <w:t>表B-4c 四场景逐运行Relay机制指标</w:t>
      </w:r>
    </w:p>
    <w:tbl>
      <w:tblPr>
        <w:tblStyle w:val="171"/>
        <w:tblW w:type="dxa" w:w="9179"/>
        <w:jc w:val="center"/>
        <w:tblLayout w:type="fixed"/>
        <w:tblLook w:firstColumn="1" w:firstRow="1" w:lastColumn="0" w:lastRow="0" w:noHBand="0" w:noVBand="1" w:val="04A0"/>
      </w:tblPr>
      <w:tblGrid>
        <w:gridCol w:w="2203"/>
        <w:gridCol w:w="1322"/>
        <w:gridCol w:w="1175"/>
        <w:gridCol w:w="1248"/>
        <w:gridCol w:w="955"/>
        <w:gridCol w:w="955"/>
        <w:gridCol w:w="1322"/>
      </w:tblGrid>
      <w:tr>
        <w:trPr>
          <w:cantSplit/>
          <w:tblHeader w:val="true"/>
        </w:trPr>
        <w:tc>
          <w:tcPr>
            <w:tcW w:type="dxa" w:w="220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场景</w:t>
            </w:r>
          </w:p>
        </w:tc>
        <w:tc>
          <w:tcPr>
            <w:tcW w:type="dxa" w:w="132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种子</w:t>
            </w:r>
          </w:p>
        </w:tc>
        <w:tc>
          <w:tcPr>
            <w:tcW w:type="dxa" w:w="117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Relay任务</w:t>
            </w:r>
          </w:p>
        </w:tc>
        <w:tc>
          <w:tcPr>
            <w:tcW w:type="dxa" w:w="124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Relay占比</w:t>
            </w:r>
          </w:p>
        </w:tc>
        <w:tc>
          <w:tcPr>
            <w:tcW w:type="dxa" w:w="95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跨机</w:t>
            </w:r>
          </w:p>
        </w:tc>
        <w:tc>
          <w:tcPr>
            <w:tcW w:type="dxa" w:w="95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同机</w:t>
            </w:r>
          </w:p>
        </w:tc>
        <w:tc>
          <w:tcPr>
            <w:tcW w:type="dxa" w:w="132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等待/min</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0.0200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4.230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0.0150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0.0250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0.0250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3.203</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0.0300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bl>
    <w:p>
      <w:pPr>
        <w:pStyle w:val="16"/>
        <w:keepNext/>
        <w:widowControl/>
        <w:ind w:firstLine="0"/>
        <w:jc w:val="center"/>
      </w:pPr>
      <w:r>
        <w:rPr>
          <w:rFonts w:ascii="Times New Roman" w:hAnsi="Times New Roman" w:cs="Times New Roman" w:eastAsia="Songti SC"/>
          <w:b w:val="0"/>
          <w:i w:val="0"/>
          <w:color w:val="000000"/>
          <w:sz w:val="18"/>
        </w:rPr>
        <w:t>表B-4d 四场景逐运行Station部署指标</w:t>
      </w:r>
    </w:p>
    <w:tbl>
      <w:tblPr>
        <w:tblStyle w:val="171"/>
        <w:tblW w:type="dxa" w:w="9179"/>
        <w:jc w:val="center"/>
        <w:tblLayout w:type="fixed"/>
        <w:tblLook w:firstColumn="1" w:firstRow="1" w:lastColumn="0" w:lastRow="0" w:noHBand="0" w:noVBand="1" w:val="04A0"/>
      </w:tblPr>
      <w:tblGrid>
        <w:gridCol w:w="2459"/>
        <w:gridCol w:w="1475"/>
        <w:gridCol w:w="1475"/>
        <w:gridCol w:w="1803"/>
        <w:gridCol w:w="1967"/>
      </w:tblGrid>
      <w:tr>
        <w:trPr>
          <w:cantSplit/>
          <w:tblHeader w:val="true"/>
        </w:trPr>
        <w:tc>
          <w:tcPr>
            <w:tcW w:type="dxa" w:w="245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场景</w:t>
            </w:r>
          </w:p>
        </w:tc>
        <w:tc>
          <w:tcPr>
            <w:tcW w:type="dxa" w:w="147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种子</w:t>
            </w:r>
          </w:p>
        </w:tc>
        <w:tc>
          <w:tcPr>
            <w:tcW w:type="dxa" w:w="147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候选站点</w:t>
            </w:r>
          </w:p>
        </w:tc>
        <w:tc>
          <w:tcPr>
            <w:tcW w:type="dxa" w:w="180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首段空飞/km</w:t>
            </w:r>
          </w:p>
        </w:tc>
        <w:tc>
          <w:tcPr>
            <w:tcW w:type="dxa" w:w="196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最近home分配率</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23.725</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23.725</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9.138</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0.1950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9.138</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0.1980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21.157</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21.157</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6.490</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0.2300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6.490</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0.2308</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22.633</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22.633</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6.625</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0.3250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6.625</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0.3196</w:t>
            </w:r>
          </w:p>
        </w:tc>
      </w:tr>
    </w:tbl>
    <w:p>
      <w:pPr>
        <w:pStyle w:val="16"/>
        <w:keepNext/>
        <w:widowControl/>
        <w:ind w:firstLine="0"/>
        <w:jc w:val="center"/>
      </w:pPr>
      <w:r>
        <w:rPr>
          <w:rFonts w:ascii="Times New Roman" w:hAnsi="Times New Roman" w:cs="Times New Roman" w:eastAsia="Songti SC"/>
          <w:b w:val="0"/>
          <w:i w:val="0"/>
          <w:color w:val="000000"/>
          <w:sz w:val="18"/>
        </w:rPr>
        <w:t>表B-4e 四场景逐运行解文件审计</w:t>
      </w:r>
    </w:p>
    <w:tbl>
      <w:tblPr>
        <w:tblStyle w:val="171"/>
        <w:tblW w:type="dxa" w:w="9179"/>
        <w:jc w:val="center"/>
        <w:tblLayout w:type="fixed"/>
        <w:tblLook w:firstColumn="1" w:firstRow="1" w:lastColumn="0" w:lastRow="0" w:noHBand="0" w:noVBand="1" w:val="04A0"/>
      </w:tblPr>
      <w:tblGrid>
        <w:gridCol w:w="1697"/>
        <w:gridCol w:w="943"/>
        <w:gridCol w:w="2263"/>
        <w:gridCol w:w="4275"/>
      </w:tblGrid>
      <w:tr>
        <w:trPr>
          <w:cantSplit/>
          <w:tblHeader w:val="true"/>
        </w:trPr>
        <w:tc>
          <w:tcPr>
            <w:tcW w:type="dxa" w:w="169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场景</w:t>
            </w:r>
          </w:p>
        </w:tc>
        <w:tc>
          <w:tcPr>
            <w:tcW w:type="dxa" w:w="94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种子</w:t>
            </w:r>
          </w:p>
        </w:tc>
        <w:tc>
          <w:tcPr>
            <w:tcW w:type="dxa" w:w="226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解文件</w:t>
            </w:r>
          </w:p>
        </w:tc>
        <w:tc>
          <w:tcPr>
            <w:tcW w:type="dxa" w:w="427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SHA-256</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run_solutions/pure_direct__seed_2026081701.json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24179975​60f6c602​1ebb8389​00bd1012​60827c78​fb6b9a67​2558e2d2​a2a91b9a</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run_solutions/direct_relay__seed_2026081701.json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0492c0b1​2171577e​e8e958d8​680b3d13​4f0e6c49​6f86c760​e49b5cca​189dae4c</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run_solutions/direct_stations__seed_2026081701.json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9d1211bc​e482388f​183fdca7​4d2dd355​b1b594ed​ef531c9b​72f2c9fe​d2c36018</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run_solutions/direct_relay_stations__seed_2026081701.json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749a1bc4​8a678522​ac517108​02384605​08d57efc​a3a0f33a​8e133e40​5cf1ea64</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run_solutions/pure_direct__seed_2026081702.json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1fec0f74​24a03d1f​6c09d601​a38ca7ce​ee66b3d4​5a86b546​2770ff02​1447fc9f</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run_solutions/direct_relay__seed_2026081702.json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f04cc258​18c34562​ef2dcc90​ea1a817d​06c9ec53​b5d27010​a7c06a1b​0cb0166f</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run_solutions/direct_stations__seed_2026081702.json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dccec643​1f0ea77d​e73191fd​e594a8ef​c1726328​f50eda9f​d6fefcf4​ecd09e5f</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run_solutions/direct_relay_stations__seed_2026081702.json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2002ec20​b0e6e6e6​99a478aa​e2f6fce5​9d6267db​48903bb7​2280cd23​8bd8e8d5</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run_solutions/pure_direct__seed_2026081703.json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f4471c73​b10c62b7​22b5a74c​7e9c83e3​1f153242​dde77878​0bba32a8​a0d797e8</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run_solutions/direct_relay__seed_2026081703.json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f663b03e​07a483e0​87f0bdd6​5c0ce88b​6a467f0d​f99eaa8d​ea909b6e​96f3b52f</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run_solutions/direct_stations__seed_2026081703.json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2e65c395​8852e250​b822317d​20f0b96e​9ac323e9​a2f626ba​21350ab9​4f3bae36</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run_solutions/direct_relay_stations__seed_2026081703.json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ddb77b5d​66ce7b06​e00cbcc2​cb904cce​aad001c9​b5dc299b​c6249c22​500c5d0d</w:t>
            </w:r>
          </w:p>
        </w:tc>
      </w:tr>
    </w:tbl>
    <w:p>
      <w:pPr>
        <w:pStyle w:val="4"/>
        <w:keepNext/>
        <w:widowControl/>
      </w:pPr>
      <w:r>
        <w:rPr>
          <w:rFonts w:ascii="Times New Roman" w:hAnsi="Times New Roman" w:cs="Times New Roman" w:eastAsia="Heiti SC"/>
          <w:b/>
        </w:rPr>
        <w:t>B.5 核心算子分场景汇总</w:t>
      </w:r>
    </w:p>
    <w:p>
      <w:pPr>
        <w:keepNext w:val="0"/>
        <w:widowControl/>
      </w:pPr>
      <w:r>
        <w:rPr>
          <w:rFonts w:ascii="Times New Roman" w:hAnsi="Times New Roman" w:cs="Times New Roman" w:eastAsia="Songti SC"/>
          <w:b w:val="0"/>
        </w:rPr>
        <w:t>表B-5a至表B-5d分别将同一场景的3个配对种子统计量相加，末权重取3次运行均值；逐运行原始值保存在表B-4e列出的解文件中并由SHA-256绑定。当前改进与全局改进是破坏—修复算子对共同出现的记录，不作单个算子的因果贡献解释。</w:t>
      </w:r>
    </w:p>
    <w:p>
      <w:pPr>
        <w:pStyle w:val="16"/>
        <w:keepNext/>
        <w:widowControl/>
        <w:ind w:firstLine="0"/>
        <w:jc w:val="center"/>
      </w:pPr>
      <w:r>
        <w:rPr>
          <w:rFonts w:ascii="Times New Roman" w:hAnsi="Times New Roman" w:cs="Times New Roman" w:eastAsia="Songti SC"/>
          <w:b w:val="0"/>
          <w:i w:val="0"/>
          <w:color w:val="000000"/>
          <w:sz w:val="18"/>
        </w:rPr>
        <w:t>表B-5a pure_direct三种子算子汇总</w:t>
      </w:r>
    </w:p>
    <w:tbl>
      <w:tblPr>
        <w:tblStyle w:val="171"/>
        <w:tblW w:type="dxa" w:w="9179"/>
        <w:jc w:val="center"/>
        <w:tblLayout w:type="fixed"/>
        <w:tblLook w:firstColumn="1" w:firstRow="1" w:lastColumn="0" w:lastRow="0" w:noHBand="0" w:noVBand="1" w:val="04A0"/>
      </w:tblPr>
      <w:tblGrid>
        <w:gridCol w:w="812"/>
        <w:gridCol w:w="1686"/>
        <w:gridCol w:w="812"/>
        <w:gridCol w:w="812"/>
        <w:gridCol w:w="999"/>
        <w:gridCol w:w="999"/>
        <w:gridCol w:w="999"/>
        <w:gridCol w:w="937"/>
        <w:gridCol w:w="1124"/>
      </w:tblGrid>
      <w:tr>
        <w:trPr>
          <w:cantSplit/>
          <w:tblHeader w:val="true"/>
        </w:trPr>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类型</w:t>
            </w:r>
          </w:p>
        </w:tc>
        <w:tc>
          <w:tcPr>
            <w:tcW w:type="dxa" w:w="168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算子</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调用</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接受率/%</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当前改进</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全局改进</w:t>
            </w:r>
          </w:p>
        </w:tc>
        <w:tc>
          <w:tcPr>
            <w:tcW w:type="dxa" w:w="93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奖励</w:t>
            </w:r>
          </w:p>
        </w:tc>
        <w:tc>
          <w:tcPr>
            <w:tcW w:type="dxa" w:w="11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平均末权重</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random</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7382</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4312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58.41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477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105</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6163.00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0.8322</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worst_distance</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8628</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3659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42.41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1329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285</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8786.00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1.2923</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worst_lex</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7123</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2827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39.69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973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273</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6838.00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0.8447</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spatial_related</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5994</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2863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47.76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340</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63</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4135.00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0.8210</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deadline_related</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6844</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3730</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54.50</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414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92</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5340.00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0.6978</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late_critical</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6208</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2486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40.05</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633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171</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5069.00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0.6126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route_segment</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1070</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149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13.93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270.00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0.5471</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capacity_conflict</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6852</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4229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61.72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319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74</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5482.00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0.6803</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assignment_destroy</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5088</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1828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35.93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429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103</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3527.00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0.4840</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greedy</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18279</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11153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61.02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2275</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545</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20158.00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0.8622</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regret2</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10922</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4348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39.81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756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192</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7384.00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0.5965</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regret3</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15101</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7753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51.34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1578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379</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14003.00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0.8888</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deadline</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5391</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1351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25.06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171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33</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1996.00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0.6762</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slack</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5496</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1478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26.89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27</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2069.00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0.4261</w:t>
            </w:r>
          </w:p>
        </w:tc>
      </w:tr>
    </w:tbl>
    <w:p>
      <w:pPr>
        <w:pStyle w:val="16"/>
        <w:keepNext/>
        <w:widowControl/>
        <w:ind w:firstLine="0"/>
        <w:jc w:val="center"/>
      </w:pPr>
      <w:r>
        <w:rPr>
          <w:rFonts w:ascii="Times New Roman" w:hAnsi="Times New Roman" w:cs="Times New Roman" w:eastAsia="Songti SC"/>
          <w:b w:val="0"/>
          <w:i w:val="0"/>
          <w:color w:val="000000"/>
          <w:sz w:val="18"/>
        </w:rPr>
        <w:t>表B-5b direct_relay三种子算子汇总</w:t>
      </w:r>
    </w:p>
    <w:tbl>
      <w:tblPr>
        <w:tblStyle w:val="171"/>
        <w:tblW w:type="dxa" w:w="9179"/>
        <w:jc w:val="center"/>
        <w:tblLayout w:type="fixed"/>
        <w:tblLook w:firstColumn="1" w:firstRow="1" w:lastColumn="0" w:lastRow="0" w:noHBand="0" w:noVBand="1" w:val="04A0"/>
      </w:tblPr>
      <w:tblGrid>
        <w:gridCol w:w="812"/>
        <w:gridCol w:w="1686"/>
        <w:gridCol w:w="812"/>
        <w:gridCol w:w="812"/>
        <w:gridCol w:w="999"/>
        <w:gridCol w:w="999"/>
        <w:gridCol w:w="999"/>
        <w:gridCol w:w="937"/>
        <w:gridCol w:w="1124"/>
      </w:tblGrid>
      <w:tr>
        <w:trPr>
          <w:cantSplit/>
          <w:tblHeader w:val="true"/>
        </w:trPr>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类型</w:t>
            </w:r>
          </w:p>
        </w:tc>
        <w:tc>
          <w:tcPr>
            <w:tcW w:type="dxa" w:w="168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算子</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调用</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接受率/%</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当前改进</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全局改进</w:t>
            </w:r>
          </w:p>
        </w:tc>
        <w:tc>
          <w:tcPr>
            <w:tcW w:type="dxa" w:w="93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奖励</w:t>
            </w:r>
          </w:p>
        </w:tc>
        <w:tc>
          <w:tcPr>
            <w:tcW w:type="dxa" w:w="11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平均末权重</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random</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7685</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4405</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57.32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563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99</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6490.00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0.5674</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worst_distance</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9078</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3863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42.55</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1488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275</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9427.00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0.6522</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worst_lex</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7571</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3083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40.72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1178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268</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7689.00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0.4923</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spatial_related</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6276</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2983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47.53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424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63</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4507.00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0.5689</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deadline_related</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7213</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3869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53.64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510</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90</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5759.00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0.4526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late_critical</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6667</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2709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40.63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789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167</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5744.00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0.6197</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route_segment</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1238</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205</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16.56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364.00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0.0549</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capacity_conflict</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7062</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4302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60.92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379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74</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5735.00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0.5141</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assignment_destroy</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5576</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2074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37.20</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610</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101</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4308.00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0.5095</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greedy</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19288</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11694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60.63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2719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542</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22019.00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0.7092</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regret2</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11646</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4671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40.11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964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190</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8323.00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0.4761</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regret3</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15870</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8092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50.99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1867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358</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15125.00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0.5167</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deadline</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5821</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1495</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25.68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238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31</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2333.00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0.3587</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slack</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5741</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1541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26.84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194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25</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2223.00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0.1503</w:t>
            </w:r>
          </w:p>
        </w:tc>
      </w:tr>
    </w:tbl>
    <w:p>
      <w:pPr>
        <w:pStyle w:val="16"/>
        <w:keepNext/>
        <w:widowControl/>
        <w:ind w:firstLine="0"/>
        <w:jc w:val="center"/>
      </w:pPr>
      <w:r>
        <w:rPr>
          <w:rFonts w:ascii="Times New Roman" w:hAnsi="Times New Roman" w:cs="Times New Roman" w:eastAsia="Songti SC"/>
          <w:b w:val="0"/>
          <w:i w:val="0"/>
          <w:color w:val="000000"/>
          <w:sz w:val="18"/>
        </w:rPr>
        <w:t>表B-5c direct_stations三种子算子汇总</w:t>
      </w:r>
    </w:p>
    <w:tbl>
      <w:tblPr>
        <w:tblStyle w:val="171"/>
        <w:tblW w:type="dxa" w:w="9179"/>
        <w:jc w:val="center"/>
        <w:tblLayout w:type="fixed"/>
        <w:tblLook w:firstColumn="1" w:firstRow="1" w:lastColumn="0" w:lastRow="0" w:noHBand="0" w:noVBand="1" w:val="04A0"/>
      </w:tblPr>
      <w:tblGrid>
        <w:gridCol w:w="812"/>
        <w:gridCol w:w="1686"/>
        <w:gridCol w:w="812"/>
        <w:gridCol w:w="812"/>
        <w:gridCol w:w="999"/>
        <w:gridCol w:w="999"/>
        <w:gridCol w:w="999"/>
        <w:gridCol w:w="937"/>
        <w:gridCol w:w="1124"/>
      </w:tblGrid>
      <w:tr>
        <w:trPr>
          <w:cantSplit/>
          <w:tblHeader w:val="true"/>
        </w:trPr>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类型</w:t>
            </w:r>
          </w:p>
        </w:tc>
        <w:tc>
          <w:tcPr>
            <w:tcW w:type="dxa" w:w="168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算子</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调用</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接受率/%</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当前改进</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全局改进</w:t>
            </w:r>
          </w:p>
        </w:tc>
        <w:tc>
          <w:tcPr>
            <w:tcW w:type="dxa" w:w="93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奖励</w:t>
            </w:r>
          </w:p>
        </w:tc>
        <w:tc>
          <w:tcPr>
            <w:tcW w:type="dxa" w:w="11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平均末权重</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random</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8832</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4880</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55.25</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474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83</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6634.00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0.5581</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worst_distance</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9651</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3546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36.74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1295</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308</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8663.00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0.6415</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worst_lex</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8027</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2817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35.09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921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235</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6520.00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0.4110</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spatial_related</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7719</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3658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47.39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347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57</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4927.00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0.7160</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deadline_related</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8549</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4406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51.54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470</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84</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6152.00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0.6883</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late_critical</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7638</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2901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37.98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642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142</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5395.00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0.4677</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route_segment</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1246</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146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11.72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247.00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0.1568</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capacity_conflict</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9042</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5298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58.59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74</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7040.00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0.7864</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assignment_destroy</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7184</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2605</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36.26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573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129</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4840.00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0.4126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greedy</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22610</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12941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57.24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2423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530</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22330.00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0.7224</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regret2</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12151</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4367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35.94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689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138</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6986.00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0.5028</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regret3</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19581</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9691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49.49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1820</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423</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16843.00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0.7119</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deadline</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7241</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1791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24.73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172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21</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2391.00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0.3287</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slack</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6305</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1467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23.27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1868.00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0.2554</w:t>
            </w:r>
          </w:p>
        </w:tc>
      </w:tr>
    </w:tbl>
    <w:p>
      <w:pPr>
        <w:pStyle w:val="16"/>
        <w:keepNext/>
        <w:widowControl/>
        <w:ind w:firstLine="0"/>
        <w:jc w:val="center"/>
      </w:pPr>
      <w:r>
        <w:rPr>
          <w:rFonts w:ascii="Times New Roman" w:hAnsi="Times New Roman" w:cs="Times New Roman" w:eastAsia="Songti SC"/>
          <w:b w:val="0"/>
          <w:i w:val="0"/>
          <w:color w:val="000000"/>
          <w:sz w:val="18"/>
        </w:rPr>
        <w:t>表B-5d direct_relay_stations三种子算子汇总</w:t>
      </w:r>
    </w:p>
    <w:tbl>
      <w:tblPr>
        <w:tblStyle w:val="171"/>
        <w:tblW w:type="dxa" w:w="9179"/>
        <w:jc w:val="center"/>
        <w:tblLayout w:type="fixed"/>
        <w:tblLook w:firstColumn="1" w:firstRow="1" w:lastColumn="0" w:lastRow="0" w:noHBand="0" w:noVBand="1" w:val="04A0"/>
      </w:tblPr>
      <w:tblGrid>
        <w:gridCol w:w="812"/>
        <w:gridCol w:w="1686"/>
        <w:gridCol w:w="812"/>
        <w:gridCol w:w="812"/>
        <w:gridCol w:w="999"/>
        <w:gridCol w:w="999"/>
        <w:gridCol w:w="999"/>
        <w:gridCol w:w="937"/>
        <w:gridCol w:w="1124"/>
      </w:tblGrid>
      <w:tr>
        <w:trPr>
          <w:cantSplit/>
          <w:tblHeader w:val="true"/>
        </w:trPr>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类型</w:t>
            </w:r>
          </w:p>
        </w:tc>
        <w:tc>
          <w:tcPr>
            <w:tcW w:type="dxa" w:w="168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算子</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调用</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接受率/%</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当前改进</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全局改进</w:t>
            </w:r>
          </w:p>
        </w:tc>
        <w:tc>
          <w:tcPr>
            <w:tcW w:type="dxa" w:w="93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奖励</w:t>
            </w:r>
          </w:p>
        </w:tc>
        <w:tc>
          <w:tcPr>
            <w:tcW w:type="dxa" w:w="11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平均末权重</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random</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7599</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4109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54.07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513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76</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5952.00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0.8066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worst_distance</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8986</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3427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38.14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1370</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296</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8721.00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1.1248</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worst_lex</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7445</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2779</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37.33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1045</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226</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6818.00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0.9119</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spatial_related</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6861</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3203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46.68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386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51</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4565.00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0.6989</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deadline_related</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7453</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3804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51.04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83</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5594.00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0.6589</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late_critical</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6943</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2748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39.58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704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135</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5400.00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0.6936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route_segment</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1253</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185</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14.76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45</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352.00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0.0500</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capacity_conflict</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7685</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4358</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56.71</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72</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6107.00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0.5665</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assignment_destroy</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6578</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2477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37.66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675</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124</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4998.00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0.5346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greedy</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20522</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11774</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57.37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2612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509</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21646.00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0.8292</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regret2</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10924</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3936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36.03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796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135</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6864.00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0.4853</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regret3</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17403</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8476</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48.70</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1923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399</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15841.00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0.9688</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deadline</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6331</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1562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24.67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197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2233.00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0.4090</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slack</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5623</w:t>
            </w:r>
          </w:p>
        </w:tc>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1342</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23.87</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183</w:t>
            </w:r>
          </w:p>
        </w:tc>
        <w:tc>
          <w:tcPr>
            <w:tcW w:type="dxa" w:w="9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93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1923.00</w:t>
            </w:r>
          </w:p>
        </w:tc>
        <w:tc>
          <w:tcPr>
            <w:tcW w:type="dxa" w:w="11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0.2898</w:t>
            </w:r>
          </w:p>
        </w:tc>
      </w:tr>
    </w:tbl>
    <w:p>
      <w:pPr>
        <w:pStyle w:val="4"/>
        <w:keepNext/>
        <w:widowControl/>
      </w:pPr>
      <w:r>
        <w:rPr>
          <w:rFonts w:ascii="Times New Roman" w:hAnsi="Times New Roman" w:cs="Times New Roman" w:eastAsia="Heiti SC"/>
          <w:b/>
        </w:rPr>
        <w:t>B.6 敏感性逐水平完整结果</w:t>
      </w:r>
    </w:p>
    <w:p>
      <w:pPr>
        <w:pStyle w:val="16"/>
        <w:keepNext/>
        <w:widowControl/>
        <w:ind w:firstLine="0"/>
        <w:jc w:val="center"/>
      </w:pPr>
      <w:r>
        <w:rPr>
          <w:rFonts w:ascii="Times New Roman" w:hAnsi="Times New Roman" w:cs="Times New Roman" w:eastAsia="Songti SC"/>
          <w:b w:val="0"/>
          <w:i w:val="0"/>
          <w:color w:val="000000"/>
          <w:sz w:val="18"/>
        </w:rPr>
        <w:t>表B-6a 敏感性逐水平实验设计</w:t>
      </w:r>
    </w:p>
    <w:tbl>
      <w:tblPr>
        <w:tblStyle w:val="171"/>
        <w:tblW w:type="dxa" w:w="9179"/>
        <w:jc w:val="center"/>
        <w:tblLayout w:type="fixed"/>
        <w:tblLook w:firstColumn="1" w:firstRow="1" w:lastColumn="0" w:lastRow="0" w:noHBand="0" w:noVBand="1" w:val="04A0"/>
      </w:tblPr>
      <w:tblGrid>
        <w:gridCol w:w="2170"/>
        <w:gridCol w:w="1168"/>
        <w:gridCol w:w="1669"/>
        <w:gridCol w:w="1252"/>
        <w:gridCol w:w="1502"/>
        <w:gridCol w:w="1419"/>
      </w:tblGrid>
      <w:tr>
        <w:trPr>
          <w:cantSplit/>
          <w:tblHeader w:val="true"/>
        </w:trPr>
        <w:tc>
          <w:tcPr>
            <w:tcW w:type="dxa" w:w="217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参数</w:t>
            </w:r>
          </w:p>
        </w:tc>
        <w:tc>
          <w:tcPr>
            <w:tcW w:type="dxa" w:w="116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水平</w:t>
            </w:r>
          </w:p>
        </w:tc>
        <w:tc>
          <w:tcPr>
            <w:tcW w:type="dxa" w:w="166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种子</w:t>
            </w:r>
          </w:p>
        </w:tc>
        <w:tc>
          <w:tcPr>
            <w:tcW w:type="dxa" w:w="125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无人机</w:t>
            </w:r>
          </w:p>
        </w:tc>
        <w:tc>
          <w:tcPr>
            <w:tcW w:type="dxa" w:w="150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截止倍率</w:t>
            </w:r>
          </w:p>
        </w:tc>
        <w:tc>
          <w:tcPr>
            <w:tcW w:type="dxa" w:w="141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请求站点</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1.10</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1.10</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r>
      <w:tr>
        <w:trPr>
          <w:cantSplit/>
        </w:trPr>
        <w:tc>
          <w:tcPr>
            <w:tcW w:type="dxa" w:w="21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16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50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41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r>
    </w:tbl>
    <w:p>
      <w:pPr>
        <w:pStyle w:val="16"/>
        <w:keepNext/>
        <w:widowControl/>
        <w:ind w:firstLine="0"/>
        <w:jc w:val="center"/>
      </w:pPr>
      <w:r>
        <w:rPr>
          <w:rFonts w:ascii="Times New Roman" w:hAnsi="Times New Roman" w:cs="Times New Roman" w:eastAsia="Songti SC"/>
          <w:b w:val="0"/>
          <w:i w:val="0"/>
          <w:color w:val="000000"/>
          <w:sz w:val="18"/>
        </w:rPr>
        <w:t>表B-6b 敏感性逐水平解质量</w:t>
      </w:r>
    </w:p>
    <w:tbl>
      <w:tblPr>
        <w:tblStyle w:val="171"/>
        <w:tblW w:type="dxa" w:w="9179"/>
        <w:jc w:val="center"/>
        <w:tblLayout w:type="fixed"/>
        <w:tblLook w:firstColumn="1" w:firstRow="1" w:lastColumn="0" w:lastRow="0" w:noHBand="0" w:noVBand="1" w:val="04A0"/>
      </w:tblPr>
      <w:tblGrid>
        <w:gridCol w:w="2230"/>
        <w:gridCol w:w="1201"/>
        <w:gridCol w:w="1201"/>
        <w:gridCol w:w="1716"/>
        <w:gridCol w:w="1716"/>
        <w:gridCol w:w="1115"/>
      </w:tblGrid>
      <w:tr>
        <w:trPr>
          <w:cantSplit/>
          <w:tblHeader w:val="true"/>
        </w:trPr>
        <w:tc>
          <w:tcPr>
            <w:tcW w:type="dxa" w:w="223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参数</w:t>
            </w:r>
          </w:p>
        </w:tc>
        <w:tc>
          <w:tcPr>
            <w:tcW w:type="dxa" w:w="120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水平</w:t>
            </w:r>
          </w:p>
        </w:tc>
        <w:tc>
          <w:tcPr>
            <w:tcW w:type="dxa" w:w="120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逾期</w:t>
            </w:r>
          </w:p>
        </w:tc>
        <w:tc>
          <w:tcPr>
            <w:tcW w:type="dxa" w:w="171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总逾期/min</w:t>
            </w:r>
          </w:p>
        </w:tc>
        <w:tc>
          <w:tcPr>
            <w:tcW w:type="dxa" w:w="171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航程/km</w:t>
            </w:r>
          </w:p>
        </w:tc>
        <w:tc>
          <w:tcPr>
            <w:tcW w:type="dxa" w:w="111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有效</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1906.865</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609.876</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46</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1344.190</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603.789</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33</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728.970</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606.898</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13</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230.732</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619.159</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564.743</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81</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2797.666</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610.433</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71</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2227.973</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605.663</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1941.415</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627.442</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1.10</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49</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1480.806</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607.410</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39</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1161.893</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618.949</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59</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1983.994</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608.226</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2012.309</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635.116</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1940.000</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623.754</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1823.990</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607.903</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23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12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58</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1800.975</w:t>
            </w:r>
          </w:p>
        </w:tc>
        <w:tc>
          <w:tcPr>
            <w:tcW w:type="dxa" w:w="1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609.494</w:t>
            </w:r>
          </w:p>
        </w:tc>
        <w:tc>
          <w:tcPr>
            <w:tcW w:type="dxa" w:w="11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bl>
    <w:p>
      <w:pPr>
        <w:pStyle w:val="16"/>
        <w:keepNext/>
        <w:widowControl/>
        <w:ind w:firstLine="0"/>
        <w:jc w:val="center"/>
      </w:pPr>
      <w:r>
        <w:rPr>
          <w:rFonts w:ascii="Times New Roman" w:hAnsi="Times New Roman" w:cs="Times New Roman" w:eastAsia="Songti SC"/>
          <w:b w:val="0"/>
          <w:i w:val="0"/>
          <w:color w:val="000000"/>
          <w:sz w:val="18"/>
        </w:rPr>
        <w:t>表B-6c 敏感性逐水平机制与效率</w:t>
      </w:r>
    </w:p>
    <w:tbl>
      <w:tblPr>
        <w:tblStyle w:val="171"/>
        <w:tblW w:type="dxa" w:w="9179"/>
        <w:jc w:val="center"/>
        <w:tblLayout w:type="fixed"/>
        <w:tblLook w:firstColumn="1" w:firstRow="1" w:lastColumn="0" w:lastRow="0" w:noHBand="0" w:noVBand="1" w:val="04A0"/>
      </w:tblPr>
      <w:tblGrid>
        <w:gridCol w:w="1700"/>
        <w:gridCol w:w="884"/>
        <w:gridCol w:w="1088"/>
        <w:gridCol w:w="1088"/>
        <w:gridCol w:w="884"/>
        <w:gridCol w:w="1156"/>
        <w:gridCol w:w="1292"/>
        <w:gridCol w:w="1088"/>
      </w:tblGrid>
      <w:tr>
        <w:trPr>
          <w:cantSplit/>
          <w:tblHeader w:val="true"/>
        </w:trPr>
        <w:tc>
          <w:tcPr>
            <w:tcW w:type="dxa" w:w="170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参数</w:t>
            </w:r>
          </w:p>
        </w:tc>
        <w:tc>
          <w:tcPr>
            <w:tcW w:type="dxa" w:w="88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水平</w:t>
            </w:r>
          </w:p>
        </w:tc>
        <w:tc>
          <w:tcPr>
            <w:tcW w:type="dxa" w:w="108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实际站点</w:t>
            </w:r>
          </w:p>
        </w:tc>
        <w:tc>
          <w:tcPr>
            <w:tcW w:type="dxa" w:w="108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Relay任务</w:t>
            </w:r>
          </w:p>
        </w:tc>
        <w:tc>
          <w:tcPr>
            <w:tcW w:type="dxa" w:w="88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跨机</w:t>
            </w:r>
          </w:p>
        </w:tc>
        <w:tc>
          <w:tcPr>
            <w:tcW w:type="dxa" w:w="115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等待/min</w:t>
            </w:r>
          </w:p>
        </w:tc>
        <w:tc>
          <w:tcPr>
            <w:tcW w:type="dxa" w:w="129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首段空飞/km</w:t>
            </w:r>
          </w:p>
        </w:tc>
        <w:tc>
          <w:tcPr>
            <w:tcW w:type="dxa" w:w="108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墙钟/s</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0.064</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9.138</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299.971</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9.312</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299.975</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8.735</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299.977</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11.165</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299.974</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5.719</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14.403</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299.974</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0.198</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7.977</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299.970</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2.125</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6.730</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299.973</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9.138</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299.971</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1.10</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2.620</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6.317</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299.971</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0.027</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10.216</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299.975</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8.839</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299.970</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7.157</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299.974</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9.624</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9.138</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299.971</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8.633</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299.971</w:t>
            </w:r>
          </w:p>
        </w:tc>
      </w:tr>
      <w:tr>
        <w:trPr>
          <w:cantSplit/>
        </w:trPr>
        <w:tc>
          <w:tcPr>
            <w:tcW w:type="dxa" w:w="17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88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1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3.299</w:t>
            </w:r>
          </w:p>
        </w:tc>
        <w:tc>
          <w:tcPr>
            <w:tcW w:type="dxa" w:w="129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7.701</w:t>
            </w:r>
          </w:p>
        </w:tc>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299.973</w:t>
            </w:r>
          </w:p>
        </w:tc>
      </w:tr>
    </w:tbl>
    <w:p>
      <w:pPr>
        <w:pStyle w:val="16"/>
        <w:keepNext/>
        <w:widowControl/>
        <w:ind w:firstLine="0"/>
        <w:jc w:val="center"/>
      </w:pPr>
      <w:r>
        <w:rPr>
          <w:rFonts w:ascii="Times New Roman" w:hAnsi="Times New Roman" w:cs="Times New Roman" w:eastAsia="Songti SC"/>
          <w:b w:val="0"/>
          <w:i w:val="0"/>
          <w:color w:val="000000"/>
          <w:sz w:val="18"/>
        </w:rPr>
        <w:t>表B-6d 敏感性逐水平解文件审计</w:t>
      </w:r>
    </w:p>
    <w:tbl>
      <w:tblPr>
        <w:tblStyle w:val="171"/>
        <w:tblW w:type="dxa" w:w="9179"/>
        <w:jc w:val="center"/>
        <w:tblLayout w:type="fixed"/>
        <w:tblLook w:firstColumn="1" w:firstRow="1" w:lastColumn="0" w:lastRow="0" w:noHBand="0" w:noVBand="1" w:val="04A0"/>
      </w:tblPr>
      <w:tblGrid>
        <w:gridCol w:w="1836"/>
        <w:gridCol w:w="1071"/>
        <w:gridCol w:w="6272"/>
      </w:tblGrid>
      <w:tr>
        <w:trPr>
          <w:cantSplit/>
          <w:tblHeader w:val="true"/>
        </w:trPr>
        <w:tc>
          <w:tcPr>
            <w:tcW w:type="dxa" w:w="183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参数</w:t>
            </w:r>
          </w:p>
        </w:tc>
        <w:tc>
          <w:tcPr>
            <w:tcW w:type="dxa" w:w="107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水平</w:t>
            </w:r>
          </w:p>
        </w:tc>
        <w:tc>
          <w:tcPr>
            <w:tcW w:type="dxa" w:w="627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解文件SHA-256</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2aff1d56​4cb49215​ca5eb86e​fb22b560​33f56518​9efbbdce​e9f6f011​a2de5306</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303efa1f​b8f93554​f47dafe0​2ea8a25b​c8a56efb​e049b391​8059bd62​6bf2f77b</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d9087f6a​31cb9ce4​7784101c​d03d6777​c0be21cb​32c50adc​dc6abcdd​e41455f2</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b26be905​2e8ec2b6​6c09d3be​5f8bf761​07ea039d​9c517099​7324f160​5a661c09</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drone_count</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4ebddb30​730fabfc​406bd9e2​f3a79ce1​d00d9501​40c53109​ab9d42ec​d4977fe1</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5417f504​4c7e38cf​ab6e6196​7aebd527​31de0627​9a4a1d65​0275bfe3​75a2a0d4</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d05a136b​c70bd420​598c02e8​05b8f717​2b46dfb5​5bb1bdaa​76d2b1c3​9032f433</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0dff4b69​78ab073f​9da2f87d​a5089264​63d897e6​482af73e​e09de351​ad6112c7</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1.10</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2a782c24​341bfaf5​a1a0e904​393f44cc​55e35fb9​20df2da8​66eea7ff​f3bab368</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deadline_multiplier</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397c801f​a2df049e​18cf657f​2f04da75​d777f044​c229dedc​91663a68​a59d028f</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66915aea​c8da5290​43f5b84a​0383aade​ee3f24f8​636a215e​9ccb67c2​3849d577</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cfd7b7c5​07b6d3fa​b737d174​84508cdb​560d4e4d​7c6e4bd6​30227442​eed27a67</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a6b3f100​4aad0a46​379ce164​022a09a3​0ee11612​a835af24​7804d223​66982cf7</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3f422638​d60c1aa4​7d80f5d5​3313b0d8​022b1bb1​f81eb495​c9ca6507​70ca8f35</w:t>
            </w:r>
          </w:p>
        </w:tc>
      </w:tr>
      <w:tr>
        <w:trPr>
          <w:cantSplit/>
        </w:trPr>
        <w:tc>
          <w:tcPr>
            <w:tcW w:type="dxa" w:w="183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0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627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6a29192f​228415bd​deb310c0​e2669453​b7f640eb​2d8c7aee​92c7bfd5​e69c0499</w:t>
            </w:r>
          </w:p>
        </w:tc>
      </w:tr>
    </w:tbl>
    <w:p>
      <w:pPr>
        <w:keepNext w:val="0"/>
        <w:widowControl/>
      </w:pPr>
      <w:r>
        <w:rPr>
          <w:rFonts w:ascii="Times New Roman" w:hAnsi="Times New Roman" w:cs="Times New Roman" w:eastAsia="Songti SC"/>
          <w:b w:val="0"/>
        </w:rPr>
        <w:t>表B-6a至表B-6d中每个水平对应一个正式解文件，均记录运行时的valid与violations审计结果。三层得分、机制计数、墙钟时间和solution_sha256均保留在原始JSON中；图6-3至图6-5只从这些正式行生成。</w:t>
      </w:r>
    </w:p>
    <w:p>
      <w:pPr>
        <w:pStyle w:val="4"/>
        <w:keepNext/>
        <w:widowControl/>
      </w:pPr>
      <w:r>
        <w:rPr>
          <w:rFonts w:ascii="Times New Roman" w:hAnsi="Times New Roman" w:cs="Times New Roman" w:eastAsia="Heiti SC"/>
          <w:b/>
        </w:rPr>
        <w:t>B.7 可行性与结果审计</w:t>
      </w:r>
    </w:p>
    <w:p>
      <w:pPr>
        <w:keepNext w:val="0"/>
        <w:widowControl/>
      </w:pPr>
      <w:r>
        <w:rPr>
          <w:rFonts w:ascii="Times New Roman" w:hAnsi="Times New Roman" w:cs="Times New Roman" w:eastAsia="Songti SC"/>
          <w:b w:val="0"/>
        </w:rPr>
        <w:t>终稿生成前共读取并审计31个已序列化正式解文件。每个文件必须记录valid=true、violations为空，且三层得分与汇总行一致；四场景和敏感性解还必须通过清单中的SHA-256校验。任何缺失、非法、哈希不一致或协议字段错误都会在DOCX写入前触发明确异常。</w:t>
      </w:r>
    </w:p>
    <w:p>
      <w:pPr>
        <w:pStyle w:val="16"/>
        <w:keepNext/>
        <w:widowControl/>
        <w:ind w:firstLine="0"/>
        <w:jc w:val="center"/>
      </w:pPr>
      <w:r>
        <w:rPr>
          <w:rFonts w:ascii="Times New Roman" w:hAnsi="Times New Roman" w:cs="Times New Roman" w:eastAsia="Songti SC"/>
          <w:b w:val="0"/>
          <w:i w:val="0"/>
          <w:color w:val="000000"/>
          <w:sz w:val="18"/>
        </w:rPr>
        <w:t>表B-7 终稿生成器的来源与一致性审计门</w:t>
      </w:r>
    </w:p>
    <w:tbl>
      <w:tblPr>
        <w:tblStyle w:val="171"/>
        <w:tblW w:type="dxa" w:w="9179"/>
        <w:jc w:val="center"/>
        <w:tblLayout w:type="fixed"/>
        <w:tblLook w:firstColumn="1" w:firstRow="1" w:lastColumn="0" w:lastRow="0" w:noHBand="0" w:noVBand="1" w:val="04A0"/>
      </w:tblPr>
      <w:tblGrid>
        <w:gridCol w:w="2371"/>
        <w:gridCol w:w="6808"/>
      </w:tblGrid>
      <w:tr>
        <w:trPr>
          <w:cantSplit/>
          <w:tblHeader w:val="true"/>
        </w:trPr>
        <w:tc>
          <w:tcPr>
            <w:tcW w:type="dxa" w:w="237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审计项</w:t>
            </w:r>
          </w:p>
        </w:tc>
        <w:tc>
          <w:tcPr>
            <w:tcW w:type="dxa" w:w="680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通过条件</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运行时完整评价</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读取正式求解器保存的valid=true与空violations记录</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路线与起点结构</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problem.drone_homes、drone_count及路线数量一致</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任务上限与Relay时序</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依赖正式解中已保存的完整评价结果，不在生成器内重算</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三层得分</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runs行与solution.score逐字段一致</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输出来源</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manifest formal=true，协议名、场景、固定种子、水平和预算匹配</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图像来源</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figure_manifest绑定三组正式JSON与9组PNG/SVG的SHA-256</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题设示意</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图5-1复现题设11 km路线；其余8组图读取正式结果JSON</w:t>
            </w:r>
          </w:p>
        </w:tc>
      </w:tr>
    </w:tbl>
    <w:p w14:paraId="764ABFCC">
      <w:pPr>
        <w:pStyle w:val="2"/>
        <w:pageBreakBefore/>
        <w:jc w:val="left"/>
        <w:rPr>
          <w:rFonts w:hint="eastAsia" w:ascii="黑体" w:hAnsi="黑体" w:cs="黑体"/>
          <w:lang w:eastAsia="zh-CN"/>
        </w:rPr>
      </w:pPr>
      <w:r>
        <w:rPr>
          <w:rFonts w:hint="eastAsia" w:ascii="黑体" w:hAnsi="黑体" w:cs="黑体"/>
          <w:lang w:eastAsia="zh-CN"/>
        </w:rPr>
        <w:t>参考文献</w:t>
      </w:r>
    </w:p>
    <w:p w14:paraId="2CACEB6C">
      <w:pPr>
        <w:spacing w:line="400" w:lineRule="exact"/>
        <w:ind w:left="386" w:hanging="386"/>
        <w:rPr>
          <w:szCs w:val="21"/>
          <w:lang w:eastAsia="zh-CN"/>
        </w:rPr>
      </w:pPr>
      <w:r>
        <w:rPr>
          <w:szCs w:val="21"/>
          <w:lang w:eastAsia="zh-CN"/>
        </w:rPr>
        <w:t xml:space="preserve">[1] 傅惠，崔煜，赵佳虹，等。低空无人机物流配送研究与应用综述 [J]. 工业工程，2025, 28 (1): 9-21. </w:t>
      </w:r>
    </w:p>
    <w:p w14:paraId="00D060E2">
      <w:pPr>
        <w:spacing w:line="400" w:lineRule="exact"/>
        <w:ind w:left="386" w:hanging="386"/>
        <w:rPr>
          <w:szCs w:val="21"/>
          <w:lang w:eastAsia="zh-CN"/>
        </w:rPr>
      </w:pPr>
      <w:r>
        <w:rPr>
          <w:szCs w:val="21"/>
          <w:lang w:eastAsia="zh-CN"/>
        </w:rPr>
        <w:t xml:space="preserve">[2] 张岩松。低空经济背景下无人机物流的发展现状、制约问题与对策研究 [J]. 中国物流与采购，2026 (3). </w:t>
      </w:r>
    </w:p>
    <w:p w14:paraId="55217EFD">
      <w:pPr>
        <w:spacing w:line="400" w:lineRule="exact"/>
        <w:ind w:left="386" w:hanging="386"/>
        <w:rPr>
          <w:szCs w:val="21"/>
        </w:rPr>
      </w:pPr>
      <w:r>
        <w:rPr>
          <w:szCs w:val="21"/>
        </w:rPr>
        <w:t xml:space="preserve">[3] Cheng C, Adulyasak Y, Rousseau L M. Robust drone delivery with weather information [J]. Manufacturing &amp; Service Operations Management, 2024, 26 (4): 1402-1421. </w:t>
      </w:r>
    </w:p>
    <w:p w14:paraId="0111954B">
      <w:pPr>
        <w:spacing w:line="400" w:lineRule="exact"/>
        <w:ind w:left="386" w:hanging="386"/>
        <w:rPr>
          <w:szCs w:val="21"/>
        </w:rPr>
      </w:pPr>
      <w:r>
        <w:rPr>
          <w:szCs w:val="21"/>
        </w:rPr>
        <w:t xml:space="preserve">[4] Deng F, Qin H, Li J, et al. The pickup and delivery problem with time windows and incompatibility constraints in cold chain transportation [J]. Transportation Science, 2023, 57 (2): 444-462. </w:t>
      </w:r>
    </w:p>
    <w:p w14:paraId="1A9913F9">
      <w:pPr>
        <w:spacing w:line="400" w:lineRule="exact"/>
        <w:ind w:left="386" w:hanging="386"/>
        <w:rPr>
          <w:szCs w:val="21"/>
        </w:rPr>
      </w:pPr>
      <w:r>
        <w:rPr>
          <w:szCs w:val="21"/>
        </w:rPr>
        <w:t xml:space="preserve">[5] Deng M, Li Y, Ding J, et al. Stochastic and robust truck-and-drone routing problems with deadlines: A Benders decomposition approach [J]. Transportation Research Part E: Logistics and Transportation Review, 2024, 190: 103709. </w:t>
      </w:r>
    </w:p>
    <w:p w14:paraId="7D9FF3FF">
      <w:pPr>
        <w:spacing w:line="400" w:lineRule="exact"/>
        <w:ind w:left="386" w:hanging="386"/>
        <w:rPr>
          <w:szCs w:val="21"/>
        </w:rPr>
      </w:pPr>
      <w:r>
        <w:rPr>
          <w:szCs w:val="21"/>
        </w:rPr>
        <w:t xml:space="preserve">[6] Di Puglia Pugliese, L., &amp; Guerriero, F. (2017). Last-mile deliveries by using drones and classical vehicles. In Optimization and Decision Science: Methodologies and Applications (pp.557−565). Springer. </w:t>
      </w:r>
    </w:p>
    <w:p w14:paraId="7C608059">
      <w:pPr>
        <w:spacing w:line="400" w:lineRule="exact"/>
        <w:ind w:left="386" w:hanging="386"/>
        <w:rPr>
          <w:szCs w:val="21"/>
        </w:rPr>
      </w:pPr>
      <w:r>
        <w:rPr>
          <w:szCs w:val="21"/>
        </w:rPr>
        <w:t>[7] Joo H, Lee K. A branch-and-price algorithm for robust drone-vehicle routing problem with time windows [J]. INFORMS Journal on Computing, 2025.</w:t>
      </w:r>
    </w:p>
    <w:p w14:paraId="1D28BE8F">
      <w:pPr>
        <w:spacing w:line="400" w:lineRule="exact"/>
        <w:ind w:left="386" w:hanging="386"/>
        <w:rPr>
          <w:szCs w:val="21"/>
        </w:rPr>
      </w:pPr>
      <w:r>
        <w:rPr>
          <w:szCs w:val="21"/>
        </w:rPr>
        <w:t>[8] Kloster K, Moeini M, Vigo D, et al. The multiple traveling salesman problem in presence of drone- and robot-supported packet stations [J]. European Journal of Operational Research, 2023, 305 (2): 630-643.</w:t>
      </w:r>
    </w:p>
    <w:p w14:paraId="3F2340E7">
      <w:pPr>
        <w:spacing w:line="400" w:lineRule="exact"/>
        <w:ind w:left="386" w:hanging="386"/>
        <w:rPr>
          <w:szCs w:val="21"/>
        </w:rPr>
      </w:pPr>
      <w:r>
        <w:rPr>
          <w:szCs w:val="21"/>
        </w:rPr>
        <w:t xml:space="preserve">[9] Luo, Z., Gu, R., Poon, M., Liu, Z., &amp; Lim, A. (2022). A last-mile drone-assisted one-to-one pickup and delivery problem with multi-visit drone trips. Computers &amp; Operations Research, 148, 106015. </w:t>
      </w:r>
    </w:p>
    <w:p w14:paraId="467DA64C">
      <w:pPr>
        <w:spacing w:line="400" w:lineRule="exact"/>
        <w:ind w:left="386" w:hanging="386"/>
        <w:rPr>
          <w:szCs w:val="21"/>
        </w:rPr>
      </w:pPr>
      <w:r>
        <w:rPr>
          <w:szCs w:val="21"/>
        </w:rPr>
        <w:t xml:space="preserve">[10] Masmoudi, M. A., Mancini, S., Baldacci, R., &amp; Kuo, Y. H. (2022). Vehicle routing problem with drones equipped with multi-package payload compartments. Transportation Research Part E: Logistics and Transportation Review, 164, 102757. </w:t>
      </w:r>
    </w:p>
    <w:p w14:paraId="5D619D48">
      <w:pPr>
        <w:spacing w:line="400" w:lineRule="exact"/>
        <w:ind w:left="386" w:hanging="386"/>
        <w:rPr>
          <w:szCs w:val="21"/>
        </w:rPr>
      </w:pPr>
      <w:r>
        <w:rPr>
          <w:szCs w:val="21"/>
        </w:rPr>
        <w:t xml:space="preserve">[11] Mbiadou Saleu R G, Deroussi L, Feillet D, et al. The parallel drone scheduling problem with multiple drones and vehicles [J]. European Journal of Operational Research, 2022, 300 (2): 571-589. </w:t>
      </w:r>
    </w:p>
    <w:p w14:paraId="04DBADAC">
      <w:pPr>
        <w:spacing w:line="400" w:lineRule="exact"/>
        <w:ind w:left="386" w:hanging="386"/>
        <w:rPr>
          <w:szCs w:val="21"/>
        </w:rPr>
      </w:pPr>
      <w:r>
        <w:rPr>
          <w:szCs w:val="21"/>
        </w:rPr>
        <w:t>[12] Meng S, Guo X, Li D, et al. The multi-visit drone routing problem for pickup and delivery services [J]. Transportation Research Part E: Logistics and Transportation Review, 2023, 169: 102990.</w:t>
      </w:r>
    </w:p>
    <w:p w14:paraId="7AA26324">
      <w:pPr>
        <w:spacing w:line="400" w:lineRule="exact"/>
        <w:ind w:left="386" w:hanging="386"/>
        <w:rPr>
          <w:szCs w:val="21"/>
        </w:rPr>
      </w:pPr>
      <w:r>
        <w:rPr>
          <w:szCs w:val="21"/>
        </w:rPr>
        <w:t xml:space="preserve">[13] Meng S, Chen Y, Li D. The multi-visit drone-assisted pickup and delivery problem with time windows [J]. European Journal of Operational Research, 2024, 314 (2): 685-702. </w:t>
      </w:r>
    </w:p>
    <w:p w14:paraId="42C25D1B">
      <w:pPr>
        <w:spacing w:line="400" w:lineRule="exact"/>
        <w:ind w:left="386" w:hanging="386"/>
        <w:rPr>
          <w:szCs w:val="21"/>
        </w:rPr>
      </w:pPr>
      <w:r>
        <w:rPr>
          <w:szCs w:val="21"/>
        </w:rPr>
        <w:t xml:space="preserve">[14] Meng S, Li D, Liu J, et al. The multi-visit drone-assisted routing problem with soft time windows and stochastic truck travel times [J]. Transportation Research Part B: Methodological, 2024, 190: 103101. </w:t>
      </w:r>
    </w:p>
    <w:p w14:paraId="357AA68E">
      <w:pPr>
        <w:spacing w:line="400" w:lineRule="exact"/>
        <w:ind w:left="386" w:hanging="386"/>
        <w:rPr>
          <w:szCs w:val="21"/>
        </w:rPr>
      </w:pPr>
      <w:r>
        <w:rPr>
          <w:szCs w:val="21"/>
        </w:rPr>
        <w:t xml:space="preserve">[15] Mulumba T, Diabat A. Optimization of the drone-assisted pickup and delivery problem [J]. Transportation Research Part E: Logistics and Transportation Review, 2024, 181: 103377. </w:t>
      </w:r>
    </w:p>
    <w:p w14:paraId="3D5475F2">
      <w:pPr>
        <w:spacing w:line="400" w:lineRule="exact"/>
        <w:ind w:left="386" w:hanging="386"/>
        <w:rPr>
          <w:szCs w:val="21"/>
        </w:rPr>
      </w:pPr>
      <w:r>
        <w:rPr>
          <w:szCs w:val="21"/>
        </w:rPr>
        <w:t xml:space="preserve">[16] Murray, C. C., &amp; Chu, A. G. (2015). The flying sidekick traveling salesman problem: Optimization of drone-assisted delivery. Transportation Research Part C: Emerging Technologies, 54, 86-109. </w:t>
      </w:r>
    </w:p>
    <w:p w14:paraId="6C3D8F04">
      <w:pPr>
        <w:spacing w:line="400" w:lineRule="exact"/>
        <w:ind w:left="386" w:hanging="386"/>
        <w:rPr>
          <w:szCs w:val="21"/>
        </w:rPr>
      </w:pPr>
      <w:r>
        <w:rPr>
          <w:szCs w:val="21"/>
        </w:rPr>
        <w:t xml:space="preserve">[17] Nguyen M A, Dang G T H, Hà M H, et al. The min-cost parallel drone scheduling vehicle routing problem [J]. European Journal of Operational Research, 2022, 299 (3): 910-930. </w:t>
      </w:r>
    </w:p>
    <w:p w14:paraId="10A47EF2">
      <w:pPr>
        <w:spacing w:line="400" w:lineRule="exact"/>
        <w:ind w:left="386" w:hanging="386"/>
        <w:rPr>
          <w:szCs w:val="21"/>
        </w:rPr>
      </w:pPr>
      <w:r>
        <w:rPr>
          <w:szCs w:val="21"/>
        </w:rPr>
        <w:t xml:space="preserve">[18] Pina-Pardo J C, Silva D F, Smith A E, et al. Dynamic vehicle routing problem with drone resupply for same-day delivery [J]. Transportation Research Part C: Emerging Technologies, 2024, 162: 104611. </w:t>
      </w:r>
    </w:p>
    <w:p w14:paraId="11A6D25F">
      <w:pPr>
        <w:spacing w:line="400" w:lineRule="exact"/>
        <w:ind w:left="386" w:hanging="386"/>
        <w:rPr>
          <w:szCs w:val="21"/>
        </w:rPr>
      </w:pPr>
      <w:r>
        <w:rPr>
          <w:szCs w:val="21"/>
        </w:rPr>
        <w:t xml:space="preserve">[19] Sacramento, D., Pisinger, D., &amp; Ropke, S. (2019). An adaptive large neighborhood search metaheuristic for the vehicle routing problem with drones. Transportation Research Part C: Emerging Technologies, 102, 289-315. </w:t>
      </w:r>
    </w:p>
    <w:p w14:paraId="47E152CA">
      <w:pPr>
        <w:spacing w:line="400" w:lineRule="exact"/>
        <w:ind w:left="386" w:hanging="386"/>
        <w:rPr>
          <w:szCs w:val="21"/>
        </w:rPr>
      </w:pPr>
      <w:r>
        <w:rPr>
          <w:szCs w:val="21"/>
        </w:rPr>
        <w:t>[20] Salama M R, Srinivas S. Collaborative truck multi-drone routing and scheduling problem: Package delivery with flexible launch and recovery sites [J]. Transportation Research Part E: Logistics and Transportation Review, 2022, 164: 102788.</w:t>
      </w:r>
    </w:p>
    <w:p w14:paraId="2A31E5C7">
      <w:pPr>
        <w:spacing w:line="400" w:lineRule="exact"/>
        <w:ind w:left="386" w:hanging="386"/>
        <w:rPr>
          <w:szCs w:val="21"/>
        </w:rPr>
      </w:pPr>
      <w:r>
        <w:rPr>
          <w:szCs w:val="21"/>
        </w:rPr>
        <w:t xml:space="preserve">[21] Schmidt J, Tilk C, Irnich S. Exact solution of the vehicle routing problem with drones [J]. Transportation Science, 2025, 59 (1): 60-80. </w:t>
      </w:r>
    </w:p>
    <w:p w14:paraId="5748C754">
      <w:pPr>
        <w:spacing w:line="400" w:lineRule="exact"/>
        <w:ind w:left="386" w:hanging="386"/>
        <w:rPr>
          <w:szCs w:val="21"/>
        </w:rPr>
      </w:pPr>
      <w:r>
        <w:rPr>
          <w:szCs w:val="21"/>
        </w:rPr>
        <w:t xml:space="preserve">[22] Shen, T. 深圳低空经济加速发展，“3 公里，15 分钟” 无人机服务丰富了城市零售配送体系 [EB/OL]. </w:t>
      </w:r>
      <w:r>
        <w:fldChar w:fldCharType="begin"/>
      </w:r>
      <w:r>
        <w:instrText xml:space="preserve"> HYPERLINK "https://link.wtturl.cn/?target=https://baijiahao.baidu.com/s?id=1742909245657962155&amp;wfr=spider&amp;for=pc/&amp;scene=im&amp;aid=582478&amp;lang=zh" \t "_blank" \o "autolink" </w:instrText>
      </w:r>
      <w:r>
        <w:fldChar w:fldCharType="separate"/>
      </w:r>
      <w:r>
        <w:rPr>
          <w:rStyle w:val="36"/>
          <w:color w:val="auto"/>
          <w:szCs w:val="21"/>
          <w:u w:val="none"/>
        </w:rPr>
        <w:t>https://baijiahao.baidu.com/s?id=1742909245657962155&amp;wfr=spider&amp;for=pc/</w:t>
      </w:r>
      <w:r>
        <w:rPr>
          <w:rStyle w:val="36"/>
          <w:color w:val="auto"/>
          <w:szCs w:val="21"/>
          <w:u w:val="none"/>
        </w:rPr>
        <w:fldChar w:fldCharType="end"/>
      </w:r>
      <w:r>
        <w:rPr>
          <w:szCs w:val="21"/>
        </w:rPr>
        <w:t xml:space="preserve">, 2022. </w:t>
      </w:r>
    </w:p>
    <w:p w14:paraId="1E13B8A9">
      <w:pPr>
        <w:spacing w:line="400" w:lineRule="exact"/>
        <w:ind w:left="386" w:hanging="386"/>
        <w:rPr>
          <w:szCs w:val="21"/>
        </w:rPr>
      </w:pPr>
      <w:r>
        <w:rPr>
          <w:szCs w:val="21"/>
        </w:rPr>
        <w:t xml:space="preserve">[23] Tamke, F., &amp; Buscher, U. (2021). A branch-and-bound algorithm for the vehicle routing problem with drones. Transportation Research Part B: Methodological, 144, 174-203. </w:t>
      </w:r>
    </w:p>
    <w:p w14:paraId="759FE862">
      <w:pPr>
        <w:spacing w:line="400" w:lineRule="exact"/>
        <w:ind w:left="386" w:hanging="386"/>
        <w:rPr>
          <w:szCs w:val="21"/>
        </w:rPr>
      </w:pPr>
      <w:r>
        <w:rPr>
          <w:szCs w:val="21"/>
        </w:rPr>
        <w:t xml:space="preserve">[24] Wang, X., Poikonen, S., &amp; Golden, B. (2017). The vehicle routing problem with drones: several worst-case results. Optimization Letters, 11 (4), 679-697. </w:t>
      </w:r>
    </w:p>
    <w:p w14:paraId="12A2F243">
      <w:pPr>
        <w:spacing w:line="400" w:lineRule="exact"/>
        <w:ind w:left="386" w:hanging="386"/>
        <w:rPr>
          <w:szCs w:val="21"/>
        </w:rPr>
      </w:pPr>
      <w:r>
        <w:rPr>
          <w:szCs w:val="21"/>
        </w:rPr>
        <w:t xml:space="preserve">[25] Yin, Y., Li, D., Wang, D., Ignatius, J., Cheng, T., &amp; Wang, S. (2023). A branch-price-and-cut algorithm for the truck-based drone delivery routing problem with time windows. European Journal of Operational Research, 309(3), 1125-1144. </w:t>
      </w:r>
    </w:p>
    <w:p w14:paraId="1034B528">
      <w:pPr>
        <w:spacing w:line="400" w:lineRule="exact"/>
        <w:ind w:left="386" w:hanging="386"/>
        <w:rPr>
          <w:szCs w:val="21"/>
        </w:rPr>
      </w:pPr>
      <w:r>
        <w:rPr>
          <w:szCs w:val="21"/>
        </w:rPr>
        <w:t xml:space="preserve">[26] Zhen L, Gao J, Wang S, et al. Optimizing an on-demand delivery mode based on trucks and drones[J]. Transportation Science, 2025, 59(5): 1008-1031. </w:t>
      </w:r>
    </w:p>
    <w:p w14:paraId="51167794">
      <w:pPr>
        <w:spacing w:line="400" w:lineRule="exact"/>
        <w:ind w:left="386" w:hanging="386"/>
        <w:rPr>
          <w:szCs w:val="21"/>
        </w:rPr>
      </w:pPr>
      <w:r>
        <w:rPr>
          <w:szCs w:val="21"/>
        </w:rPr>
        <w:t xml:space="preserve">[27] Zhou H, Qin H, Cheng C, et al. An exact algorithm for the two-echelon vehicle routing problem with drones[J]. Transportation Research Part B: Methodological, 2023, 168: 124-150. </w:t>
      </w:r>
    </w:p>
    <w:p w14:paraId="65F63D82">
      <w:pPr>
        <w:spacing w:line="400" w:lineRule="exact"/>
        <w:ind w:left="386" w:hanging="386"/>
        <w:rPr>
          <w:szCs w:val="21"/>
          <w:lang w:eastAsia="zh-CN"/>
        </w:rPr>
      </w:pPr>
      <w:r>
        <w:rPr>
          <w:szCs w:val="21"/>
        </w:rPr>
        <w:t>[28] Zhu W, Hu X, Pei J, et al. Minimizing the total travel distance for the locker-based drone delivery: A branch-and-cut-based method[J]. Transportation Research Part B: Methodolo</w:t>
      </w:r>
      <w:r>
        <w:rPr>
          <w:sz w:val="18"/>
          <w:szCs w:val="21"/>
        </w:rPr>
        <w:t>gical, 2024, 184: 102950.</w:t>
      </w:r>
    </w:p>
    <w:p w14:paraId="056FAB97">
      <w:pPr>
        <w:spacing w:line="400" w:lineRule="exact"/>
        <w:ind w:left="386" w:hanging="386"/>
        <w:rPr>
          <w:szCs w:val="21"/>
          <w:lang w:eastAsia="zh-CN"/>
        </w:rPr>
      </w:pPr>
      <w:r>
        <w:rPr>
          <w:szCs w:val="21"/>
        </w:rPr>
        <w:t>[29] Drexl M. Synchronization in Vehicle Routing—A Survey of VRPs with Multiple Synchronization Constraints[J]. Transportation Science, 2012, 46(3): 297-316.</w:t>
      </w:r>
    </w:p>
    <w:p w14:paraId="2B3C98CF">
      <w:pPr>
        <w:spacing w:line="400" w:lineRule="exact"/>
        <w:ind w:left="386" w:hanging="386"/>
        <w:rPr>
          <w:szCs w:val="21"/>
          <w:lang w:eastAsia="zh-CN"/>
        </w:rPr>
      </w:pPr>
      <w:r>
        <w:rPr>
          <w:szCs w:val="21"/>
        </w:rPr>
        <w:t>[30] Mahmoudi B, Eshghi K. Energy-constrained multi-visit TSP with multiple drones considering non-customer rendezvous locations[J]. Expert Systems with Applications, 2022, 210: 118479.</w:t>
      </w:r>
    </w:p>
    <w:p w14:paraId="7C335345">
      <w:pPr>
        <w:spacing w:line="400" w:lineRule="exact"/>
        <w:ind w:left="386" w:hanging="386"/>
        <w:rPr>
          <w:szCs w:val="21"/>
          <w:lang w:eastAsia="zh-CN"/>
        </w:rPr>
      </w:pPr>
      <w:r>
        <w:rPr>
          <w:szCs w:val="21"/>
        </w:rPr>
        <w:t>[31] Jiang J, Dai Y, Yang F, Ma Z. A multi-visit flexible-docking vehicle routing problem with drones for simultaneous pickup and delivery services[J]. European Journal of Operational Research, 2024, 312(1): 125-137.</w:t>
      </w:r>
    </w:p>
    <w:sectPr>
      <w:footerReference r:id="rId3" w:type="default"/>
      <w:pgSz w:w="12240" w:h="15840"/>
      <w:pgMar w:top="1440" w:right="1474" w:bottom="1440" w:left="158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MS Gothic">
    <w:panose1 w:val="020B0609070205080204"/>
    <w:charset w:val="80"/>
    <w:family w:val="modern"/>
    <w:pitch w:val="default"/>
    <w:sig w:usb0="00000000" w:usb1="00000000" w:usb2="08000012" w:usb3="00000000" w:csb0="4002009F" w:csb1="DFD70000"/>
  </w:font>
  <w:font w:name="Courier">
    <w:altName w:val="Times New Roman"/>
    <w:panose1 w:val="02070409020205020404"/>
    <w:charset w:val="00"/>
    <w:family w:val="auto"/>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00000000" w:usb1="00000000" w:usb2="00000016" w:usb3="00000000" w:csb0="2002009F" w:csb1="00000000"/>
  </w:font>
  <w:font w:name="Cambria Math">
    <w:panose1 w:val="02040503050406030204"/>
    <w:charset w:val="00"/>
    <w:family w:val="roman"/>
    <w:pitch w:val="default"/>
    <w:sig w:usb0="00000000" w:usb1="00000000" w:usb2="02000000" w:usb3="00000000" w:csb0="2000019F" w:csb1="00000000"/>
  </w:font>
  <w:font w:name="Segoe Print">
    <w:panose1 w:val="02000600000000000000"/>
    <w:charset w:val="00"/>
    <w:family w:val="auto"/>
    <w:pitch w:val="default"/>
    <w:sig w:usb0="00000000" w:usb1="00000000" w:usb2="00000000" w:usb3="00000000" w:csb0="2000009F" w:csb1="47010000"/>
  </w:font>
  <w:font w:name="DejaVu Math TeX Gyre">
    <w:panose1 w:val="00000000000000000000"/>
    <w:charset w:val="00"/>
    <w:family w:val="auto"/>
    <w:pitch w:val="default"/>
    <w:sig w:usb0="00000000" w:usb1="00000000" w:usb2="00000000" w:usb3="00000000" w:csb0="00000000" w:csb1="00000000"/>
  </w:font>
  <w:font w:name="STIX Two Math">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00000000" w:usb1="00000000" w:usb2="00000016" w:usb3="00000000" w:csb0="0004001F" w:csb1="00000000"/>
  </w:font>
  <w:font w:name="Tahoma">
    <w:panose1 w:val="020B0604030504040204"/>
    <w:charset w:val="00"/>
    <w:family w:val="auto"/>
    <w:pitch w:val="default"/>
    <w:sig w:usb0="00000000" w:usb1="00000000"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9872D">
    <w:pPr>
      <w:pStyle w:val="24"/>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lvl w:ilvl="0" w:tentative="0">
      <w:start w:val="1"/>
      <w:numFmt w:val="decimal"/>
      <w:pStyle w:val="13"/>
      <w:lvlText w:val="%1."/>
      <w:lvlJc w:val="left"/>
      <w:pPr>
        <w:tabs>
          <w:tab w:val="left" w:pos="720"/>
        </w:tabs>
        <w:ind w:left="720" w:hanging="360"/>
      </w:pPr>
    </w:lvl>
  </w:abstractNum>
  <w:abstractNum w:abstractNumId="1">
    <w:nsid w:val="00000002"/>
    <w:multiLevelType w:val="singleLevel"/>
    <w:tmpl w:val="00000002"/>
    <w:lvl w:ilvl="0" w:tentative="0">
      <w:start w:val="1"/>
      <w:numFmt w:val="bullet"/>
      <w:pStyle w:val="19"/>
      <w:lvlText w:val=""/>
      <w:lvlJc w:val="left"/>
      <w:pPr>
        <w:tabs>
          <w:tab w:val="left" w:pos="1080"/>
        </w:tabs>
        <w:ind w:left="1080" w:hanging="360"/>
      </w:pPr>
      <w:rPr>
        <w:rFonts w:hint="default" w:ascii="Symbol" w:hAnsi="Symbol"/>
      </w:rPr>
    </w:lvl>
  </w:abstractNum>
  <w:abstractNum w:abstractNumId="2">
    <w:nsid w:val="00000003"/>
    <w:multiLevelType w:val="singleLevel"/>
    <w:tmpl w:val="00000003"/>
    <w:lvl w:ilvl="0" w:tentative="0">
      <w:start w:val="1"/>
      <w:numFmt w:val="bullet"/>
      <w:pStyle w:val="23"/>
      <w:lvlText w:val=""/>
      <w:lvlJc w:val="left"/>
      <w:pPr>
        <w:tabs>
          <w:tab w:val="left" w:pos="720"/>
        </w:tabs>
        <w:ind w:left="720" w:hanging="360"/>
      </w:pPr>
      <w:rPr>
        <w:rFonts w:hint="default" w:ascii="Symbol" w:hAnsi="Symbol"/>
      </w:rPr>
    </w:lvl>
  </w:abstractNum>
  <w:abstractNum w:abstractNumId="3">
    <w:nsid w:val="00000004"/>
    <w:multiLevelType w:val="singleLevel"/>
    <w:tmpl w:val="00000004"/>
    <w:lvl w:ilvl="0" w:tentative="0">
      <w:start w:val="1"/>
      <w:numFmt w:val="decimal"/>
      <w:pStyle w:val="15"/>
      <w:lvlText w:val="%1."/>
      <w:lvlJc w:val="left"/>
      <w:pPr>
        <w:tabs>
          <w:tab w:val="left" w:pos="360"/>
        </w:tabs>
        <w:ind w:left="360" w:hanging="360"/>
      </w:pPr>
    </w:lvl>
  </w:abstractNum>
  <w:abstractNum w:abstractNumId="4">
    <w:nsid w:val="00000005"/>
    <w:multiLevelType w:val="singleLevel"/>
    <w:tmpl w:val="00000005"/>
    <w:lvl w:ilvl="0" w:tentative="0">
      <w:start w:val="1"/>
      <w:numFmt w:val="bullet"/>
      <w:pStyle w:val="17"/>
      <w:lvlText w:val=""/>
      <w:lvlJc w:val="left"/>
      <w:pPr>
        <w:tabs>
          <w:tab w:val="left" w:pos="360"/>
        </w:tabs>
        <w:ind w:left="360" w:hanging="360"/>
      </w:pPr>
      <w:rPr>
        <w:rFonts w:hint="default" w:ascii="Symbol" w:hAnsi="Symbol"/>
      </w:rPr>
    </w:lvl>
  </w:abstractNum>
  <w:abstractNum w:abstractNumId="5">
    <w:nsid w:val="0053208E"/>
    <w:multiLevelType w:val="singleLevel"/>
    <w:tmpl w:val="0053208E"/>
    <w:lvl w:ilvl="0" w:tentative="0">
      <w:start w:val="1"/>
      <w:numFmt w:val="decimal"/>
      <w:pStyle w:val="20"/>
      <w:lvlText w:val="%1."/>
      <w:lvlJc w:val="left"/>
      <w:pPr>
        <w:tabs>
          <w:tab w:val="left" w:pos="1080"/>
        </w:tabs>
        <w:ind w:left="1080" w:hanging="360"/>
      </w:p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99" w:semiHidden="0" w:name="macro"/>
    <w:lsdException w:unhideWhenUsed="0" w:uiPriority="0"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unhideWhenUsed="0" w:uiPriority="0" w:semiHidden="0" w:name="List 4"/>
    <w:lsdException w:unhideWhenUsed="0" w:uiPriority="0" w:semiHidden="0" w:name="List 5"/>
    <w:lsdException w:qFormat="1" w:unhideWhenUsed="0" w:uiPriority="99" w:semiHidden="0" w:name="List Bullet 2"/>
    <w:lsdException w:qFormat="1" w:unhideWhenUsed="0" w:uiPriority="99" w:semiHidden="0" w:name="List Bullet 3"/>
    <w:lsdException w:unhideWhenUsed="0" w:uiPriority="0" w:semiHidden="0" w:name="List Bullet 4"/>
    <w:lsdException w:unhideWhenUsed="0" w:uiPriority="0" w:semiHidden="0" w:name="List Bullet 5"/>
    <w:lsdException w:qFormat="1" w:unhideWhenUsed="0" w:uiPriority="99" w:semiHidden="0" w:name="List Number 2"/>
    <w:lsdException w:qFormat="1" w:unhideWhenUsed="0"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99" w:semiHidden="0" w:name="Body Text 2"/>
    <w:lsdException w:qFormat="1" w:unhideWhenUsed="0"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420"/>
      <w:jc w:val="both"/>
    </w:pPr>
    <w:rPr>
      <w:rFonts w:ascii="Times New Roman" w:hAnsi="Times New Roman" w:eastAsia="Songti SC" w:cs="Times New Roman"/>
      <w:sz w:val="21"/>
      <w:szCs w:val="22"/>
      <w:lang w:val="en-US" w:eastAsia="en-US" w:bidi="ar-SA"/>
    </w:rPr>
  </w:style>
  <w:style w:type="paragraph" w:styleId="2">
    <w:name w:val="heading 1"/>
    <w:basedOn w:val="1"/>
    <w:next w:val="3"/>
    <w:link w:val="140"/>
    <w:qFormat/>
    <w:uiPriority w:val="9"/>
    <w:pPr>
      <w:keepNext/>
      <w:keepLines/>
      <w:spacing w:before="200" w:after="100" w:line="288" w:lineRule="auto"/>
      <w:ind w:firstLine="0"/>
      <w:outlineLvl w:val="0"/>
    </w:pPr>
    <w:rPr>
      <w:rFonts w:eastAsia="Heiti SC" w:ascii="Times New Roman" w:hAnsi="Times New Roman" w:cs="Times New Roman"/>
      <w:b/>
      <w:bCs/>
      <w:color w:val="000000"/>
      <w:sz w:val="28"/>
      <w:szCs w:val="28"/>
    </w:rPr>
  </w:style>
  <w:style w:type="paragraph" w:styleId="4">
    <w:name w:val="heading 2"/>
    <w:basedOn w:val="1"/>
    <w:next w:val="3"/>
    <w:link w:val="141"/>
    <w:qFormat/>
    <w:uiPriority w:val="9"/>
    <w:pPr>
      <w:keepNext/>
      <w:keepLines/>
      <w:spacing w:before="160" w:after="60" w:line="288" w:lineRule="auto"/>
      <w:ind w:firstLine="0"/>
      <w:outlineLvl w:val="1"/>
    </w:pPr>
    <w:rPr>
      <w:rFonts w:eastAsia="Heiti SC" w:ascii="Times New Roman" w:hAnsi="Times New Roman" w:cs="Times New Roman"/>
      <w:b/>
      <w:bCs/>
      <w:color w:val="000000"/>
      <w:sz w:val="24"/>
      <w:szCs w:val="26"/>
    </w:rPr>
  </w:style>
  <w:style w:type="paragraph" w:styleId="5">
    <w:name w:val="heading 3"/>
    <w:basedOn w:val="1"/>
    <w:next w:val="3"/>
    <w:link w:val="142"/>
    <w:qFormat/>
    <w:uiPriority w:val="9"/>
    <w:pPr>
      <w:keepNext/>
      <w:keepLines/>
      <w:spacing w:before="120" w:after="40" w:line="288" w:lineRule="auto"/>
      <w:ind w:firstLine="0"/>
      <w:outlineLvl w:val="2"/>
    </w:pPr>
    <w:rPr>
      <w:rFonts w:eastAsia="Heiti SC" w:ascii="Times New Roman" w:hAnsi="Times New Roman" w:cs="Times New Roman"/>
      <w:b/>
      <w:bCs/>
      <w:color w:val="000000"/>
    </w:rPr>
  </w:style>
  <w:style w:type="paragraph" w:styleId="6">
    <w:name w:val="heading 4"/>
    <w:basedOn w:val="1"/>
    <w:next w:val="1"/>
    <w:link w:val="152"/>
    <w:qFormat/>
    <w:uiPriority w:val="9"/>
    <w:pPr>
      <w:keepNext/>
      <w:keepLines/>
      <w:spacing w:before="200"/>
      <w:outlineLvl w:val="3"/>
    </w:pPr>
    <w:rPr>
      <w:rFonts w:ascii="Times New Roman" w:hAnsi="Times New Roman" w:eastAsia="Heiti SC" w:cs="Times New Roman"/>
      <w:b/>
      <w:bCs/>
      <w:i/>
      <w:iCs/>
      <w:color w:val="4F81BD"/>
    </w:rPr>
  </w:style>
  <w:style w:type="paragraph" w:styleId="7">
    <w:name w:val="heading 5"/>
    <w:basedOn w:val="1"/>
    <w:next w:val="1"/>
    <w:link w:val="153"/>
    <w:qFormat/>
    <w:uiPriority w:val="9"/>
    <w:pPr>
      <w:keepNext/>
      <w:keepLines/>
      <w:spacing w:before="200"/>
      <w:outlineLvl w:val="4"/>
    </w:pPr>
    <w:rPr>
      <w:rFonts w:ascii="Calibri" w:hAnsi="Calibri" w:eastAsia="MS Gothic" w:cs="宋体"/>
      <w:color w:val="254061"/>
    </w:rPr>
  </w:style>
  <w:style w:type="paragraph" w:styleId="8">
    <w:name w:val="heading 6"/>
    <w:basedOn w:val="1"/>
    <w:next w:val="1"/>
    <w:link w:val="154"/>
    <w:qFormat/>
    <w:uiPriority w:val="9"/>
    <w:pPr>
      <w:keepNext/>
      <w:keepLines/>
      <w:spacing w:before="200"/>
      <w:outlineLvl w:val="5"/>
    </w:pPr>
    <w:rPr>
      <w:rFonts w:ascii="Calibri" w:hAnsi="Calibri" w:eastAsia="MS Gothic" w:cs="宋体"/>
      <w:i/>
      <w:iCs/>
      <w:color w:val="254061"/>
    </w:rPr>
  </w:style>
  <w:style w:type="paragraph" w:styleId="9">
    <w:name w:val="heading 7"/>
    <w:basedOn w:val="1"/>
    <w:next w:val="1"/>
    <w:link w:val="155"/>
    <w:qFormat/>
    <w:uiPriority w:val="9"/>
    <w:pPr>
      <w:keepNext/>
      <w:keepLines/>
      <w:spacing w:before="200"/>
      <w:outlineLvl w:val="6"/>
    </w:pPr>
    <w:rPr>
      <w:rFonts w:ascii="Calibri" w:hAnsi="Calibri" w:eastAsia="MS Gothic" w:cs="宋体"/>
      <w:i/>
      <w:iCs/>
      <w:color w:val="3F3F3F"/>
    </w:rPr>
  </w:style>
  <w:style w:type="paragraph" w:styleId="10">
    <w:name w:val="heading 8"/>
    <w:basedOn w:val="1"/>
    <w:next w:val="1"/>
    <w:link w:val="156"/>
    <w:qFormat/>
    <w:uiPriority w:val="9"/>
    <w:pPr>
      <w:keepNext/>
      <w:keepLines/>
      <w:spacing w:before="200"/>
      <w:outlineLvl w:val="7"/>
    </w:pPr>
    <w:rPr>
      <w:rFonts w:ascii="Calibri" w:hAnsi="Calibri" w:eastAsia="MS Gothic" w:cs="宋体"/>
      <w:color w:val="4F81BD"/>
      <w:sz w:val="20"/>
      <w:szCs w:val="20"/>
    </w:rPr>
  </w:style>
  <w:style w:type="paragraph" w:styleId="11">
    <w:name w:val="heading 9"/>
    <w:basedOn w:val="1"/>
    <w:next w:val="1"/>
    <w:link w:val="157"/>
    <w:qFormat/>
    <w:uiPriority w:val="9"/>
    <w:pPr>
      <w:keepNext/>
      <w:keepLines/>
      <w:spacing w:before="200"/>
      <w:outlineLvl w:val="8"/>
    </w:pPr>
    <w:rPr>
      <w:rFonts w:ascii="Calibri" w:hAnsi="Calibri" w:eastAsia="MS Gothic" w:cs="宋体"/>
      <w:i/>
      <w:iCs/>
      <w:color w:val="3F3F3F"/>
      <w:sz w:val="20"/>
      <w:szCs w:val="20"/>
    </w:rPr>
  </w:style>
  <w:style w:type="character" w:default="1" w:styleId="33">
    <w:name w:val="Default Paragraph Font"/>
    <w:unhideWhenUsed/>
    <w:uiPriority w:val="1"/>
  </w:style>
  <w:style w:type="table" w:default="1" w:styleId="37">
    <w:name w:val="Normal Table"/>
    <w:unhideWhenUsed/>
    <w:qFormat/>
    <w:uiPriority w:val="99"/>
    <w:tblPr>
      <w:tblLayout w:type="fixed"/>
      <w:tblCellMar>
        <w:top w:w="0" w:type="dxa"/>
        <w:left w:w="108" w:type="dxa"/>
        <w:bottom w:w="0" w:type="dxa"/>
        <w:right w:w="108" w:type="dxa"/>
      </w:tblCellMar>
    </w:tblPr>
  </w:style>
  <w:style w:type="paragraph" w:styleId="3">
    <w:name w:val="Body Text"/>
    <w:basedOn w:val="1"/>
    <w:link w:val="146"/>
    <w:qFormat/>
    <w:uiPriority w:val="99"/>
    <w:pPr>
      <w:spacing w:after="120"/>
    </w:pPr>
    <w:rPr>
      <w:rFonts w:ascii="Times New Roman" w:hAnsi="Times New Roman" w:cs="Times New Roman" w:eastAsia="Songti SC"/>
    </w:rPr>
  </w:style>
  <w:style w:type="paragraph" w:styleId="12">
    <w:name w:val="List 3"/>
    <w:basedOn w:val="1"/>
    <w:qFormat/>
    <w:uiPriority w:val="99"/>
    <w:pPr>
      <w:ind w:left="1080" w:hanging="360"/>
      <w:contextualSpacing/>
    </w:pPr>
  </w:style>
  <w:style w:type="paragraph" w:styleId="13">
    <w:name w:val="List Number 2"/>
    <w:basedOn w:val="1"/>
    <w:qFormat/>
    <w:uiPriority w:val="99"/>
    <w:pPr>
      <w:numPr>
        <w:ilvl w:val="0"/>
        <w:numId w:val="1"/>
      </w:numPr>
      <w:contextualSpacing/>
    </w:pPr>
  </w:style>
  <w:style w:type="paragraph" w:styleId="14">
    <w:name w:val="macro"/>
    <w:link w:val="149"/>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宋体"/>
      <w:lang w:val="en-US" w:eastAsia="en-US" w:bidi="ar-SA"/>
    </w:rPr>
  </w:style>
  <w:style w:type="paragraph" w:styleId="15">
    <w:name w:val="List Number"/>
    <w:basedOn w:val="1"/>
    <w:qFormat/>
    <w:uiPriority w:val="99"/>
    <w:pPr>
      <w:numPr>
        <w:ilvl w:val="0"/>
        <w:numId w:val="2"/>
      </w:numPr>
      <w:contextualSpacing/>
    </w:pPr>
  </w:style>
  <w:style w:type="paragraph" w:styleId="16">
    <w:name w:val="caption"/>
    <w:basedOn w:val="1"/>
    <w:next w:val="1"/>
    <w:qFormat/>
    <w:uiPriority w:val="35"/>
    <w:pPr>
      <w:spacing w:line="240" w:lineRule="auto"/>
    </w:pPr>
    <w:rPr>
      <w:rFonts w:ascii="Times New Roman" w:hAnsi="Times New Roman" w:cs="Times New Roman" w:eastAsia="Songti SC"/>
      <w:b w:val="0"/>
      <w:bCs/>
      <w:i w:val="0"/>
      <w:color w:val="000000"/>
      <w:sz w:val="18"/>
      <w:szCs w:val="18"/>
    </w:rPr>
  </w:style>
  <w:style w:type="paragraph" w:styleId="17">
    <w:name w:val="List Bullet"/>
    <w:basedOn w:val="1"/>
    <w:qFormat/>
    <w:uiPriority w:val="99"/>
    <w:pPr>
      <w:numPr>
        <w:ilvl w:val="0"/>
        <w:numId w:val="3"/>
      </w:numPr>
      <w:contextualSpacing/>
    </w:pPr>
  </w:style>
  <w:style w:type="paragraph" w:styleId="18">
    <w:name w:val="Body Text 3"/>
    <w:basedOn w:val="1"/>
    <w:link w:val="148"/>
    <w:qFormat/>
    <w:uiPriority w:val="99"/>
    <w:pPr>
      <w:spacing w:after="120"/>
    </w:pPr>
    <w:rPr>
      <w:sz w:val="16"/>
      <w:szCs w:val="16"/>
    </w:rPr>
  </w:style>
  <w:style w:type="paragraph" w:styleId="19">
    <w:name w:val="List Bullet 3"/>
    <w:basedOn w:val="1"/>
    <w:qFormat/>
    <w:uiPriority w:val="99"/>
    <w:pPr>
      <w:numPr>
        <w:ilvl w:val="0"/>
        <w:numId w:val="4"/>
      </w:numPr>
      <w:contextualSpacing/>
    </w:pPr>
  </w:style>
  <w:style w:type="paragraph" w:styleId="20">
    <w:name w:val="List Number 3"/>
    <w:basedOn w:val="1"/>
    <w:qFormat/>
    <w:uiPriority w:val="99"/>
    <w:pPr>
      <w:numPr>
        <w:ilvl w:val="0"/>
        <w:numId w:val="5"/>
      </w:numPr>
      <w:contextualSpacing/>
    </w:pPr>
  </w:style>
  <w:style w:type="paragraph" w:styleId="21">
    <w:name w:val="List 2"/>
    <w:basedOn w:val="1"/>
    <w:qFormat/>
    <w:uiPriority w:val="99"/>
    <w:pPr>
      <w:ind w:left="720" w:hanging="360"/>
      <w:contextualSpacing/>
    </w:pPr>
  </w:style>
  <w:style w:type="paragraph" w:styleId="22">
    <w:name w:val="List Continue"/>
    <w:basedOn w:val="1"/>
    <w:qFormat/>
    <w:uiPriority w:val="99"/>
    <w:pPr>
      <w:spacing w:after="120"/>
      <w:ind w:left="360"/>
      <w:contextualSpacing/>
    </w:pPr>
  </w:style>
  <w:style w:type="paragraph" w:styleId="23">
    <w:name w:val="List Bullet 2"/>
    <w:basedOn w:val="1"/>
    <w:qFormat/>
    <w:uiPriority w:val="99"/>
    <w:pPr>
      <w:numPr>
        <w:ilvl w:val="0"/>
        <w:numId w:val="6"/>
      </w:numPr>
      <w:contextualSpacing/>
    </w:pPr>
  </w:style>
  <w:style w:type="paragraph" w:styleId="24">
    <w:name w:val="footer"/>
    <w:basedOn w:val="1"/>
    <w:link w:val="138"/>
    <w:qFormat/>
    <w:uiPriority w:val="99"/>
    <w:pPr>
      <w:tabs>
        <w:tab w:val="center" w:pos="4680"/>
        <w:tab w:val="right" w:pos="9360"/>
      </w:tabs>
      <w:spacing w:line="240" w:lineRule="auto"/>
    </w:pPr>
  </w:style>
  <w:style w:type="paragraph" w:styleId="25">
    <w:name w:val="header"/>
    <w:basedOn w:val="1"/>
    <w:link w:val="137"/>
    <w:qFormat/>
    <w:uiPriority w:val="99"/>
    <w:pPr>
      <w:tabs>
        <w:tab w:val="center" w:pos="4680"/>
        <w:tab w:val="right" w:pos="9360"/>
      </w:tabs>
      <w:spacing w:line="240" w:lineRule="auto"/>
    </w:pPr>
  </w:style>
  <w:style w:type="paragraph" w:styleId="26">
    <w:name w:val="Subtitle"/>
    <w:basedOn w:val="1"/>
    <w:next w:val="1"/>
    <w:link w:val="144"/>
    <w:qFormat/>
    <w:uiPriority w:val="11"/>
    <w:rPr>
      <w:rFonts w:ascii="Calibri" w:hAnsi="Calibri" w:eastAsia="MS Gothic" w:cs="宋体"/>
      <w:i/>
      <w:iCs/>
      <w:color w:val="4F81BD"/>
      <w:spacing w:val="15"/>
      <w:sz w:val="24"/>
      <w:szCs w:val="24"/>
    </w:rPr>
  </w:style>
  <w:style w:type="paragraph" w:styleId="27">
    <w:name w:val="List"/>
    <w:basedOn w:val="1"/>
    <w:qFormat/>
    <w:uiPriority w:val="99"/>
    <w:pPr>
      <w:ind w:left="360" w:hanging="360"/>
      <w:contextualSpacing/>
    </w:pPr>
  </w:style>
  <w:style w:type="paragraph" w:styleId="28">
    <w:name w:val="Body Text 2"/>
    <w:basedOn w:val="1"/>
    <w:link w:val="147"/>
    <w:qFormat/>
    <w:uiPriority w:val="99"/>
    <w:pPr>
      <w:spacing w:after="120" w:line="480" w:lineRule="auto"/>
    </w:pPr>
    <w:rPr>
      <w:rFonts w:ascii="Times New Roman" w:hAnsi="Times New Roman" w:cs="Times New Roman" w:eastAsia="Songti SC"/>
    </w:rPr>
  </w:style>
  <w:style w:type="paragraph" w:styleId="29">
    <w:name w:val="List Continue 2"/>
    <w:basedOn w:val="1"/>
    <w:qFormat/>
    <w:uiPriority w:val="99"/>
    <w:pPr>
      <w:spacing w:after="120"/>
      <w:ind w:left="720"/>
      <w:contextualSpacing/>
    </w:pPr>
  </w:style>
  <w:style w:type="paragraph" w:styleId="30">
    <w:name w:val="Normal (Web)"/>
    <w:basedOn w:val="1"/>
    <w:qFormat/>
    <w:uiPriority w:val="99"/>
    <w:pPr>
      <w:spacing w:beforeAutospacing="1" w:afterAutospacing="1"/>
      <w:jc w:val="left"/>
    </w:pPr>
    <w:rPr>
      <w:sz w:val="24"/>
      <w:lang w:eastAsia="zh-CN"/>
    </w:rPr>
  </w:style>
  <w:style w:type="paragraph" w:styleId="31">
    <w:name w:val="List Continue 3"/>
    <w:basedOn w:val="1"/>
    <w:qFormat/>
    <w:uiPriority w:val="99"/>
    <w:pPr>
      <w:spacing w:after="120"/>
      <w:ind w:left="1080"/>
      <w:contextualSpacing/>
    </w:pPr>
  </w:style>
  <w:style w:type="paragraph" w:styleId="32">
    <w:name w:val="Title"/>
    <w:basedOn w:val="1"/>
    <w:next w:val="1"/>
    <w:link w:val="143"/>
    <w:qFormat/>
    <w:uiPriority w:val="10"/>
    <w:pPr>
      <w:pBdr>
        <w:bottom w:val="single" w:color="4F81BD" w:sz="8" w:space="4"/>
      </w:pBdr>
      <w:spacing w:after="300" w:line="240" w:lineRule="auto"/>
      <w:contextualSpacing/>
    </w:pPr>
    <w:rPr>
      <w:rFonts w:ascii="Calibri" w:hAnsi="Calibri" w:eastAsia="MS Gothic" w:cs="宋体"/>
      <w:color w:val="17375E"/>
      <w:spacing w:val="5"/>
      <w:kern w:val="28"/>
      <w:sz w:val="52"/>
      <w:szCs w:val="52"/>
    </w:rPr>
  </w:style>
  <w:style w:type="character" w:styleId="34">
    <w:name w:val="Strong"/>
    <w:basedOn w:val="33"/>
    <w:qFormat/>
    <w:uiPriority w:val="22"/>
    <w:rPr>
      <w:b/>
      <w:bCs/>
    </w:rPr>
  </w:style>
  <w:style w:type="character" w:styleId="35">
    <w:name w:val="Emphasis"/>
    <w:basedOn w:val="33"/>
    <w:qFormat/>
    <w:uiPriority w:val="20"/>
    <w:rPr>
      <w:i/>
      <w:iCs/>
    </w:rPr>
  </w:style>
  <w:style w:type="character" w:styleId="36">
    <w:name w:val="Hyperlink"/>
    <w:basedOn w:val="33"/>
    <w:qFormat/>
    <w:uiPriority w:val="99"/>
    <w:rPr>
      <w:color w:val="0000FF"/>
      <w:u w:val="single"/>
    </w:rPr>
  </w:style>
  <w:style w:type="table" w:styleId="38">
    <w:name w:val="Table Grid"/>
    <w:basedOn w:val="3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39">
    <w:name w:val="Light Shading"/>
    <w:basedOn w:val="37"/>
    <w:qFormat/>
    <w:uiPriority w:val="60"/>
    <w:rPr>
      <w:color w:val="000000"/>
    </w:rPr>
    <w:tblPr>
      <w:tblBorders>
        <w:top w:val="single" w:color="000000" w:sz="8" w:space="0"/>
        <w:bottom w:val="single" w:color="000000" w:sz="8" w:space="0"/>
      </w:tblBorders>
      <w:tblLayout w:type="fixed"/>
    </w:tblPr>
    <w:tblStylePr w:type="firstRow">
      <w:pPr>
        <w:spacing w:before="0" w:after="0" w:line="240" w:lineRule="auto"/>
      </w:pPr>
      <w:rPr>
        <w:b/>
        <w:bCs/>
      </w:rPr>
      <w:tblPr>
        <w:tblLayout w:type="fixed"/>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blLayout w:type="fixed"/>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cPr>
    </w:tblStylePr>
    <w:tblStylePr w:type="band1Horz">
      <w:tblPr>
        <w:tblLayout w:type="fixed"/>
      </w:tblPr>
      <w:tcPr>
        <w:tcBorders>
          <w:left w:val="nil"/>
          <w:right w:val="nil"/>
          <w:insideH w:val="nil"/>
          <w:insideV w:val="nil"/>
        </w:tcBorders>
        <w:shd w:val="clear" w:color="auto" w:fill="BFBFBF"/>
      </w:tcPr>
    </w:tblStylePr>
  </w:style>
  <w:style w:type="table" w:styleId="40">
    <w:name w:val="Light Shading Accent 1"/>
    <w:basedOn w:val="37"/>
    <w:qFormat/>
    <w:uiPriority w:val="60"/>
    <w:rPr>
      <w:color w:val="376092"/>
    </w:rPr>
    <w:tblPr>
      <w:tblBorders>
        <w:top w:val="single" w:color="4F81BD" w:sz="8" w:space="0"/>
        <w:bottom w:val="single" w:color="4F81BD" w:sz="8" w:space="0"/>
      </w:tblBorders>
      <w:tblLayout w:type="fixed"/>
    </w:tblPr>
    <w:tblStylePr w:type="firstRow">
      <w:pPr>
        <w:spacing w:before="0" w:after="0" w:line="240" w:lineRule="auto"/>
      </w:pPr>
      <w:rPr>
        <w:b/>
        <w:bCs/>
      </w:rPr>
      <w:tblPr>
        <w:tblLayout w:type="fixed"/>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blLayout w:type="fixed"/>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cPr>
    </w:tblStylePr>
    <w:tblStylePr w:type="band1Horz">
      <w:tblPr>
        <w:tblLayout w:type="fixed"/>
      </w:tblPr>
      <w:tcPr>
        <w:tcBorders>
          <w:left w:val="nil"/>
          <w:right w:val="nil"/>
          <w:insideH w:val="nil"/>
          <w:insideV w:val="nil"/>
        </w:tcBorders>
        <w:shd w:val="clear" w:color="auto" w:fill="D3DFEE"/>
      </w:tcPr>
    </w:tblStylePr>
  </w:style>
  <w:style w:type="table" w:styleId="41">
    <w:name w:val="Light Shading Accent 2"/>
    <w:basedOn w:val="37"/>
    <w:qFormat/>
    <w:uiPriority w:val="60"/>
    <w:rPr>
      <w:color w:val="953735"/>
    </w:rPr>
    <w:tblPr>
      <w:tblBorders>
        <w:top w:val="single" w:color="C0504D" w:sz="8" w:space="0"/>
        <w:bottom w:val="single" w:color="C0504D" w:sz="8" w:space="0"/>
      </w:tblBorders>
      <w:tblLayout w:type="fixed"/>
    </w:tblPr>
    <w:tblStylePr w:type="firstRow">
      <w:pPr>
        <w:spacing w:before="0" w:after="0" w:line="240" w:lineRule="auto"/>
      </w:pPr>
      <w:rPr>
        <w:b/>
        <w:bCs/>
      </w:rPr>
      <w:tblPr>
        <w:tblLayout w:type="fixed"/>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blLayout w:type="fixed"/>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cPr>
    </w:tblStylePr>
    <w:tblStylePr w:type="band1Horz">
      <w:tblPr>
        <w:tblLayout w:type="fixed"/>
      </w:tblPr>
      <w:tcPr>
        <w:tcBorders>
          <w:left w:val="nil"/>
          <w:right w:val="nil"/>
          <w:insideH w:val="nil"/>
          <w:insideV w:val="nil"/>
        </w:tcBorders>
        <w:shd w:val="clear" w:color="auto" w:fill="EFD3D3"/>
      </w:tcPr>
    </w:tblStylePr>
  </w:style>
  <w:style w:type="table" w:styleId="42">
    <w:name w:val="Light Shading Accent 3"/>
    <w:basedOn w:val="37"/>
    <w:qFormat/>
    <w:uiPriority w:val="60"/>
    <w:rPr>
      <w:color w:val="77933C"/>
    </w:rPr>
    <w:tblPr>
      <w:tblBorders>
        <w:top w:val="single" w:color="9BBB59" w:sz="8" w:space="0"/>
        <w:bottom w:val="single" w:color="9BBB59" w:sz="8" w:space="0"/>
      </w:tblBorders>
      <w:tblLayout w:type="fixed"/>
    </w:tblPr>
    <w:tblStylePr w:type="firstRow">
      <w:pPr>
        <w:spacing w:before="0" w:after="0" w:line="240" w:lineRule="auto"/>
      </w:pPr>
      <w:rPr>
        <w:b/>
        <w:bCs/>
      </w:rPr>
      <w:tblPr>
        <w:tblLayout w:type="fixed"/>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blLayout w:type="fixed"/>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cPr>
    </w:tblStylePr>
    <w:tblStylePr w:type="band1Horz">
      <w:tblPr>
        <w:tblLayout w:type="fixed"/>
      </w:tblPr>
      <w:tcPr>
        <w:tcBorders>
          <w:left w:val="nil"/>
          <w:right w:val="nil"/>
          <w:insideH w:val="nil"/>
          <w:insideV w:val="nil"/>
        </w:tcBorders>
        <w:shd w:val="clear" w:color="auto" w:fill="E6EED5"/>
      </w:tcPr>
    </w:tblStylePr>
  </w:style>
  <w:style w:type="table" w:styleId="43">
    <w:name w:val="Light Shading Accent 4"/>
    <w:basedOn w:val="37"/>
    <w:qFormat/>
    <w:uiPriority w:val="60"/>
    <w:rPr>
      <w:color w:val="604A7B"/>
    </w:rPr>
    <w:tblPr>
      <w:tblBorders>
        <w:top w:val="single" w:color="8064A2" w:sz="8" w:space="0"/>
        <w:bottom w:val="single" w:color="8064A2" w:sz="8" w:space="0"/>
      </w:tblBorders>
      <w:tblLayout w:type="fixed"/>
    </w:tblPr>
    <w:tblStylePr w:type="firstRow">
      <w:pPr>
        <w:spacing w:before="0" w:after="0" w:line="240" w:lineRule="auto"/>
      </w:pPr>
      <w:rPr>
        <w:b/>
        <w:bCs/>
      </w:rPr>
      <w:tblPr>
        <w:tblLayout w:type="fixed"/>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blLayout w:type="fixed"/>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cPr>
    </w:tblStylePr>
    <w:tblStylePr w:type="band1Horz">
      <w:tblPr>
        <w:tblLayout w:type="fixed"/>
      </w:tblPr>
      <w:tcPr>
        <w:tcBorders>
          <w:left w:val="nil"/>
          <w:right w:val="nil"/>
          <w:insideH w:val="nil"/>
          <w:insideV w:val="nil"/>
        </w:tcBorders>
        <w:shd w:val="clear" w:color="auto" w:fill="DFD8E8"/>
      </w:tcPr>
    </w:tblStylePr>
  </w:style>
  <w:style w:type="table" w:styleId="44">
    <w:name w:val="Light Shading Accent 5"/>
    <w:basedOn w:val="37"/>
    <w:qFormat/>
    <w:uiPriority w:val="60"/>
    <w:rPr>
      <w:color w:val="31859C"/>
    </w:rPr>
    <w:tblPr>
      <w:tblBorders>
        <w:top w:val="single" w:color="4BACC6" w:sz="8" w:space="0"/>
        <w:bottom w:val="single" w:color="4BACC6" w:sz="8" w:space="0"/>
      </w:tblBorders>
      <w:tblLayout w:type="fixed"/>
    </w:tblPr>
    <w:tblStylePr w:type="firstRow">
      <w:pPr>
        <w:spacing w:before="0" w:after="0" w:line="240" w:lineRule="auto"/>
      </w:pPr>
      <w:rPr>
        <w:b/>
        <w:bCs/>
      </w:rPr>
      <w:tblPr>
        <w:tblLayout w:type="fixed"/>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blLayout w:type="fixed"/>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cPr>
    </w:tblStylePr>
    <w:tblStylePr w:type="band1Horz">
      <w:tblPr>
        <w:tblLayout w:type="fixed"/>
      </w:tblPr>
      <w:tcPr>
        <w:tcBorders>
          <w:left w:val="nil"/>
          <w:right w:val="nil"/>
          <w:insideH w:val="nil"/>
          <w:insideV w:val="nil"/>
        </w:tcBorders>
        <w:shd w:val="clear" w:color="auto" w:fill="D2EAF0"/>
      </w:tcPr>
    </w:tblStylePr>
  </w:style>
  <w:style w:type="table" w:styleId="45">
    <w:name w:val="Light Shading Accent 6"/>
    <w:basedOn w:val="37"/>
    <w:qFormat/>
    <w:uiPriority w:val="60"/>
    <w:rPr>
      <w:color w:val="E46C0A"/>
    </w:rPr>
    <w:tblPr>
      <w:tblBorders>
        <w:top w:val="single" w:color="F79646" w:sz="8" w:space="0"/>
        <w:bottom w:val="single" w:color="F79646" w:sz="8" w:space="0"/>
      </w:tblBorders>
      <w:tblLayout w:type="fixed"/>
    </w:tblPr>
    <w:tblStylePr w:type="firstRow">
      <w:pPr>
        <w:spacing w:before="0" w:after="0" w:line="240" w:lineRule="auto"/>
      </w:pPr>
      <w:rPr>
        <w:b/>
        <w:bCs/>
      </w:rPr>
      <w:tblPr>
        <w:tblLayout w:type="fixed"/>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blLayout w:type="fixed"/>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cPr>
    </w:tblStylePr>
    <w:tblStylePr w:type="band1Horz">
      <w:tblPr>
        <w:tblLayout w:type="fixed"/>
      </w:tblPr>
      <w:tcPr>
        <w:tcBorders>
          <w:left w:val="nil"/>
          <w:right w:val="nil"/>
          <w:insideH w:val="nil"/>
          <w:insideV w:val="nil"/>
        </w:tcBorders>
        <w:shd w:val="clear" w:color="auto" w:fill="FDE5D1"/>
      </w:tcPr>
    </w:tblStylePr>
  </w:style>
  <w:style w:type="table" w:styleId="46">
    <w:name w:val="Light List"/>
    <w:basedOn w:val="37"/>
    <w:qFormat/>
    <w:uiPriority w:val="61"/>
    <w:tblPr>
      <w:tblBorders>
        <w:top w:val="single" w:color="000000" w:sz="8" w:space="0"/>
        <w:left w:val="single" w:color="000000" w:sz="8" w:space="0"/>
        <w:bottom w:val="single" w:color="000000" w:sz="8" w:space="0"/>
        <w:right w:val="single" w:color="000000" w:sz="8" w:space="0"/>
      </w:tblBorders>
      <w:tblLayout w:type="fixed"/>
    </w:tblPr>
    <w:tblStylePr w:type="firstRow">
      <w:pPr>
        <w:spacing w:before="0" w:after="0" w:line="240" w:lineRule="auto"/>
      </w:pPr>
      <w:rPr>
        <w:b/>
        <w:bCs/>
        <w:color w:val="FFFFFF"/>
      </w:rPr>
      <w:tblPr>
        <w:tblLayout w:type="fixed"/>
      </w:tblPr>
      <w:tcPr>
        <w:shd w:val="clear" w:color="auto" w:fill="000000"/>
      </w:tcPr>
    </w:tblStylePr>
    <w:tblStylePr w:type="lastRow">
      <w:pPr>
        <w:spacing w:before="0" w:after="0" w:line="240" w:lineRule="auto"/>
      </w:pPr>
      <w:rPr>
        <w:b/>
        <w:bCs/>
      </w:rPr>
      <w:tblPr>
        <w:tblLayout w:type="fixed"/>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blLayout w:type="fixed"/>
      </w:tblPr>
      <w:tcPr>
        <w:tcBorders>
          <w:top w:val="single" w:color="000000" w:sz="8" w:space="0"/>
          <w:left w:val="single" w:color="000000" w:sz="8" w:space="0"/>
          <w:bottom w:val="single" w:color="000000" w:sz="8" w:space="0"/>
          <w:right w:val="single" w:color="000000" w:sz="8" w:space="0"/>
        </w:tcBorders>
      </w:tcPr>
    </w:tblStylePr>
    <w:tblStylePr w:type="band1Horz">
      <w:tblPr>
        <w:tblLayout w:type="fixed"/>
      </w:tblPr>
      <w:tcPr>
        <w:tcBorders>
          <w:top w:val="single" w:color="000000" w:sz="8" w:space="0"/>
          <w:left w:val="single" w:color="000000" w:sz="8" w:space="0"/>
          <w:bottom w:val="single" w:color="000000" w:sz="8" w:space="0"/>
          <w:right w:val="single" w:color="000000" w:sz="8" w:space="0"/>
        </w:tcBorders>
      </w:tcPr>
    </w:tblStylePr>
  </w:style>
  <w:style w:type="table" w:styleId="47">
    <w:name w:val="Light List Accent 1"/>
    <w:basedOn w:val="37"/>
    <w:qFormat/>
    <w:uiPriority w:val="61"/>
    <w:tblPr>
      <w:tblBorders>
        <w:top w:val="single" w:color="4F81BD" w:sz="8" w:space="0"/>
        <w:left w:val="single" w:color="4F81BD" w:sz="8" w:space="0"/>
        <w:bottom w:val="single" w:color="4F81BD" w:sz="8" w:space="0"/>
        <w:right w:val="single" w:color="4F81BD" w:sz="8" w:space="0"/>
      </w:tblBorders>
      <w:tblLayout w:type="fixed"/>
    </w:tblPr>
    <w:tblStylePr w:type="firstRow">
      <w:pPr>
        <w:spacing w:before="0" w:after="0" w:line="240" w:lineRule="auto"/>
      </w:pPr>
      <w:rPr>
        <w:b/>
        <w:bCs/>
        <w:color w:val="FFFFFF"/>
      </w:rPr>
      <w:tblPr>
        <w:tblLayout w:type="fixed"/>
      </w:tblPr>
      <w:tcPr>
        <w:shd w:val="clear" w:color="auto" w:fill="4F81BD"/>
      </w:tcPr>
    </w:tblStylePr>
    <w:tblStylePr w:type="lastRow">
      <w:pPr>
        <w:spacing w:before="0" w:after="0" w:line="240" w:lineRule="auto"/>
      </w:pPr>
      <w:rPr>
        <w:b/>
        <w:bCs/>
      </w:rPr>
      <w:tblPr>
        <w:tblLayout w:type="fixed"/>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blLayout w:type="fixed"/>
      </w:tblPr>
      <w:tcPr>
        <w:tcBorders>
          <w:top w:val="single" w:color="4F81BD" w:sz="8" w:space="0"/>
          <w:left w:val="single" w:color="4F81BD" w:sz="8" w:space="0"/>
          <w:bottom w:val="single" w:color="4F81BD" w:sz="8" w:space="0"/>
          <w:right w:val="single" w:color="4F81BD" w:sz="8" w:space="0"/>
        </w:tcBorders>
      </w:tcPr>
    </w:tblStylePr>
    <w:tblStylePr w:type="band1Horz">
      <w:tblPr>
        <w:tblLayout w:type="fixed"/>
      </w:tblPr>
      <w:tcPr>
        <w:tcBorders>
          <w:top w:val="single" w:color="4F81BD" w:sz="8" w:space="0"/>
          <w:left w:val="single" w:color="4F81BD" w:sz="8" w:space="0"/>
          <w:bottom w:val="single" w:color="4F81BD" w:sz="8" w:space="0"/>
          <w:right w:val="single" w:color="4F81BD" w:sz="8" w:space="0"/>
        </w:tcBorders>
      </w:tcPr>
    </w:tblStylePr>
  </w:style>
  <w:style w:type="table" w:styleId="48">
    <w:name w:val="Light List Accent 2"/>
    <w:basedOn w:val="37"/>
    <w:qFormat/>
    <w:uiPriority w:val="61"/>
    <w:tblPr>
      <w:tblBorders>
        <w:top w:val="single" w:color="C0504D" w:sz="8" w:space="0"/>
        <w:left w:val="single" w:color="C0504D" w:sz="8" w:space="0"/>
        <w:bottom w:val="single" w:color="C0504D" w:sz="8" w:space="0"/>
        <w:right w:val="single" w:color="C0504D" w:sz="8" w:space="0"/>
      </w:tblBorders>
      <w:tblLayout w:type="fixed"/>
    </w:tblPr>
    <w:tblStylePr w:type="firstRow">
      <w:pPr>
        <w:spacing w:before="0" w:after="0" w:line="240" w:lineRule="auto"/>
      </w:pPr>
      <w:rPr>
        <w:b/>
        <w:bCs/>
        <w:color w:val="FFFFFF"/>
      </w:rPr>
      <w:tblPr>
        <w:tblLayout w:type="fixed"/>
      </w:tblPr>
      <w:tcPr>
        <w:shd w:val="clear" w:color="auto" w:fill="C0504D"/>
      </w:tcPr>
    </w:tblStylePr>
    <w:tblStylePr w:type="lastRow">
      <w:pPr>
        <w:spacing w:before="0" w:after="0" w:line="240" w:lineRule="auto"/>
      </w:pPr>
      <w:rPr>
        <w:b/>
        <w:bCs/>
      </w:rPr>
      <w:tblPr>
        <w:tblLayout w:type="fixed"/>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blLayout w:type="fixed"/>
      </w:tblPr>
      <w:tcPr>
        <w:tcBorders>
          <w:top w:val="single" w:color="C0504D" w:sz="8" w:space="0"/>
          <w:left w:val="single" w:color="C0504D" w:sz="8" w:space="0"/>
          <w:bottom w:val="single" w:color="C0504D" w:sz="8" w:space="0"/>
          <w:right w:val="single" w:color="C0504D" w:sz="8" w:space="0"/>
        </w:tcBorders>
      </w:tcPr>
    </w:tblStylePr>
    <w:tblStylePr w:type="band1Horz">
      <w:tblPr>
        <w:tblLayout w:type="fixed"/>
      </w:tblPr>
      <w:tcPr>
        <w:tcBorders>
          <w:top w:val="single" w:color="C0504D" w:sz="8" w:space="0"/>
          <w:left w:val="single" w:color="C0504D" w:sz="8" w:space="0"/>
          <w:bottom w:val="single" w:color="C0504D" w:sz="8" w:space="0"/>
          <w:right w:val="single" w:color="C0504D" w:sz="8" w:space="0"/>
        </w:tcBorders>
      </w:tcPr>
    </w:tblStylePr>
  </w:style>
  <w:style w:type="table" w:styleId="49">
    <w:name w:val="Light List Accent 3"/>
    <w:basedOn w:val="37"/>
    <w:qFormat/>
    <w:uiPriority w:val="61"/>
    <w:tblPr>
      <w:tblBorders>
        <w:top w:val="single" w:color="9BBB59" w:sz="8" w:space="0"/>
        <w:left w:val="single" w:color="9BBB59" w:sz="8" w:space="0"/>
        <w:bottom w:val="single" w:color="9BBB59" w:sz="8" w:space="0"/>
        <w:right w:val="single" w:color="9BBB59" w:sz="8" w:space="0"/>
      </w:tblBorders>
      <w:tblLayout w:type="fixed"/>
    </w:tblPr>
    <w:tblStylePr w:type="firstRow">
      <w:pPr>
        <w:spacing w:before="0" w:after="0" w:line="240" w:lineRule="auto"/>
      </w:pPr>
      <w:rPr>
        <w:b/>
        <w:bCs/>
        <w:color w:val="FFFFFF"/>
      </w:rPr>
      <w:tblPr>
        <w:tblLayout w:type="fixed"/>
      </w:tblPr>
      <w:tcPr>
        <w:shd w:val="clear" w:color="auto" w:fill="9BBB59"/>
      </w:tcPr>
    </w:tblStylePr>
    <w:tblStylePr w:type="lastRow">
      <w:pPr>
        <w:spacing w:before="0" w:after="0" w:line="240" w:lineRule="auto"/>
      </w:pPr>
      <w:rPr>
        <w:b/>
        <w:bCs/>
      </w:rPr>
      <w:tblPr>
        <w:tblLayout w:type="fixed"/>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blLayout w:type="fixed"/>
      </w:tblPr>
      <w:tcPr>
        <w:tcBorders>
          <w:top w:val="single" w:color="9BBB59" w:sz="8" w:space="0"/>
          <w:left w:val="single" w:color="9BBB59" w:sz="8" w:space="0"/>
          <w:bottom w:val="single" w:color="9BBB59" w:sz="8" w:space="0"/>
          <w:right w:val="single" w:color="9BBB59" w:sz="8" w:space="0"/>
        </w:tcBorders>
      </w:tcPr>
    </w:tblStylePr>
    <w:tblStylePr w:type="band1Horz">
      <w:tblPr>
        <w:tblLayout w:type="fixed"/>
      </w:tblPr>
      <w:tcPr>
        <w:tcBorders>
          <w:top w:val="single" w:color="9BBB59" w:sz="8" w:space="0"/>
          <w:left w:val="single" w:color="9BBB59" w:sz="8" w:space="0"/>
          <w:bottom w:val="single" w:color="9BBB59" w:sz="8" w:space="0"/>
          <w:right w:val="single" w:color="9BBB59" w:sz="8" w:space="0"/>
        </w:tcBorders>
      </w:tcPr>
    </w:tblStylePr>
  </w:style>
  <w:style w:type="table" w:styleId="50">
    <w:name w:val="Light List Accent 4"/>
    <w:basedOn w:val="37"/>
    <w:qFormat/>
    <w:uiPriority w:val="61"/>
    <w:tblPr>
      <w:tblBorders>
        <w:top w:val="single" w:color="8064A2" w:sz="8" w:space="0"/>
        <w:left w:val="single" w:color="8064A2" w:sz="8" w:space="0"/>
        <w:bottom w:val="single" w:color="8064A2" w:sz="8" w:space="0"/>
        <w:right w:val="single" w:color="8064A2" w:sz="8" w:space="0"/>
      </w:tblBorders>
      <w:tblLayout w:type="fixed"/>
    </w:tblPr>
    <w:tblStylePr w:type="firstRow">
      <w:pPr>
        <w:spacing w:before="0" w:after="0" w:line="240" w:lineRule="auto"/>
      </w:pPr>
      <w:rPr>
        <w:b/>
        <w:bCs/>
        <w:color w:val="FFFFFF"/>
      </w:rPr>
      <w:tblPr>
        <w:tblLayout w:type="fixed"/>
      </w:tblPr>
      <w:tcPr>
        <w:shd w:val="clear" w:color="auto" w:fill="8064A2"/>
      </w:tcPr>
    </w:tblStylePr>
    <w:tblStylePr w:type="lastRow">
      <w:pPr>
        <w:spacing w:before="0" w:after="0" w:line="240" w:lineRule="auto"/>
      </w:pPr>
      <w:rPr>
        <w:b/>
        <w:bCs/>
      </w:rPr>
      <w:tblPr>
        <w:tblLayout w:type="fixed"/>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blLayout w:type="fixed"/>
      </w:tblPr>
      <w:tcPr>
        <w:tcBorders>
          <w:top w:val="single" w:color="8064A2" w:sz="8" w:space="0"/>
          <w:left w:val="single" w:color="8064A2" w:sz="8" w:space="0"/>
          <w:bottom w:val="single" w:color="8064A2" w:sz="8" w:space="0"/>
          <w:right w:val="single" w:color="8064A2" w:sz="8" w:space="0"/>
        </w:tcBorders>
      </w:tcPr>
    </w:tblStylePr>
    <w:tblStylePr w:type="band1Horz">
      <w:tblPr>
        <w:tblLayout w:type="fixed"/>
      </w:tblPr>
      <w:tcPr>
        <w:tcBorders>
          <w:top w:val="single" w:color="8064A2" w:sz="8" w:space="0"/>
          <w:left w:val="single" w:color="8064A2" w:sz="8" w:space="0"/>
          <w:bottom w:val="single" w:color="8064A2" w:sz="8" w:space="0"/>
          <w:right w:val="single" w:color="8064A2" w:sz="8" w:space="0"/>
        </w:tcBorders>
      </w:tcPr>
    </w:tblStylePr>
  </w:style>
  <w:style w:type="table" w:styleId="51">
    <w:name w:val="Light List Accent 5"/>
    <w:basedOn w:val="37"/>
    <w:qFormat/>
    <w:uiPriority w:val="61"/>
    <w:tblPr>
      <w:tblBorders>
        <w:top w:val="single" w:color="4BACC6" w:sz="8" w:space="0"/>
        <w:left w:val="single" w:color="4BACC6" w:sz="8" w:space="0"/>
        <w:bottom w:val="single" w:color="4BACC6" w:sz="8" w:space="0"/>
        <w:right w:val="single" w:color="4BACC6" w:sz="8" w:space="0"/>
      </w:tblBorders>
      <w:tblLayout w:type="fixed"/>
    </w:tblPr>
    <w:tblStylePr w:type="firstRow">
      <w:pPr>
        <w:spacing w:before="0" w:after="0" w:line="240" w:lineRule="auto"/>
      </w:pPr>
      <w:rPr>
        <w:b/>
        <w:bCs/>
        <w:color w:val="FFFFFF"/>
      </w:rPr>
      <w:tblPr>
        <w:tblLayout w:type="fixed"/>
      </w:tblPr>
      <w:tcPr>
        <w:shd w:val="clear" w:color="auto" w:fill="4BACC6"/>
      </w:tcPr>
    </w:tblStylePr>
    <w:tblStylePr w:type="lastRow">
      <w:pPr>
        <w:spacing w:before="0" w:after="0" w:line="240" w:lineRule="auto"/>
      </w:pPr>
      <w:rPr>
        <w:b/>
        <w:bCs/>
      </w:rPr>
      <w:tblPr>
        <w:tblLayout w:type="fixed"/>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blLayout w:type="fixed"/>
      </w:tblPr>
      <w:tcPr>
        <w:tcBorders>
          <w:top w:val="single" w:color="4BACC6" w:sz="8" w:space="0"/>
          <w:left w:val="single" w:color="4BACC6" w:sz="8" w:space="0"/>
          <w:bottom w:val="single" w:color="4BACC6" w:sz="8" w:space="0"/>
          <w:right w:val="single" w:color="4BACC6" w:sz="8" w:space="0"/>
        </w:tcBorders>
      </w:tcPr>
    </w:tblStylePr>
    <w:tblStylePr w:type="band1Horz">
      <w:tblPr>
        <w:tblLayout w:type="fixed"/>
      </w:tblPr>
      <w:tcPr>
        <w:tcBorders>
          <w:top w:val="single" w:color="4BACC6" w:sz="8" w:space="0"/>
          <w:left w:val="single" w:color="4BACC6" w:sz="8" w:space="0"/>
          <w:bottom w:val="single" w:color="4BACC6" w:sz="8" w:space="0"/>
          <w:right w:val="single" w:color="4BACC6" w:sz="8" w:space="0"/>
        </w:tcBorders>
      </w:tcPr>
    </w:tblStylePr>
  </w:style>
  <w:style w:type="table" w:styleId="52">
    <w:name w:val="Light List Accent 6"/>
    <w:basedOn w:val="37"/>
    <w:qFormat/>
    <w:uiPriority w:val="61"/>
    <w:tblPr>
      <w:tblBorders>
        <w:top w:val="single" w:color="F79646" w:sz="8" w:space="0"/>
        <w:left w:val="single" w:color="F79646" w:sz="8" w:space="0"/>
        <w:bottom w:val="single" w:color="F79646" w:sz="8" w:space="0"/>
        <w:right w:val="single" w:color="F79646" w:sz="8" w:space="0"/>
      </w:tblBorders>
      <w:tblLayout w:type="fixed"/>
    </w:tblPr>
    <w:tblStylePr w:type="firstRow">
      <w:pPr>
        <w:spacing w:before="0" w:after="0" w:line="240" w:lineRule="auto"/>
      </w:pPr>
      <w:rPr>
        <w:b/>
        <w:bCs/>
        <w:color w:val="FFFFF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table" w:styleId="53">
    <w:name w:val="Light Grid"/>
    <w:basedOn w:val="37"/>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000000" w:sz="8" w:space="0"/>
          <w:left w:val="single" w:color="000000" w:sz="8" w:space="0"/>
          <w:bottom w:val="single" w:color="000000" w:sz="8" w:space="0"/>
          <w:right w:val="single" w:color="000000" w:sz="8" w:space="0"/>
        </w:tcBorders>
      </w:tcPr>
    </w:tblStylePr>
    <w:tblStylePr w:type="band1Vert">
      <w:tblPr>
        <w:tblLayout w:type="fixed"/>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blLayout w:type="fixed"/>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blLayout w:type="fixed"/>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4">
    <w:name w:val="Light Grid Accent 1"/>
    <w:basedOn w:val="37"/>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4F81BD" w:sz="8" w:space="0"/>
          <w:left w:val="single" w:color="4F81BD" w:sz="8" w:space="0"/>
          <w:bottom w:val="single" w:color="4F81BD" w:sz="8" w:space="0"/>
          <w:right w:val="single" w:color="4F81BD" w:sz="8" w:space="0"/>
        </w:tcBorders>
      </w:tcPr>
    </w:tblStylePr>
    <w:tblStylePr w:type="band1Vert">
      <w:tblPr>
        <w:tblLayout w:type="fixed"/>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blLayout w:type="fixed"/>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blLayout w:type="fixed"/>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5">
    <w:name w:val="Light Grid Accent 2"/>
    <w:basedOn w:val="37"/>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C0504D" w:sz="8" w:space="0"/>
          <w:left w:val="single" w:color="C0504D" w:sz="8" w:space="0"/>
          <w:bottom w:val="single" w:color="C0504D" w:sz="8" w:space="0"/>
          <w:right w:val="single" w:color="C0504D" w:sz="8" w:space="0"/>
        </w:tcBorders>
      </w:tcPr>
    </w:tblStylePr>
    <w:tblStylePr w:type="band1Vert">
      <w:tblPr>
        <w:tblLayout w:type="fixed"/>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blLayout w:type="fixed"/>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blLayout w:type="fixed"/>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6">
    <w:name w:val="Light Grid Accent 3"/>
    <w:basedOn w:val="37"/>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9BBB59" w:sz="8" w:space="0"/>
          <w:left w:val="single" w:color="9BBB59" w:sz="8" w:space="0"/>
          <w:bottom w:val="single" w:color="9BBB59" w:sz="8" w:space="0"/>
          <w:right w:val="single" w:color="9BBB59" w:sz="8" w:space="0"/>
        </w:tcBorders>
      </w:tcPr>
    </w:tblStylePr>
    <w:tblStylePr w:type="band1Vert">
      <w:tblPr>
        <w:tblLayout w:type="fixed"/>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blLayout w:type="fixed"/>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blLayout w:type="fixed"/>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7">
    <w:name w:val="Light Grid Accent 4"/>
    <w:basedOn w:val="37"/>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8064A2" w:sz="8" w:space="0"/>
          <w:left w:val="single" w:color="8064A2" w:sz="8" w:space="0"/>
          <w:bottom w:val="single" w:color="8064A2" w:sz="8" w:space="0"/>
          <w:right w:val="single" w:color="8064A2" w:sz="8" w:space="0"/>
        </w:tcBorders>
      </w:tcPr>
    </w:tblStylePr>
    <w:tblStylePr w:type="band1Vert">
      <w:tblPr>
        <w:tblLayout w:type="fixed"/>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blLayout w:type="fixed"/>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blLayout w:type="fixed"/>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8">
    <w:name w:val="Light Grid Accent 5"/>
    <w:basedOn w:val="37"/>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4BACC6" w:sz="8" w:space="0"/>
          <w:left w:val="single" w:color="4BACC6" w:sz="8" w:space="0"/>
          <w:bottom w:val="single" w:color="4BACC6" w:sz="8" w:space="0"/>
          <w:right w:val="single" w:color="4BACC6" w:sz="8" w:space="0"/>
        </w:tcBorders>
      </w:tcPr>
    </w:tblStylePr>
    <w:tblStylePr w:type="band1Vert">
      <w:tblPr>
        <w:tblLayout w:type="fixed"/>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blLayout w:type="fixed"/>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blLayout w:type="fixed"/>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9">
    <w:name w:val="Light Grid Accent 6"/>
    <w:basedOn w:val="37"/>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F79646" w:sz="8" w:space="0"/>
          <w:left w:val="single" w:color="F79646" w:sz="8" w:space="0"/>
          <w:bottom w:val="single" w:color="F79646" w:sz="8" w:space="0"/>
          <w:right w:val="single" w:color="F79646" w:sz="8" w:space="0"/>
        </w:tcBorders>
      </w:tc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blLayout w:type="fixed"/>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blLayout w:type="fixed"/>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60">
    <w:name w:val="Medium Shading 1"/>
    <w:basedOn w:val="37"/>
    <w:qFormat/>
    <w:uiPriority w:val="63"/>
    <w:tblPr>
      <w:tblBorders>
        <w:top w:val="single" w:color="3F3F3F" w:sz="8" w:space="0"/>
        <w:left w:val="single" w:color="3F3F3F" w:sz="8" w:space="0"/>
        <w:bottom w:val="single" w:color="3F3F3F" w:sz="8" w:space="0"/>
        <w:right w:val="single" w:color="3F3F3F" w:sz="8" w:space="0"/>
        <w:insideH w:val="single" w:color="3F3F3F" w:sz="8" w:space="0"/>
      </w:tblBorders>
      <w:tblLayout w:type="fixed"/>
    </w:tblPr>
    <w:tblStylePr w:type="firstRow">
      <w:pPr>
        <w:spacing w:before="0" w:after="0" w:line="240" w:lineRule="auto"/>
      </w:pPr>
      <w:rPr>
        <w:b/>
        <w:bCs/>
        <w:color w:val="FFFFFF"/>
      </w:rPr>
      <w:tblPr>
        <w:tblLayout w:type="fixed"/>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blLayout w:type="fixed"/>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cPr>
    </w:tblStylePr>
    <w:tblStylePr w:type="band1Horz">
      <w:tblPr>
        <w:tblLayout w:type="fixed"/>
      </w:tblPr>
      <w:tcPr>
        <w:tcBorders>
          <w:insideH w:val="nil"/>
          <w:insideV w:val="nil"/>
        </w:tcBorders>
        <w:shd w:val="clear" w:color="auto" w:fill="BFBFBF"/>
      </w:tcPr>
    </w:tblStylePr>
    <w:tblStylePr w:type="band2Horz">
      <w:tblPr>
        <w:tblLayout w:type="fixed"/>
      </w:tblPr>
      <w:tcPr>
        <w:tcBorders>
          <w:insideH w:val="nil"/>
          <w:insideV w:val="nil"/>
        </w:tcBorders>
      </w:tcPr>
    </w:tblStylePr>
  </w:style>
  <w:style w:type="table" w:styleId="61">
    <w:name w:val="Medium Shading 1 Accent 1"/>
    <w:basedOn w:val="37"/>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Layout w:type="fixed"/>
    </w:tblPr>
    <w:tblStylePr w:type="firstRow">
      <w:pPr>
        <w:spacing w:before="0" w:after="0" w:line="240" w:lineRule="auto"/>
      </w:pPr>
      <w:rPr>
        <w:b/>
        <w:bCs/>
        <w:color w:val="FFFFFF"/>
      </w:rPr>
      <w:tblPr>
        <w:tblLayout w:type="fixed"/>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blLayout w:type="fixed"/>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cPr>
    </w:tblStylePr>
    <w:tblStylePr w:type="band1Horz">
      <w:tblPr>
        <w:tblLayout w:type="fixed"/>
      </w:tblPr>
      <w:tcPr>
        <w:tcBorders>
          <w:insideH w:val="nil"/>
          <w:insideV w:val="nil"/>
        </w:tcBorders>
        <w:shd w:val="clear" w:color="auto" w:fill="D3DFEE"/>
      </w:tcPr>
    </w:tblStylePr>
    <w:tblStylePr w:type="band2Horz">
      <w:tblPr>
        <w:tblLayout w:type="fixed"/>
      </w:tblPr>
      <w:tcPr>
        <w:tcBorders>
          <w:insideH w:val="nil"/>
          <w:insideV w:val="nil"/>
        </w:tcBorders>
      </w:tcPr>
    </w:tblStylePr>
  </w:style>
  <w:style w:type="table" w:styleId="62">
    <w:name w:val="Medium Shading 1 Accent 2"/>
    <w:basedOn w:val="37"/>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Layout w:type="fixed"/>
    </w:tblPr>
    <w:tblStylePr w:type="firstRow">
      <w:pPr>
        <w:spacing w:before="0" w:after="0" w:line="240" w:lineRule="auto"/>
      </w:pPr>
      <w:rPr>
        <w:b/>
        <w:bCs/>
        <w:color w:val="FFFFFF"/>
      </w:rPr>
      <w:tblPr>
        <w:tblLayout w:type="fixed"/>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blLayout w:type="fixed"/>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cPr>
    </w:tblStylePr>
    <w:tblStylePr w:type="band1Horz">
      <w:tblPr>
        <w:tblLayout w:type="fixed"/>
      </w:tblPr>
      <w:tcPr>
        <w:tcBorders>
          <w:insideH w:val="nil"/>
          <w:insideV w:val="nil"/>
        </w:tcBorders>
        <w:shd w:val="clear" w:color="auto" w:fill="EFD3D3"/>
      </w:tcPr>
    </w:tblStylePr>
    <w:tblStylePr w:type="band2Horz">
      <w:tblPr>
        <w:tblLayout w:type="fixed"/>
      </w:tblPr>
      <w:tcPr>
        <w:tcBorders>
          <w:insideH w:val="nil"/>
          <w:insideV w:val="nil"/>
        </w:tcBorders>
      </w:tcPr>
    </w:tblStylePr>
  </w:style>
  <w:style w:type="table" w:styleId="63">
    <w:name w:val="Medium Shading 1 Accent 3"/>
    <w:basedOn w:val="37"/>
    <w:qFormat/>
    <w:uiPriority w:val="63"/>
    <w:tblPr>
      <w:tblBorders>
        <w:top w:val="single" w:color="B4CC82" w:sz="8" w:space="0"/>
        <w:left w:val="single" w:color="B4CC82" w:sz="8" w:space="0"/>
        <w:bottom w:val="single" w:color="B4CC82" w:sz="8" w:space="0"/>
        <w:right w:val="single" w:color="B4CC82" w:sz="8" w:space="0"/>
        <w:insideH w:val="single" w:color="B4CC82" w:sz="8" w:space="0"/>
      </w:tblBorders>
      <w:tblLayout w:type="fixed"/>
    </w:tblPr>
    <w:tblStylePr w:type="firstRow">
      <w:pPr>
        <w:spacing w:before="0" w:after="0" w:line="240" w:lineRule="auto"/>
      </w:pPr>
      <w:rPr>
        <w:b/>
        <w:bCs/>
        <w:color w:val="FFFFFF"/>
      </w:rPr>
      <w:tblPr>
        <w:tblLayout w:type="fixed"/>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blLayout w:type="fixed"/>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cPr>
    </w:tblStylePr>
    <w:tblStylePr w:type="band1Horz">
      <w:tblPr>
        <w:tblLayout w:type="fixed"/>
      </w:tblPr>
      <w:tcPr>
        <w:tcBorders>
          <w:insideH w:val="nil"/>
          <w:insideV w:val="nil"/>
        </w:tcBorders>
        <w:shd w:val="clear" w:color="auto" w:fill="E6EED5"/>
      </w:tcPr>
    </w:tblStylePr>
    <w:tblStylePr w:type="band2Horz">
      <w:tblPr>
        <w:tblLayout w:type="fixed"/>
      </w:tblPr>
      <w:tcPr>
        <w:tcBorders>
          <w:insideH w:val="nil"/>
          <w:insideV w:val="nil"/>
        </w:tcBorders>
      </w:tcPr>
    </w:tblStylePr>
  </w:style>
  <w:style w:type="table" w:styleId="64">
    <w:name w:val="Medium Shading 1 Accent 4"/>
    <w:basedOn w:val="37"/>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Layout w:type="fixed"/>
    </w:tblPr>
    <w:tblStylePr w:type="firstRow">
      <w:pPr>
        <w:spacing w:before="0" w:after="0" w:line="240" w:lineRule="auto"/>
      </w:pPr>
      <w:rPr>
        <w:b/>
        <w:bCs/>
        <w:color w:val="FFFFFF"/>
      </w:rPr>
      <w:tblPr>
        <w:tblLayout w:type="fixed"/>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blLayout w:type="fixed"/>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cPr>
    </w:tblStylePr>
    <w:tblStylePr w:type="band1Horz">
      <w:tblPr>
        <w:tblLayout w:type="fixed"/>
      </w:tblPr>
      <w:tcPr>
        <w:tcBorders>
          <w:insideH w:val="nil"/>
          <w:insideV w:val="nil"/>
        </w:tcBorders>
        <w:shd w:val="clear" w:color="auto" w:fill="DFD8E8"/>
      </w:tcPr>
    </w:tblStylePr>
    <w:tblStylePr w:type="band2Horz">
      <w:tblPr>
        <w:tblLayout w:type="fixed"/>
      </w:tblPr>
      <w:tcPr>
        <w:tcBorders>
          <w:insideH w:val="nil"/>
          <w:insideV w:val="nil"/>
        </w:tcBorders>
      </w:tcPr>
    </w:tblStylePr>
  </w:style>
  <w:style w:type="table" w:styleId="65">
    <w:name w:val="Medium Shading 1 Accent 5"/>
    <w:basedOn w:val="37"/>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Layout w:type="fixed"/>
    </w:tblPr>
    <w:tblStylePr w:type="firstRow">
      <w:pPr>
        <w:spacing w:before="0" w:after="0" w:line="240" w:lineRule="auto"/>
      </w:pPr>
      <w:rPr>
        <w:b/>
        <w:bCs/>
        <w:color w:val="FFFFFF"/>
      </w:rPr>
      <w:tblPr>
        <w:tblLayout w:type="fixed"/>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blLayout w:type="fixed"/>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cPr>
    </w:tblStylePr>
    <w:tblStylePr w:type="band1Horz">
      <w:tblPr>
        <w:tblLayout w:type="fixed"/>
      </w:tblPr>
      <w:tcPr>
        <w:tcBorders>
          <w:insideH w:val="nil"/>
          <w:insideV w:val="nil"/>
        </w:tcBorders>
        <w:shd w:val="clear" w:color="auto" w:fill="D2EAF0"/>
      </w:tcPr>
    </w:tblStylePr>
    <w:tblStylePr w:type="band2Horz">
      <w:tblPr>
        <w:tblLayout w:type="fixed"/>
      </w:tblPr>
      <w:tcPr>
        <w:tcBorders>
          <w:insideH w:val="nil"/>
          <w:insideV w:val="nil"/>
        </w:tcBorders>
      </w:tcPr>
    </w:tblStylePr>
  </w:style>
  <w:style w:type="table" w:styleId="66">
    <w:name w:val="Medium Shading 1 Accent 6"/>
    <w:basedOn w:val="37"/>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Layout w:type="fixed"/>
    </w:tblPr>
    <w:tblStylePr w:type="firstRow">
      <w:pPr>
        <w:spacing w:before="0" w:after="0" w:line="240" w:lineRule="auto"/>
      </w:pPr>
      <w:rPr>
        <w:b/>
        <w:bCs/>
        <w:color w:val="FFFFFF"/>
      </w:rPr>
      <w:tblPr>
        <w:tblLayout w:type="fixed"/>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blLayout w:type="fixed"/>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cPr>
    </w:tblStylePr>
    <w:tblStylePr w:type="band1Horz">
      <w:tblPr>
        <w:tblLayout w:type="fixed"/>
      </w:tblPr>
      <w:tcPr>
        <w:tcBorders>
          <w:insideH w:val="nil"/>
          <w:insideV w:val="nil"/>
        </w:tcBorders>
        <w:shd w:val="clear" w:color="auto" w:fill="FDE5D1"/>
      </w:tcPr>
    </w:tblStylePr>
    <w:tblStylePr w:type="band2Horz">
      <w:tblPr>
        <w:tblLayout w:type="fixed"/>
      </w:tblPr>
      <w:tcPr>
        <w:tcBorders>
          <w:insideH w:val="nil"/>
          <w:insideV w:val="nil"/>
        </w:tcBorders>
      </w:tcPr>
    </w:tblStylePr>
  </w:style>
  <w:style w:type="table" w:styleId="67">
    <w:name w:val="Medium Shading 2"/>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blLayout w:type="fixed"/>
      </w:tblPr>
      <w:tcPr>
        <w:tcBorders>
          <w:left w:val="nil"/>
          <w:right w:val="nil"/>
          <w:insideH w:val="nil"/>
          <w:insideV w:val="nil"/>
        </w:tcBorders>
        <w:shd w:val="clear" w:color="auto" w:fill="000000"/>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blLayout w:type="fixed"/>
      </w:tblPr>
      <w:tcPr>
        <w:tcBorders>
          <w:left w:val="nil"/>
          <w:right w:val="nil"/>
          <w:insideH w:val="nil"/>
          <w:insideV w:val="nil"/>
        </w:tcBorders>
        <w:shd w:val="clear" w:color="auto" w:fill="4F81BD"/>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blLayout w:type="fixed"/>
      </w:tblPr>
      <w:tcPr>
        <w:tcBorders>
          <w:left w:val="nil"/>
          <w:right w:val="nil"/>
          <w:insideH w:val="nil"/>
          <w:insideV w:val="nil"/>
        </w:tcBorders>
        <w:shd w:val="clear" w:color="auto" w:fill="C0504D"/>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blLayout w:type="fixed"/>
      </w:tblPr>
      <w:tcPr>
        <w:tcBorders>
          <w:left w:val="nil"/>
          <w:right w:val="nil"/>
          <w:insideH w:val="nil"/>
          <w:insideV w:val="nil"/>
        </w:tcBorders>
        <w:shd w:val="clear" w:color="auto" w:fill="9BBB59"/>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blLayout w:type="fixed"/>
      </w:tblPr>
      <w:tcPr>
        <w:tcBorders>
          <w:left w:val="nil"/>
          <w:right w:val="nil"/>
          <w:insideH w:val="nil"/>
          <w:insideV w:val="nil"/>
        </w:tcBorders>
        <w:shd w:val="clear" w:color="auto" w:fill="8064A2"/>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blLayout w:type="fixed"/>
      </w:tblPr>
      <w:tcPr>
        <w:tcBorders>
          <w:left w:val="nil"/>
          <w:right w:val="nil"/>
          <w:insideH w:val="nil"/>
          <w:insideV w:val="nil"/>
        </w:tcBorders>
        <w:shd w:val="clear" w:color="auto" w:fill="4BACC6"/>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blLayout w:type="fixed"/>
      </w:tblPr>
      <w:tcPr>
        <w:tcBorders>
          <w:left w:val="nil"/>
          <w:right w:val="nil"/>
          <w:insideH w:val="nil"/>
          <w:insideV w:val="nil"/>
        </w:tcBorders>
        <w:shd w:val="clear" w:color="auto" w:fill="F79646"/>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rPr>
      <w:color w:val="000000"/>
    </w:rPr>
    <w:tblPr>
      <w:tblBorders>
        <w:top w:val="single" w:color="000000" w:sz="8" w:space="0"/>
        <w:bottom w:val="single" w:color="000000" w:sz="8" w:space="0"/>
      </w:tblBorders>
      <w:tblLayout w:type="fixed"/>
    </w:tblPr>
    <w:tblStylePr w:type="firstRow">
      <w:rPr>
        <w:rFonts w:ascii="Calibri" w:hAnsi="Calibri" w:eastAsia="MS Gothic" w:cs="宋体"/>
      </w:rPr>
      <w:tblPr>
        <w:tblLayout w:type="fixed"/>
      </w:tblPr>
      <w:tcPr>
        <w:tcBorders>
          <w:top w:val="nil"/>
          <w:bottom w:val="single" w:color="000000" w:sz="8" w:space="0"/>
        </w:tcBorders>
      </w:tcPr>
    </w:tblStylePr>
    <w:tblStylePr w:type="lastRow">
      <w:rPr>
        <w:b/>
        <w:bCs/>
        <w:color w:val="1F497D"/>
      </w:rPr>
      <w:tblPr>
        <w:tblLayout w:type="fixed"/>
      </w:tblPr>
      <w:tcPr>
        <w:tcBorders>
          <w:top w:val="single" w:color="000000" w:sz="8" w:space="0"/>
          <w:bottom w:val="single" w:color="000000" w:sz="8" w:space="0"/>
        </w:tcBorders>
      </w:tcPr>
    </w:tblStylePr>
    <w:tblStylePr w:type="firstCol">
      <w:rPr>
        <w:b/>
        <w:bCs/>
      </w:rPr>
    </w:tblStylePr>
    <w:tblStylePr w:type="lastCol">
      <w:rPr>
        <w:b/>
        <w:bCs/>
      </w:rPr>
      <w:tblPr>
        <w:tblLayout w:type="fixed"/>
      </w:tblPr>
      <w:tcPr>
        <w:tcBorders>
          <w:top w:val="single" w:color="000000" w:sz="8" w:space="0"/>
          <w:bottom w:val="single" w:color="000000" w:sz="8" w:space="0"/>
        </w:tcBorders>
      </w:tcPr>
    </w:tblStylePr>
    <w:tblStylePr w:type="band1Vert">
      <w:tblPr>
        <w:tblLayout w:type="fixed"/>
      </w:tblPr>
      <w:tcPr>
        <w:shd w:val="clear" w:color="auto" w:fill="BFBFBF"/>
      </w:tcPr>
    </w:tblStylePr>
    <w:tblStylePr w:type="band1Horz">
      <w:tblPr>
        <w:tblLayout w:type="fixed"/>
      </w:tblPr>
      <w:tcPr>
        <w:shd w:val="clear" w:color="auto" w:fill="BFBFBF"/>
      </w:tcPr>
    </w:tblStylePr>
  </w:style>
  <w:style w:type="table" w:styleId="75">
    <w:name w:val="Medium List 1 Accent 1"/>
    <w:basedOn w:val="37"/>
    <w:qFormat/>
    <w:uiPriority w:val="65"/>
    <w:rPr>
      <w:color w:val="000000"/>
    </w:rPr>
    <w:tblPr>
      <w:tblBorders>
        <w:top w:val="single" w:color="4F81BD" w:sz="8" w:space="0"/>
        <w:bottom w:val="single" w:color="4F81BD" w:sz="8" w:space="0"/>
      </w:tblBorders>
      <w:tblLayout w:type="fixed"/>
    </w:tblPr>
    <w:tblStylePr w:type="firstRow">
      <w:rPr>
        <w:rFonts w:ascii="Calibri" w:hAnsi="Calibri" w:eastAsia="MS Gothic" w:cs="宋体"/>
      </w:rPr>
      <w:tblPr>
        <w:tblLayout w:type="fixed"/>
      </w:tblPr>
      <w:tcPr>
        <w:tcBorders>
          <w:top w:val="nil"/>
          <w:bottom w:val="single" w:color="4F81BD" w:sz="8" w:space="0"/>
        </w:tcBorders>
      </w:tcPr>
    </w:tblStylePr>
    <w:tblStylePr w:type="lastRow">
      <w:rPr>
        <w:b/>
        <w:bCs/>
        <w:color w:val="1F497D"/>
      </w:rPr>
      <w:tblPr>
        <w:tblLayout w:type="fixed"/>
      </w:tblPr>
      <w:tcPr>
        <w:tcBorders>
          <w:top w:val="single" w:color="4F81BD" w:sz="8" w:space="0"/>
          <w:bottom w:val="single" w:color="4F81BD" w:sz="8" w:space="0"/>
        </w:tcBorders>
      </w:tcPr>
    </w:tblStylePr>
    <w:tblStylePr w:type="firstCol">
      <w:rPr>
        <w:b/>
        <w:bCs/>
      </w:rPr>
    </w:tblStylePr>
    <w:tblStylePr w:type="lastCol">
      <w:rPr>
        <w:b/>
        <w:bCs/>
      </w:rPr>
      <w:tblPr>
        <w:tblLayout w:type="fixed"/>
      </w:tblPr>
      <w:tcPr>
        <w:tcBorders>
          <w:top w:val="single" w:color="4F81BD" w:sz="8" w:space="0"/>
          <w:bottom w:val="single" w:color="4F81BD" w:sz="8" w:space="0"/>
        </w:tcBorders>
      </w:tcPr>
    </w:tblStylePr>
    <w:tblStylePr w:type="band1Vert">
      <w:tblPr>
        <w:tblLayout w:type="fixed"/>
      </w:tblPr>
      <w:tcPr>
        <w:shd w:val="clear" w:color="auto" w:fill="D3DFEE"/>
      </w:tcPr>
    </w:tblStylePr>
    <w:tblStylePr w:type="band1Horz">
      <w:tblPr>
        <w:tblLayout w:type="fixed"/>
      </w:tblPr>
      <w:tcPr>
        <w:shd w:val="clear" w:color="auto" w:fill="D3DFEE"/>
      </w:tcPr>
    </w:tblStylePr>
  </w:style>
  <w:style w:type="table" w:styleId="76">
    <w:name w:val="Medium List 1 Accent 2"/>
    <w:basedOn w:val="37"/>
    <w:qFormat/>
    <w:uiPriority w:val="65"/>
    <w:rPr>
      <w:color w:val="000000"/>
    </w:rPr>
    <w:tblPr>
      <w:tblBorders>
        <w:top w:val="single" w:color="C0504D" w:sz="8" w:space="0"/>
        <w:bottom w:val="single" w:color="C0504D" w:sz="8" w:space="0"/>
      </w:tblBorders>
      <w:tblLayout w:type="fixed"/>
    </w:tblPr>
    <w:tblStylePr w:type="firstRow">
      <w:rPr>
        <w:rFonts w:ascii="Calibri" w:hAnsi="Calibri" w:eastAsia="MS Gothic" w:cs="宋体"/>
      </w:rPr>
      <w:tblPr>
        <w:tblLayout w:type="fixed"/>
      </w:tblPr>
      <w:tcPr>
        <w:tcBorders>
          <w:top w:val="nil"/>
          <w:bottom w:val="single" w:color="C0504D" w:sz="8" w:space="0"/>
        </w:tcBorders>
      </w:tcPr>
    </w:tblStylePr>
    <w:tblStylePr w:type="lastRow">
      <w:rPr>
        <w:b/>
        <w:bCs/>
        <w:color w:val="1F497D"/>
      </w:rPr>
      <w:tblPr>
        <w:tblLayout w:type="fixed"/>
      </w:tblPr>
      <w:tcPr>
        <w:tcBorders>
          <w:top w:val="single" w:color="C0504D" w:sz="8" w:space="0"/>
          <w:bottom w:val="single" w:color="C0504D" w:sz="8" w:space="0"/>
        </w:tcBorders>
      </w:tcPr>
    </w:tblStylePr>
    <w:tblStylePr w:type="firstCol">
      <w:rPr>
        <w:b/>
        <w:bCs/>
      </w:rPr>
    </w:tblStylePr>
    <w:tblStylePr w:type="lastCol">
      <w:rPr>
        <w:b/>
        <w:bCs/>
      </w:rPr>
      <w:tblPr>
        <w:tblLayout w:type="fixed"/>
      </w:tblPr>
      <w:tcPr>
        <w:tcBorders>
          <w:top w:val="single" w:color="C0504D" w:sz="8" w:space="0"/>
          <w:bottom w:val="single" w:color="C0504D" w:sz="8" w:space="0"/>
        </w:tcBorders>
      </w:tcPr>
    </w:tblStylePr>
    <w:tblStylePr w:type="band1Vert">
      <w:tblPr>
        <w:tblLayout w:type="fixed"/>
      </w:tblPr>
      <w:tcPr>
        <w:shd w:val="clear" w:color="auto" w:fill="EFD3D3"/>
      </w:tcPr>
    </w:tblStylePr>
    <w:tblStylePr w:type="band1Horz">
      <w:tblPr>
        <w:tblLayout w:type="fixed"/>
      </w:tblPr>
      <w:tcPr>
        <w:shd w:val="clear" w:color="auto" w:fill="EFD3D3"/>
      </w:tcPr>
    </w:tblStylePr>
  </w:style>
  <w:style w:type="table" w:styleId="77">
    <w:name w:val="Medium List 1 Accent 3"/>
    <w:basedOn w:val="37"/>
    <w:qFormat/>
    <w:uiPriority w:val="65"/>
    <w:rPr>
      <w:color w:val="000000"/>
    </w:rPr>
    <w:tblPr>
      <w:tblBorders>
        <w:top w:val="single" w:color="9BBB59" w:sz="8" w:space="0"/>
        <w:bottom w:val="single" w:color="9BBB59" w:sz="8" w:space="0"/>
      </w:tblBorders>
      <w:tblLayout w:type="fixed"/>
    </w:tblPr>
    <w:tblStylePr w:type="firstRow">
      <w:rPr>
        <w:rFonts w:ascii="Calibri" w:hAnsi="Calibri" w:eastAsia="MS Gothic" w:cs="宋体"/>
      </w:rPr>
      <w:tblPr>
        <w:tblLayout w:type="fixed"/>
      </w:tblPr>
      <w:tcPr>
        <w:tcBorders>
          <w:top w:val="nil"/>
          <w:bottom w:val="single" w:color="9BBB59" w:sz="8" w:space="0"/>
        </w:tcBorders>
      </w:tcPr>
    </w:tblStylePr>
    <w:tblStylePr w:type="lastRow">
      <w:rPr>
        <w:b/>
        <w:bCs/>
        <w:color w:val="1F497D"/>
      </w:rPr>
      <w:tblPr>
        <w:tblLayout w:type="fixed"/>
      </w:tblPr>
      <w:tcPr>
        <w:tcBorders>
          <w:top w:val="single" w:color="9BBB59" w:sz="8" w:space="0"/>
          <w:bottom w:val="single" w:color="9BBB59" w:sz="8" w:space="0"/>
        </w:tcBorders>
      </w:tcPr>
    </w:tblStylePr>
    <w:tblStylePr w:type="firstCol">
      <w:rPr>
        <w:b/>
        <w:bCs/>
      </w:rPr>
    </w:tblStylePr>
    <w:tblStylePr w:type="lastCol">
      <w:rPr>
        <w:b/>
        <w:bCs/>
      </w:rPr>
      <w:tblPr>
        <w:tblLayout w:type="fixed"/>
      </w:tblPr>
      <w:tcPr>
        <w:tcBorders>
          <w:top w:val="single" w:color="9BBB59" w:sz="8" w:space="0"/>
          <w:bottom w:val="single" w:color="9BBB59" w:sz="8" w:space="0"/>
        </w:tcBorders>
      </w:tcPr>
    </w:tblStylePr>
    <w:tblStylePr w:type="band1Vert">
      <w:tblPr>
        <w:tblLayout w:type="fixed"/>
      </w:tblPr>
      <w:tcPr>
        <w:shd w:val="clear" w:color="auto" w:fill="E6EED5"/>
      </w:tcPr>
    </w:tblStylePr>
    <w:tblStylePr w:type="band1Horz">
      <w:tblPr>
        <w:tblLayout w:type="fixed"/>
      </w:tblPr>
      <w:tcPr>
        <w:shd w:val="clear" w:color="auto" w:fill="E6EED5"/>
      </w:tcPr>
    </w:tblStylePr>
  </w:style>
  <w:style w:type="table" w:styleId="78">
    <w:name w:val="Medium List 1 Accent 4"/>
    <w:basedOn w:val="37"/>
    <w:qFormat/>
    <w:uiPriority w:val="65"/>
    <w:rPr>
      <w:color w:val="000000"/>
    </w:rPr>
    <w:tblPr>
      <w:tblBorders>
        <w:top w:val="single" w:color="8064A2" w:sz="8" w:space="0"/>
        <w:bottom w:val="single" w:color="8064A2" w:sz="8" w:space="0"/>
      </w:tblBorders>
      <w:tblLayout w:type="fixed"/>
    </w:tblPr>
    <w:tblStylePr w:type="firstRow">
      <w:rPr>
        <w:rFonts w:ascii="Calibri" w:hAnsi="Calibri" w:eastAsia="MS Gothic" w:cs="宋体"/>
      </w:rPr>
      <w:tblPr>
        <w:tblLayout w:type="fixed"/>
      </w:tblPr>
      <w:tcPr>
        <w:tcBorders>
          <w:top w:val="nil"/>
          <w:bottom w:val="single" w:color="8064A2" w:sz="8" w:space="0"/>
        </w:tcBorders>
      </w:tcPr>
    </w:tblStylePr>
    <w:tblStylePr w:type="lastRow">
      <w:rPr>
        <w:b/>
        <w:bCs/>
        <w:color w:val="1F497D"/>
      </w:rPr>
      <w:tblPr>
        <w:tblLayout w:type="fixed"/>
      </w:tblPr>
      <w:tcPr>
        <w:tcBorders>
          <w:top w:val="single" w:color="8064A2" w:sz="8" w:space="0"/>
          <w:bottom w:val="single" w:color="8064A2" w:sz="8" w:space="0"/>
        </w:tcBorders>
      </w:tcPr>
    </w:tblStylePr>
    <w:tblStylePr w:type="firstCol">
      <w:rPr>
        <w:b/>
        <w:bCs/>
      </w:rPr>
    </w:tblStylePr>
    <w:tblStylePr w:type="lastCol">
      <w:rPr>
        <w:b/>
        <w:bCs/>
      </w:rPr>
      <w:tblPr>
        <w:tblLayout w:type="fixed"/>
      </w:tblPr>
      <w:tcPr>
        <w:tcBorders>
          <w:top w:val="single" w:color="8064A2" w:sz="8" w:space="0"/>
          <w:bottom w:val="single" w:color="8064A2" w:sz="8" w:space="0"/>
        </w:tcBorders>
      </w:tcPr>
    </w:tblStylePr>
    <w:tblStylePr w:type="band1Vert">
      <w:tblPr>
        <w:tblLayout w:type="fixed"/>
      </w:tblPr>
      <w:tcPr>
        <w:shd w:val="clear" w:color="auto" w:fill="DFD8E8"/>
      </w:tcPr>
    </w:tblStylePr>
    <w:tblStylePr w:type="band1Horz">
      <w:tblPr>
        <w:tblLayout w:type="fixed"/>
      </w:tblPr>
      <w:tcPr>
        <w:shd w:val="clear" w:color="auto" w:fill="DFD8E8"/>
      </w:tcPr>
    </w:tblStylePr>
  </w:style>
  <w:style w:type="table" w:styleId="79">
    <w:name w:val="Medium List 1 Accent 5"/>
    <w:basedOn w:val="37"/>
    <w:qFormat/>
    <w:uiPriority w:val="65"/>
    <w:rPr>
      <w:color w:val="000000"/>
    </w:rPr>
    <w:tblPr>
      <w:tblBorders>
        <w:top w:val="single" w:color="4BACC6" w:sz="8" w:space="0"/>
        <w:bottom w:val="single" w:color="4BACC6" w:sz="8" w:space="0"/>
      </w:tblBorders>
      <w:tblLayout w:type="fixed"/>
    </w:tblPr>
    <w:tblStylePr w:type="firstRow">
      <w:rPr>
        <w:rFonts w:ascii="Calibri" w:hAnsi="Calibri" w:eastAsia="MS Gothic" w:cs="宋体"/>
      </w:rPr>
      <w:tblPr>
        <w:tblLayout w:type="fixed"/>
      </w:tblPr>
      <w:tcPr>
        <w:tcBorders>
          <w:top w:val="nil"/>
          <w:bottom w:val="single" w:color="4BACC6" w:sz="8" w:space="0"/>
        </w:tcBorders>
      </w:tcPr>
    </w:tblStylePr>
    <w:tblStylePr w:type="lastRow">
      <w:rPr>
        <w:b/>
        <w:bCs/>
        <w:color w:val="1F497D"/>
      </w:rPr>
      <w:tblPr>
        <w:tblLayout w:type="fixed"/>
      </w:tblPr>
      <w:tcPr>
        <w:tcBorders>
          <w:top w:val="single" w:color="4BACC6" w:sz="8" w:space="0"/>
          <w:bottom w:val="single" w:color="4BACC6" w:sz="8" w:space="0"/>
        </w:tcBorders>
      </w:tcPr>
    </w:tblStylePr>
    <w:tblStylePr w:type="firstCol">
      <w:rPr>
        <w:b/>
        <w:bCs/>
      </w:rPr>
    </w:tblStylePr>
    <w:tblStylePr w:type="lastCol">
      <w:rPr>
        <w:b/>
        <w:bCs/>
      </w:rPr>
      <w:tblPr>
        <w:tblLayout w:type="fixed"/>
      </w:tblPr>
      <w:tcPr>
        <w:tcBorders>
          <w:top w:val="single" w:color="4BACC6" w:sz="8" w:space="0"/>
          <w:bottom w:val="single" w:color="4BACC6" w:sz="8" w:space="0"/>
        </w:tcBorders>
      </w:tcPr>
    </w:tblStylePr>
    <w:tblStylePr w:type="band1Vert">
      <w:tblPr>
        <w:tblLayout w:type="fixed"/>
      </w:tblPr>
      <w:tcPr>
        <w:shd w:val="clear" w:color="auto" w:fill="D2EAF0"/>
      </w:tcPr>
    </w:tblStylePr>
    <w:tblStylePr w:type="band1Horz">
      <w:tblPr>
        <w:tblLayout w:type="fixed"/>
      </w:tblPr>
      <w:tcPr>
        <w:shd w:val="clear" w:color="auto" w:fill="D2EAF0"/>
      </w:tcPr>
    </w:tblStylePr>
  </w:style>
  <w:style w:type="table" w:styleId="80">
    <w:name w:val="Medium List 1 Accent 6"/>
    <w:basedOn w:val="37"/>
    <w:qFormat/>
    <w:uiPriority w:val="65"/>
    <w:rPr>
      <w:color w:val="000000"/>
    </w:rPr>
    <w:tblPr>
      <w:tblBorders>
        <w:top w:val="single" w:color="F79646" w:sz="8" w:space="0"/>
        <w:bottom w:val="single" w:color="F79646" w:sz="8" w:space="0"/>
      </w:tblBorders>
      <w:tblLayout w:type="fixed"/>
    </w:tblPr>
    <w:tblStylePr w:type="firstRow">
      <w:rPr>
        <w:rFonts w:ascii="Calibri" w:hAnsi="Calibri" w:eastAsia="MS Gothic" w:cs="宋体"/>
      </w:rPr>
      <w:tblPr>
        <w:tblLayout w:type="fixed"/>
      </w:tblPr>
      <w:tcPr>
        <w:tcBorders>
          <w:top w:val="nil"/>
          <w:bottom w:val="single" w:color="F79646" w:sz="8" w:space="0"/>
        </w:tcBorders>
      </w:tcPr>
    </w:tblStylePr>
    <w:tblStylePr w:type="lastRow">
      <w:rPr>
        <w:b/>
        <w:bCs/>
        <w:color w:val="1F497D"/>
      </w:rPr>
      <w:tblPr>
        <w:tblLayout w:type="fixed"/>
      </w:tblPr>
      <w:tcPr>
        <w:tcBorders>
          <w:top w:val="single" w:color="F79646" w:sz="8" w:space="0"/>
          <w:bottom w:val="single" w:color="F79646" w:sz="8" w:space="0"/>
        </w:tcBorders>
      </w:tcPr>
    </w:tblStylePr>
    <w:tblStylePr w:type="firstCol">
      <w:rPr>
        <w:b/>
        <w:bCs/>
      </w:rPr>
    </w:tblStylePr>
    <w:tblStylePr w:type="lastCol">
      <w:rPr>
        <w:b/>
        <w:bCs/>
      </w:rPr>
      <w:tblPr>
        <w:tblLayout w:type="fixed"/>
      </w:tblPr>
      <w:tcPr>
        <w:tcBorders>
          <w:top w:val="single" w:color="F79646" w:sz="8" w:space="0"/>
          <w:bottom w:val="single" w:color="F79646" w:sz="8" w:space="0"/>
        </w:tcBorders>
      </w:tcPr>
    </w:tblStylePr>
    <w:tblStylePr w:type="band1Vert">
      <w:tblPr>
        <w:tblLayout w:type="fixed"/>
      </w:tblPr>
      <w:tcPr>
        <w:shd w:val="clear" w:color="auto" w:fill="FDE5D1"/>
      </w:tcPr>
    </w:tblStylePr>
    <w:tblStylePr w:type="band1Horz">
      <w:tblPr>
        <w:tblLayout w:type="fixed"/>
      </w:tblPr>
      <w:tcPr>
        <w:shd w:val="clear" w:color="auto" w:fill="FDE5D1"/>
      </w:tcPr>
    </w:tblStylePr>
  </w:style>
  <w:style w:type="table" w:styleId="81">
    <w:name w:val="Medium List 2"/>
    <w:basedOn w:val="37"/>
    <w:qFormat/>
    <w:uiPriority w:val="66"/>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tblBorders>
      <w:tblLayout w:type="fixed"/>
    </w:tblPr>
    <w:tblStylePr w:type="firstRow">
      <w:rPr>
        <w:sz w:val="24"/>
        <w:szCs w:val="24"/>
      </w:rPr>
      <w:tblPr>
        <w:tblLayout w:type="fixed"/>
      </w:tblPr>
      <w:tcPr>
        <w:tcBorders>
          <w:top w:val="nil"/>
          <w:left w:val="nil"/>
          <w:bottom w:val="single" w:color="000000" w:sz="24" w:space="0"/>
          <w:right w:val="nil"/>
          <w:insideH w:val="nil"/>
          <w:insideV w:val="nil"/>
        </w:tcBorders>
        <w:shd w:val="clear" w:color="auto" w:fill="FFFFFF"/>
      </w:tcPr>
    </w:tblStylePr>
    <w:tblStylePr w:type="lastRow">
      <w:tblPr>
        <w:tblLayout w:type="fixed"/>
      </w:tblPr>
      <w:tcPr>
        <w:tcBorders>
          <w:top w:val="single" w:color="000000"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000000" w:sz="8" w:space="0"/>
          <w:insideH w:val="nil"/>
          <w:insideV w:val="nil"/>
        </w:tcBorders>
        <w:shd w:val="clear" w:color="auto" w:fill="FFFFFF"/>
      </w:tcPr>
    </w:tblStylePr>
    <w:tblStylePr w:type="lastCol">
      <w:tblPr>
        <w:tblLayout w:type="fixed"/>
      </w:tblPr>
      <w:tcPr>
        <w:tcBorders>
          <w:top w:val="nil"/>
          <w:left w:val="single" w:color="000000"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BFBFBF"/>
      </w:tcPr>
    </w:tblStylePr>
    <w:tblStylePr w:type="band1Horz">
      <w:tblPr>
        <w:tblLayout w:type="fixed"/>
      </w:tblPr>
      <w:tcPr>
        <w:tcBorders>
          <w:top w:val="nil"/>
          <w:bottom w:val="nil"/>
          <w:insideH w:val="nil"/>
          <w:insideV w:val="nil"/>
        </w:tcBorders>
        <w:shd w:val="clear" w:color="auto" w:fill="BFBFBF"/>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2">
    <w:name w:val="Medium List 2 Accent 1"/>
    <w:basedOn w:val="37"/>
    <w:qFormat/>
    <w:uiPriority w:val="66"/>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tblBorders>
      <w:tblLayout w:type="fixed"/>
    </w:tblPr>
    <w:tblStylePr w:type="firstRow">
      <w:rPr>
        <w:sz w:val="24"/>
        <w:szCs w:val="24"/>
      </w:rPr>
      <w:tblPr>
        <w:tblLayout w:type="fixed"/>
      </w:tblPr>
      <w:tcPr>
        <w:tcBorders>
          <w:top w:val="nil"/>
          <w:left w:val="nil"/>
          <w:bottom w:val="single" w:color="4F81BD" w:sz="24" w:space="0"/>
          <w:right w:val="nil"/>
          <w:insideH w:val="nil"/>
          <w:insideV w:val="nil"/>
        </w:tcBorders>
        <w:shd w:val="clear" w:color="auto" w:fill="FFFFFF"/>
      </w:tcPr>
    </w:tblStylePr>
    <w:tblStylePr w:type="lastRow">
      <w:tblPr>
        <w:tblLayout w:type="fixed"/>
      </w:tblPr>
      <w:tcPr>
        <w:tcBorders>
          <w:top w:val="single" w:color="4F81BD"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4F81BD" w:sz="8" w:space="0"/>
          <w:insideH w:val="nil"/>
          <w:insideV w:val="nil"/>
        </w:tcBorders>
        <w:shd w:val="clear" w:color="auto" w:fill="FFFFFF"/>
      </w:tcPr>
    </w:tblStylePr>
    <w:tblStylePr w:type="lastCol">
      <w:tblPr>
        <w:tblLayout w:type="fixed"/>
      </w:tblPr>
      <w:tcPr>
        <w:tcBorders>
          <w:top w:val="nil"/>
          <w:left w:val="single" w:color="4F81BD"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D3DFEE"/>
      </w:tcPr>
    </w:tblStylePr>
    <w:tblStylePr w:type="band1Horz">
      <w:tblPr>
        <w:tblLayout w:type="fixed"/>
      </w:tblPr>
      <w:tcPr>
        <w:tcBorders>
          <w:top w:val="nil"/>
          <w:bottom w:val="nil"/>
          <w:insideH w:val="nil"/>
          <w:insideV w:val="nil"/>
        </w:tcBorders>
        <w:shd w:val="clear" w:color="auto" w:fill="D3DFEE"/>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3">
    <w:name w:val="Medium List 2 Accent 2"/>
    <w:basedOn w:val="37"/>
    <w:qFormat/>
    <w:uiPriority w:val="66"/>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tblBorders>
      <w:tblLayout w:type="fixed"/>
    </w:tblPr>
    <w:tblStylePr w:type="firstRow">
      <w:rPr>
        <w:sz w:val="24"/>
        <w:szCs w:val="24"/>
      </w:rPr>
      <w:tblPr>
        <w:tblLayout w:type="fixed"/>
      </w:tblPr>
      <w:tcPr>
        <w:tcBorders>
          <w:top w:val="nil"/>
          <w:left w:val="nil"/>
          <w:bottom w:val="single" w:color="C0504D" w:sz="24" w:space="0"/>
          <w:right w:val="nil"/>
          <w:insideH w:val="nil"/>
          <w:insideV w:val="nil"/>
        </w:tcBorders>
        <w:shd w:val="clear" w:color="auto" w:fill="FFFFFF"/>
      </w:tcPr>
    </w:tblStylePr>
    <w:tblStylePr w:type="lastRow">
      <w:tblPr>
        <w:tblLayout w:type="fixed"/>
      </w:tblPr>
      <w:tcPr>
        <w:tcBorders>
          <w:top w:val="single" w:color="C0504D"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C0504D" w:sz="8" w:space="0"/>
          <w:insideH w:val="nil"/>
          <w:insideV w:val="nil"/>
        </w:tcBorders>
        <w:shd w:val="clear" w:color="auto" w:fill="FFFFFF"/>
      </w:tcPr>
    </w:tblStylePr>
    <w:tblStylePr w:type="lastCol">
      <w:tblPr>
        <w:tblLayout w:type="fixed"/>
      </w:tblPr>
      <w:tcPr>
        <w:tcBorders>
          <w:top w:val="nil"/>
          <w:left w:val="single" w:color="C0504D"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EFD3D3"/>
      </w:tcPr>
    </w:tblStylePr>
    <w:tblStylePr w:type="band1Horz">
      <w:tblPr>
        <w:tblLayout w:type="fixed"/>
      </w:tblPr>
      <w:tcPr>
        <w:tcBorders>
          <w:top w:val="nil"/>
          <w:bottom w:val="nil"/>
          <w:insideH w:val="nil"/>
          <w:insideV w:val="nil"/>
        </w:tcBorders>
        <w:shd w:val="clear" w:color="auto" w:fill="EFD3D3"/>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4">
    <w:name w:val="Medium List 2 Accent 3"/>
    <w:basedOn w:val="37"/>
    <w:qFormat/>
    <w:uiPriority w:val="66"/>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tblBorders>
      <w:tblLayout w:type="fixed"/>
    </w:tblPr>
    <w:tblStylePr w:type="firstRow">
      <w:rPr>
        <w:sz w:val="24"/>
        <w:szCs w:val="24"/>
      </w:rPr>
      <w:tblPr>
        <w:tblLayout w:type="fixed"/>
      </w:tblPr>
      <w:tcPr>
        <w:tcBorders>
          <w:top w:val="nil"/>
          <w:left w:val="nil"/>
          <w:bottom w:val="single" w:color="9BBB59" w:sz="24" w:space="0"/>
          <w:right w:val="nil"/>
          <w:insideH w:val="nil"/>
          <w:insideV w:val="nil"/>
        </w:tcBorders>
        <w:shd w:val="clear" w:color="auto" w:fill="FFFFFF"/>
      </w:tcPr>
    </w:tblStylePr>
    <w:tblStylePr w:type="lastRow">
      <w:tblPr>
        <w:tblLayout w:type="fixed"/>
      </w:tblPr>
      <w:tcPr>
        <w:tcBorders>
          <w:top w:val="single" w:color="9BBB59"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9BBB59" w:sz="8" w:space="0"/>
          <w:insideH w:val="nil"/>
          <w:insideV w:val="nil"/>
        </w:tcBorders>
        <w:shd w:val="clear" w:color="auto" w:fill="FFFFFF"/>
      </w:tcPr>
    </w:tblStylePr>
    <w:tblStylePr w:type="lastCol">
      <w:tblPr>
        <w:tblLayout w:type="fixed"/>
      </w:tblPr>
      <w:tcPr>
        <w:tcBorders>
          <w:top w:val="nil"/>
          <w:left w:val="single" w:color="9BBB59"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E6EED5"/>
      </w:tcPr>
    </w:tblStylePr>
    <w:tblStylePr w:type="band1Horz">
      <w:tblPr>
        <w:tblLayout w:type="fixed"/>
      </w:tblPr>
      <w:tcPr>
        <w:tcBorders>
          <w:top w:val="nil"/>
          <w:bottom w:val="nil"/>
          <w:insideH w:val="nil"/>
          <w:insideV w:val="nil"/>
        </w:tcBorders>
        <w:shd w:val="clear" w:color="auto" w:fill="E6EED5"/>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5">
    <w:name w:val="Medium List 2 Accent 4"/>
    <w:basedOn w:val="37"/>
    <w:qFormat/>
    <w:uiPriority w:val="66"/>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tblBorders>
      <w:tblLayout w:type="fixed"/>
    </w:tblPr>
    <w:tblStylePr w:type="firstRow">
      <w:rPr>
        <w:sz w:val="24"/>
        <w:szCs w:val="24"/>
      </w:rPr>
      <w:tblPr>
        <w:tblLayout w:type="fixed"/>
      </w:tblPr>
      <w:tcPr>
        <w:tcBorders>
          <w:top w:val="nil"/>
          <w:left w:val="nil"/>
          <w:bottom w:val="single" w:color="8064A2" w:sz="24" w:space="0"/>
          <w:right w:val="nil"/>
          <w:insideH w:val="nil"/>
          <w:insideV w:val="nil"/>
        </w:tcBorders>
        <w:shd w:val="clear" w:color="auto" w:fill="FFFFFF"/>
      </w:tcPr>
    </w:tblStylePr>
    <w:tblStylePr w:type="lastRow">
      <w:tblPr>
        <w:tblLayout w:type="fixed"/>
      </w:tblPr>
      <w:tcPr>
        <w:tcBorders>
          <w:top w:val="single" w:color="8064A2"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8064A2" w:sz="8" w:space="0"/>
          <w:insideH w:val="nil"/>
          <w:insideV w:val="nil"/>
        </w:tcBorders>
        <w:shd w:val="clear" w:color="auto" w:fill="FFFFFF"/>
      </w:tcPr>
    </w:tblStylePr>
    <w:tblStylePr w:type="lastCol">
      <w:tblPr>
        <w:tblLayout w:type="fixed"/>
      </w:tblPr>
      <w:tcPr>
        <w:tcBorders>
          <w:top w:val="nil"/>
          <w:left w:val="single" w:color="8064A2"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DFD8E8"/>
      </w:tcPr>
    </w:tblStylePr>
    <w:tblStylePr w:type="band1Horz">
      <w:tblPr>
        <w:tblLayout w:type="fixed"/>
      </w:tblPr>
      <w:tcPr>
        <w:tcBorders>
          <w:top w:val="nil"/>
          <w:bottom w:val="nil"/>
          <w:insideH w:val="nil"/>
          <w:insideV w:val="nil"/>
        </w:tcBorders>
        <w:shd w:val="clear" w:color="auto" w:fill="DFD8E8"/>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6">
    <w:name w:val="Medium List 2 Accent 5"/>
    <w:basedOn w:val="37"/>
    <w:qFormat/>
    <w:uiPriority w:val="66"/>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tblBorders>
      <w:tblLayout w:type="fixed"/>
    </w:tblPr>
    <w:tblStylePr w:type="firstRow">
      <w:rPr>
        <w:sz w:val="24"/>
        <w:szCs w:val="24"/>
      </w:rPr>
      <w:tblPr>
        <w:tblLayout w:type="fixed"/>
      </w:tblPr>
      <w:tcPr>
        <w:tcBorders>
          <w:top w:val="nil"/>
          <w:left w:val="nil"/>
          <w:bottom w:val="single" w:color="4BACC6" w:sz="24" w:space="0"/>
          <w:right w:val="nil"/>
          <w:insideH w:val="nil"/>
          <w:insideV w:val="nil"/>
        </w:tcBorders>
        <w:shd w:val="clear" w:color="auto" w:fill="FFFFFF"/>
      </w:tcPr>
    </w:tblStylePr>
    <w:tblStylePr w:type="lastRow">
      <w:tblPr>
        <w:tblLayout w:type="fixed"/>
      </w:tblPr>
      <w:tcPr>
        <w:tcBorders>
          <w:top w:val="single" w:color="4BACC6"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4BACC6" w:sz="8" w:space="0"/>
          <w:insideH w:val="nil"/>
          <w:insideV w:val="nil"/>
        </w:tcBorders>
        <w:shd w:val="clear" w:color="auto" w:fill="FFFFFF"/>
      </w:tcPr>
    </w:tblStylePr>
    <w:tblStylePr w:type="lastCol">
      <w:tblPr>
        <w:tblLayout w:type="fixed"/>
      </w:tblPr>
      <w:tcPr>
        <w:tcBorders>
          <w:top w:val="nil"/>
          <w:left w:val="single" w:color="4BACC6"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D2EAF0"/>
      </w:tcPr>
    </w:tblStylePr>
    <w:tblStylePr w:type="band1Horz">
      <w:tblPr>
        <w:tblLayout w:type="fixed"/>
      </w:tblPr>
      <w:tcPr>
        <w:tcBorders>
          <w:top w:val="nil"/>
          <w:bottom w:val="nil"/>
          <w:insideH w:val="nil"/>
          <w:insideV w:val="nil"/>
        </w:tcBorders>
        <w:shd w:val="clear" w:color="auto" w:fill="D2EAF0"/>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7">
    <w:name w:val="Medium List 2 Accent 6"/>
    <w:basedOn w:val="37"/>
    <w:qFormat/>
    <w:uiPriority w:val="66"/>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tblBorders>
      <w:tblLayout w:type="fixed"/>
    </w:tblPr>
    <w:tblStylePr w:type="firstRow">
      <w:rPr>
        <w:sz w:val="24"/>
        <w:szCs w:val="24"/>
      </w:rPr>
      <w:tblPr>
        <w:tblLayout w:type="fixed"/>
      </w:tblPr>
      <w:tcPr>
        <w:tcBorders>
          <w:top w:val="nil"/>
          <w:left w:val="nil"/>
          <w:bottom w:val="single" w:color="F79646" w:sz="24" w:space="0"/>
          <w:right w:val="nil"/>
          <w:insideH w:val="nil"/>
          <w:insideV w:val="nil"/>
        </w:tcBorders>
        <w:shd w:val="clear" w:color="auto" w:fill="FFFFFF"/>
      </w:tcPr>
    </w:tblStylePr>
    <w:tblStylePr w:type="lastRow">
      <w:tblPr>
        <w:tblLayout w:type="fixed"/>
      </w:tblPr>
      <w:tcPr>
        <w:tcBorders>
          <w:top w:val="single" w:color="F79646"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F79646" w:sz="8" w:space="0"/>
          <w:insideH w:val="nil"/>
          <w:insideV w:val="nil"/>
        </w:tcBorders>
        <w:shd w:val="clear" w:color="auto" w:fill="FFFFFF"/>
      </w:tcPr>
    </w:tblStylePr>
    <w:tblStylePr w:type="lastCol">
      <w:tblPr>
        <w:tblLayout w:type="fixed"/>
      </w:tblPr>
      <w:tcPr>
        <w:tcBorders>
          <w:top w:val="nil"/>
          <w:left w:val="single" w:color="F79646"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FDE5D1"/>
      </w:tcPr>
    </w:tblStylePr>
    <w:tblStylePr w:type="band1Horz">
      <w:tblPr>
        <w:tblLayout w:type="fixed"/>
      </w:tblPr>
      <w:tcPr>
        <w:tcBorders>
          <w:top w:val="nil"/>
          <w:bottom w:val="nil"/>
          <w:insideH w:val="nil"/>
          <w:insideV w:val="nil"/>
        </w:tcBorders>
        <w:shd w:val="clear" w:color="auto" w:fill="FDE5D1"/>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8">
    <w:name w:val="Medium Grid 1"/>
    <w:basedOn w:val="37"/>
    <w:qFormat/>
    <w:uiPriority w:val="67"/>
    <w:tblPr>
      <w:tblBorders>
        <w:top w:val="single" w:color="3F3F3F" w:sz="8" w:space="0"/>
        <w:left w:val="single" w:color="3F3F3F" w:sz="8" w:space="0"/>
        <w:bottom w:val="single" w:color="3F3F3F" w:sz="8" w:space="0"/>
        <w:right w:val="single" w:color="3F3F3F" w:sz="8" w:space="0"/>
        <w:insideH w:val="single" w:color="3F3F3F" w:sz="8" w:space="0"/>
        <w:insideV w:val="single" w:color="3F3F3F" w:sz="8" w:space="0"/>
      </w:tblBorders>
      <w:tblLayout w:type="fixed"/>
    </w:tblPr>
    <w:tcPr>
      <w:shd w:val="clear" w:color="auto" w:fill="BFBFBF"/>
    </w:tcPr>
    <w:tblStylePr w:type="firstRow">
      <w:rPr>
        <w:b/>
        <w:bCs/>
      </w:rPr>
    </w:tblStylePr>
    <w:tblStylePr w:type="lastRow">
      <w:rPr>
        <w:b/>
        <w:bCs/>
      </w:rPr>
      <w:tblPr>
        <w:tblLayout w:type="fixed"/>
      </w:tblPr>
      <w:tcPr>
        <w:tcBorders>
          <w:top w:val="single" w:color="3F3F3F" w:sz="18" w:space="0"/>
        </w:tcBorders>
      </w:tcPr>
    </w:tblStylePr>
    <w:tblStylePr w:type="firstCol">
      <w:rPr>
        <w:b/>
        <w:bCs/>
      </w:rPr>
    </w:tblStylePr>
    <w:tblStylePr w:type="lastCol">
      <w:rPr>
        <w:b/>
        <w:bCs/>
      </w:rPr>
    </w:tblStylePr>
    <w:tblStylePr w:type="band1Vert">
      <w:tblPr>
        <w:tblLayout w:type="fixed"/>
      </w:tblPr>
      <w:tcPr>
        <w:shd w:val="clear" w:color="auto" w:fill="7F7F7F"/>
      </w:tcPr>
    </w:tblStylePr>
    <w:tblStylePr w:type="band1Horz">
      <w:tblPr>
        <w:tblLayout w:type="fixed"/>
      </w:tblPr>
      <w:tcPr>
        <w:shd w:val="clear" w:color="auto" w:fill="7F7F7F"/>
      </w:tcPr>
    </w:tblStylePr>
  </w:style>
  <w:style w:type="table" w:styleId="89">
    <w:name w:val="Medium Grid 1 Accent 1"/>
    <w:basedOn w:val="37"/>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Layout w:type="fixed"/>
    </w:tblPr>
    <w:tcPr>
      <w:shd w:val="clear" w:color="auto" w:fill="D3DFEE"/>
    </w:tcPr>
    <w:tblStylePr w:type="firstRow">
      <w:rPr>
        <w:b/>
        <w:bCs/>
      </w:rPr>
    </w:tblStylePr>
    <w:tblStylePr w:type="lastRow">
      <w:rPr>
        <w:b/>
        <w:bCs/>
      </w:rPr>
      <w:tblPr>
        <w:tblLayout w:type="fixed"/>
      </w:tblPr>
      <w:tcPr>
        <w:tcBorders>
          <w:top w:val="single" w:color="7BA0CD" w:sz="18" w:space="0"/>
        </w:tcBorders>
      </w:tcPr>
    </w:tblStylePr>
    <w:tblStylePr w:type="firstCol">
      <w:rPr>
        <w:b/>
        <w:bCs/>
      </w:rPr>
    </w:tblStylePr>
    <w:tblStylePr w:type="lastCol">
      <w:rPr>
        <w:b/>
        <w:bCs/>
      </w:rPr>
    </w:tblStylePr>
    <w:tblStylePr w:type="band1Vert">
      <w:tblPr>
        <w:tblLayout w:type="fixed"/>
      </w:tblPr>
      <w:tcPr>
        <w:shd w:val="clear" w:color="auto" w:fill="A7C0DE"/>
      </w:tcPr>
    </w:tblStylePr>
    <w:tblStylePr w:type="band1Horz">
      <w:tblPr>
        <w:tblLayout w:type="fixed"/>
      </w:tblPr>
      <w:tcPr>
        <w:shd w:val="clear" w:color="auto" w:fill="A7C0DE"/>
      </w:tcPr>
    </w:tblStylePr>
  </w:style>
  <w:style w:type="table" w:styleId="90">
    <w:name w:val="Medium Grid 1 Accent 2"/>
    <w:basedOn w:val="37"/>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Layout w:type="fixed"/>
    </w:tblPr>
    <w:tcPr>
      <w:shd w:val="clear" w:color="auto" w:fill="EFD3D3"/>
    </w:tcPr>
    <w:tblStylePr w:type="firstRow">
      <w:rPr>
        <w:b/>
        <w:bCs/>
      </w:rPr>
    </w:tblStylePr>
    <w:tblStylePr w:type="lastRow">
      <w:rPr>
        <w:b/>
        <w:bCs/>
      </w:rPr>
      <w:tblPr>
        <w:tblLayout w:type="fixed"/>
      </w:tblPr>
      <w:tcPr>
        <w:tcBorders>
          <w:top w:val="single" w:color="CF7B79" w:sz="18" w:space="0"/>
        </w:tcBorders>
      </w:tcPr>
    </w:tblStylePr>
    <w:tblStylePr w:type="firstCol">
      <w:rPr>
        <w:b/>
        <w:bCs/>
      </w:rPr>
    </w:tblStylePr>
    <w:tblStylePr w:type="lastCol">
      <w:rPr>
        <w:b/>
        <w:bCs/>
      </w:rPr>
    </w:tblStylePr>
    <w:tblStylePr w:type="band1Vert">
      <w:tblPr>
        <w:tblLayout w:type="fixed"/>
      </w:tblPr>
      <w:tcPr>
        <w:shd w:val="clear" w:color="auto" w:fill="DFA7A6"/>
      </w:tcPr>
    </w:tblStylePr>
    <w:tblStylePr w:type="band1Horz">
      <w:tblPr>
        <w:tblLayout w:type="fixed"/>
      </w:tblPr>
      <w:tcPr>
        <w:shd w:val="clear" w:color="auto" w:fill="DFA7A6"/>
      </w:tcPr>
    </w:tblStylePr>
  </w:style>
  <w:style w:type="table" w:styleId="91">
    <w:name w:val="Medium Grid 1 Accent 3"/>
    <w:basedOn w:val="37"/>
    <w:qFormat/>
    <w:uiPriority w:val="67"/>
    <w:tblPr>
      <w:tblBorders>
        <w:top w:val="single" w:color="B4CC82" w:sz="8" w:space="0"/>
        <w:left w:val="single" w:color="B4CC82" w:sz="8" w:space="0"/>
        <w:bottom w:val="single" w:color="B4CC82" w:sz="8" w:space="0"/>
        <w:right w:val="single" w:color="B4CC82" w:sz="8" w:space="0"/>
        <w:insideH w:val="single" w:color="B4CC82" w:sz="8" w:space="0"/>
        <w:insideV w:val="single" w:color="B4CC82" w:sz="8" w:space="0"/>
      </w:tblBorders>
      <w:tblLayout w:type="fixed"/>
    </w:tblPr>
    <w:tcPr>
      <w:shd w:val="clear" w:color="auto" w:fill="E6EED5"/>
    </w:tcPr>
    <w:tblStylePr w:type="firstRow">
      <w:rPr>
        <w:b/>
        <w:bCs/>
      </w:rPr>
    </w:tblStylePr>
    <w:tblStylePr w:type="lastRow">
      <w:rPr>
        <w:b/>
        <w:bCs/>
      </w:rPr>
      <w:tblPr>
        <w:tblLayout w:type="fixed"/>
      </w:tblPr>
      <w:tcPr>
        <w:tcBorders>
          <w:top w:val="single" w:color="B4CC82" w:sz="18" w:space="0"/>
        </w:tcBorders>
      </w:tcPr>
    </w:tblStylePr>
    <w:tblStylePr w:type="firstCol">
      <w:rPr>
        <w:b/>
        <w:bCs/>
      </w:rPr>
    </w:tblStylePr>
    <w:tblStylePr w:type="lastCol">
      <w:rPr>
        <w:b/>
        <w:bCs/>
      </w:rPr>
    </w:tblStylePr>
    <w:tblStylePr w:type="band1Vert">
      <w:tblPr>
        <w:tblLayout w:type="fixed"/>
      </w:tblPr>
      <w:tcPr>
        <w:shd w:val="clear" w:color="auto" w:fill="CDDDAC"/>
      </w:tcPr>
    </w:tblStylePr>
    <w:tblStylePr w:type="band1Horz">
      <w:tblPr>
        <w:tblLayout w:type="fixed"/>
      </w:tblPr>
      <w:tcPr>
        <w:shd w:val="clear" w:color="auto" w:fill="CDDDAC"/>
      </w:tcPr>
    </w:tblStylePr>
  </w:style>
  <w:style w:type="table" w:styleId="92">
    <w:name w:val="Medium Grid 1 Accent 4"/>
    <w:basedOn w:val="37"/>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Layout w:type="fixed"/>
    </w:tblPr>
    <w:tcPr>
      <w:shd w:val="clear" w:color="auto" w:fill="DFD8E8"/>
    </w:tcPr>
    <w:tblStylePr w:type="firstRow">
      <w:rPr>
        <w:b/>
        <w:bCs/>
      </w:rPr>
    </w:tblStylePr>
    <w:tblStylePr w:type="lastRow">
      <w:rPr>
        <w:b/>
        <w:bCs/>
      </w:rPr>
      <w:tblPr>
        <w:tblLayout w:type="fixed"/>
      </w:tblPr>
      <w:tcPr>
        <w:tcBorders>
          <w:top w:val="single" w:color="9F8AB9" w:sz="18" w:space="0"/>
        </w:tcBorders>
      </w:tcPr>
    </w:tblStylePr>
    <w:tblStylePr w:type="firstCol">
      <w:rPr>
        <w:b/>
        <w:bCs/>
      </w:rPr>
    </w:tblStylePr>
    <w:tblStylePr w:type="lastCol">
      <w:rPr>
        <w:b/>
        <w:bCs/>
      </w:rPr>
    </w:tblStylePr>
    <w:tblStylePr w:type="band1Vert">
      <w:tblPr>
        <w:tblLayout w:type="fixed"/>
      </w:tblPr>
      <w:tcPr>
        <w:shd w:val="clear" w:color="auto" w:fill="BFB1D0"/>
      </w:tcPr>
    </w:tblStylePr>
    <w:tblStylePr w:type="band1Horz">
      <w:tblPr>
        <w:tblLayout w:type="fixed"/>
      </w:tblPr>
      <w:tcPr>
        <w:shd w:val="clear" w:color="auto" w:fill="BFB1D0"/>
      </w:tcPr>
    </w:tblStylePr>
  </w:style>
  <w:style w:type="table" w:styleId="93">
    <w:name w:val="Medium Grid 1 Accent 5"/>
    <w:basedOn w:val="37"/>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Layout w:type="fixed"/>
    </w:tblPr>
    <w:tcPr>
      <w:shd w:val="clear" w:color="auto" w:fill="D2EAF0"/>
    </w:tcPr>
    <w:tblStylePr w:type="firstRow">
      <w:rPr>
        <w:b/>
        <w:bCs/>
      </w:rPr>
    </w:tblStylePr>
    <w:tblStylePr w:type="lastRow">
      <w:rPr>
        <w:b/>
        <w:bCs/>
      </w:rPr>
      <w:tblPr>
        <w:tblLayout w:type="fixed"/>
      </w:tblPr>
      <w:tcPr>
        <w:tcBorders>
          <w:top w:val="single" w:color="78C0D4" w:sz="18" w:space="0"/>
        </w:tcBorders>
      </w:tcPr>
    </w:tblStylePr>
    <w:tblStylePr w:type="firstCol">
      <w:rPr>
        <w:b/>
        <w:bCs/>
      </w:rPr>
    </w:tblStylePr>
    <w:tblStylePr w:type="lastCol">
      <w:rPr>
        <w:b/>
        <w:bCs/>
      </w:rPr>
    </w:tblStylePr>
    <w:tblStylePr w:type="band1Vert">
      <w:tblPr>
        <w:tblLayout w:type="fixed"/>
      </w:tblPr>
      <w:tcPr>
        <w:shd w:val="clear" w:color="auto" w:fill="A5D5E2"/>
      </w:tcPr>
    </w:tblStylePr>
    <w:tblStylePr w:type="band1Horz">
      <w:tblPr>
        <w:tblLayout w:type="fixed"/>
      </w:tblPr>
      <w:tcPr>
        <w:shd w:val="clear" w:color="auto" w:fill="A5D5E2"/>
      </w:tcPr>
    </w:tblStylePr>
  </w:style>
  <w:style w:type="table" w:styleId="94">
    <w:name w:val="Medium Grid 1 Accent 6"/>
    <w:basedOn w:val="37"/>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Layout w:type="fixed"/>
    </w:tblPr>
    <w:tcPr>
      <w:shd w:val="clear" w:color="auto" w:fill="FDE5D1"/>
    </w:tcPr>
    <w:tblStylePr w:type="firstRow">
      <w:rPr>
        <w:b/>
        <w:bCs/>
      </w:rPr>
    </w:tblStylePr>
    <w:tblStylePr w:type="lastRow">
      <w:rPr>
        <w:b/>
        <w:bCs/>
      </w:rPr>
      <w:tblPr>
        <w:tblLayout w:type="fixed"/>
      </w:tblPr>
      <w:tcPr>
        <w:tcBorders>
          <w:top w:val="single" w:color="F9B074" w:sz="18" w:space="0"/>
        </w:tcBorders>
      </w:tcPr>
    </w:tblStylePr>
    <w:tblStylePr w:type="firstCol">
      <w:rPr>
        <w:b/>
        <w:bCs/>
      </w:rPr>
    </w:tblStylePr>
    <w:tblStylePr w:type="lastCol">
      <w:rPr>
        <w:b/>
        <w:bCs/>
      </w:rPr>
    </w:tblStylePr>
    <w:tblStylePr w:type="band1Vert">
      <w:tblPr>
        <w:tblLayout w:type="fixed"/>
      </w:tblPr>
      <w:tcPr>
        <w:shd w:val="clear" w:color="auto" w:fill="FBCAA2"/>
      </w:tcPr>
    </w:tblStylePr>
    <w:tblStylePr w:type="band1Horz">
      <w:tblPr>
        <w:tblLayout w:type="fixed"/>
      </w:tblPr>
      <w:tcPr>
        <w:shd w:val="clear" w:color="auto" w:fill="FBCAA2"/>
      </w:tcPr>
    </w:tblStylePr>
  </w:style>
  <w:style w:type="table" w:styleId="95">
    <w:name w:val="Medium Grid 2"/>
    <w:basedOn w:val="37"/>
    <w:qFormat/>
    <w:uiPriority w:val="68"/>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Pr>
    <w:tcPr>
      <w:shd w:val="clear" w:color="auto" w:fill="BFBFBF"/>
    </w:tcPr>
    <w:tblStylePr w:type="firstRow">
      <w:rPr>
        <w:b/>
        <w:bCs/>
        <w:color w:val="000000"/>
      </w:rPr>
      <w:tblPr>
        <w:tblLayout w:type="fixed"/>
      </w:tblPr>
      <w:tcPr>
        <w:shd w:val="clear" w:color="auto" w:fill="E5E5E5"/>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CCCCCC"/>
      </w:tcPr>
    </w:tblStylePr>
    <w:tblStylePr w:type="band1Vert">
      <w:tblPr>
        <w:tblLayout w:type="fixed"/>
      </w:tblPr>
      <w:tcPr>
        <w:shd w:val="clear" w:color="auto" w:fill="7F7F7F"/>
      </w:tcPr>
    </w:tblStylePr>
    <w:tblStylePr w:type="band1Horz">
      <w:tblPr>
        <w:tblLayout w:type="fixed"/>
      </w:tblPr>
      <w:tcPr>
        <w:tcBorders>
          <w:insideH w:val="single" w:sz="6" w:space="0"/>
          <w:insideV w:val="single" w:sz="6" w:space="0"/>
        </w:tcBorders>
        <w:shd w:val="clear" w:color="auto" w:fill="7F7F7F"/>
      </w:tcPr>
    </w:tblStylePr>
    <w:tblStylePr w:type="nwCell">
      <w:tblPr>
        <w:tblLayout w:type="fixed"/>
      </w:tblPr>
      <w:tcPr>
        <w:shd w:val="clear" w:color="auto" w:fill="FFFFFF"/>
      </w:tcPr>
    </w:tblStylePr>
  </w:style>
  <w:style w:type="table" w:styleId="96">
    <w:name w:val="Medium Grid 2 Accent 1"/>
    <w:basedOn w:val="37"/>
    <w:qFormat/>
    <w:uiPriority w:val="68"/>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Pr>
    <w:tcPr>
      <w:shd w:val="clear" w:color="auto" w:fill="D3DFEE"/>
    </w:tcPr>
    <w:tblStylePr w:type="firstRow">
      <w:rPr>
        <w:b/>
        <w:bCs/>
        <w:color w:val="000000"/>
      </w:rPr>
      <w:tblPr>
        <w:tblLayout w:type="fixed"/>
      </w:tblPr>
      <w:tcPr>
        <w:shd w:val="clear" w:color="auto" w:fill="EDF2F8"/>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DBE5F1"/>
      </w:tcPr>
    </w:tblStylePr>
    <w:tblStylePr w:type="band1Vert">
      <w:tblPr>
        <w:tblLayout w:type="fixed"/>
      </w:tblPr>
      <w:tcPr>
        <w:shd w:val="clear" w:color="auto" w:fill="A7C0DE"/>
      </w:tcPr>
    </w:tblStylePr>
    <w:tblStylePr w:type="band1Horz">
      <w:tblPr>
        <w:tblLayout w:type="fixed"/>
      </w:tblPr>
      <w:tcPr>
        <w:tcBorders>
          <w:insideH w:val="single" w:sz="6" w:space="0"/>
          <w:insideV w:val="single" w:sz="6" w:space="0"/>
        </w:tcBorders>
        <w:shd w:val="clear" w:color="auto" w:fill="A7C0DE"/>
      </w:tcPr>
    </w:tblStylePr>
    <w:tblStylePr w:type="nwCell">
      <w:tblPr>
        <w:tblLayout w:type="fixed"/>
      </w:tblPr>
      <w:tcPr>
        <w:shd w:val="clear" w:color="auto" w:fill="FFFFFF"/>
      </w:tcPr>
    </w:tblStylePr>
  </w:style>
  <w:style w:type="table" w:styleId="97">
    <w:name w:val="Medium Grid 2 Accent 2"/>
    <w:basedOn w:val="37"/>
    <w:qFormat/>
    <w:uiPriority w:val="68"/>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Layout w:type="fixed"/>
    </w:tblPr>
    <w:tcPr>
      <w:shd w:val="clear" w:color="auto" w:fill="EFD3D3"/>
    </w:tcPr>
    <w:tblStylePr w:type="firstRow">
      <w:rPr>
        <w:b/>
        <w:bCs/>
        <w:color w:val="000000"/>
      </w:rPr>
      <w:tblPr>
        <w:tblLayout w:type="fixed"/>
      </w:tblPr>
      <w:tcPr>
        <w:shd w:val="clear" w:color="auto" w:fill="F8EDED"/>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F2DBDB"/>
      </w:tcPr>
    </w:tblStylePr>
    <w:tblStylePr w:type="band1Vert">
      <w:tblPr>
        <w:tblLayout w:type="fixed"/>
      </w:tblPr>
      <w:tcPr>
        <w:shd w:val="clear" w:color="auto" w:fill="DFA7A6"/>
      </w:tcPr>
    </w:tblStylePr>
    <w:tblStylePr w:type="band1Horz">
      <w:tblPr>
        <w:tblLayout w:type="fixed"/>
      </w:tblPr>
      <w:tcPr>
        <w:tcBorders>
          <w:insideH w:val="single" w:sz="6" w:space="0"/>
          <w:insideV w:val="single" w:sz="6" w:space="0"/>
        </w:tcBorders>
        <w:shd w:val="clear" w:color="auto" w:fill="DFA7A6"/>
      </w:tcPr>
    </w:tblStylePr>
    <w:tblStylePr w:type="nwCell">
      <w:tblPr>
        <w:tblLayout w:type="fixed"/>
      </w:tblPr>
      <w:tcPr>
        <w:shd w:val="clear" w:color="auto" w:fill="FFFFFF"/>
      </w:tcPr>
    </w:tblStylePr>
  </w:style>
  <w:style w:type="table" w:styleId="98">
    <w:name w:val="Medium Grid 2 Accent 3"/>
    <w:basedOn w:val="37"/>
    <w:qFormat/>
    <w:uiPriority w:val="68"/>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Layout w:type="fixed"/>
    </w:tblPr>
    <w:tcPr>
      <w:shd w:val="clear" w:color="auto" w:fill="E6EED5"/>
    </w:tcPr>
    <w:tblStylePr w:type="firstRow">
      <w:rPr>
        <w:b/>
        <w:bCs/>
        <w:color w:val="000000"/>
      </w:rPr>
      <w:tblPr>
        <w:tblLayout w:type="fixed"/>
      </w:tblPr>
      <w:tcPr>
        <w:shd w:val="clear" w:color="auto" w:fill="F5F8EE"/>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EAF1DD"/>
      </w:tcPr>
    </w:tblStylePr>
    <w:tblStylePr w:type="band1Vert">
      <w:tblPr>
        <w:tblLayout w:type="fixed"/>
      </w:tblPr>
      <w:tcPr>
        <w:shd w:val="clear" w:color="auto" w:fill="CDDDAC"/>
      </w:tcPr>
    </w:tblStylePr>
    <w:tblStylePr w:type="band1Horz">
      <w:tblPr>
        <w:tblLayout w:type="fixed"/>
      </w:tblPr>
      <w:tcPr>
        <w:tcBorders>
          <w:insideH w:val="single" w:sz="6" w:space="0"/>
          <w:insideV w:val="single" w:sz="6" w:space="0"/>
        </w:tcBorders>
        <w:shd w:val="clear" w:color="auto" w:fill="CDDDAC"/>
      </w:tcPr>
    </w:tblStylePr>
    <w:tblStylePr w:type="nwCell">
      <w:tblPr>
        <w:tblLayout w:type="fixed"/>
      </w:tblPr>
      <w:tcPr>
        <w:shd w:val="clear" w:color="auto" w:fill="FFFFFF"/>
      </w:tcPr>
    </w:tblStylePr>
  </w:style>
  <w:style w:type="table" w:styleId="99">
    <w:name w:val="Medium Grid 2 Accent 4"/>
    <w:basedOn w:val="37"/>
    <w:qFormat/>
    <w:uiPriority w:val="68"/>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Layout w:type="fixed"/>
    </w:tblPr>
    <w:tcPr>
      <w:shd w:val="clear" w:color="auto" w:fill="DFD8E8"/>
    </w:tcPr>
    <w:tblStylePr w:type="firstRow">
      <w:rPr>
        <w:b/>
        <w:bCs/>
        <w:color w:val="000000"/>
      </w:rPr>
      <w:tblPr>
        <w:tblLayout w:type="fixed"/>
      </w:tblPr>
      <w:tcPr>
        <w:shd w:val="clear" w:color="auto" w:fill="F2EFF5"/>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E5DFEC"/>
      </w:tcPr>
    </w:tblStylePr>
    <w:tblStylePr w:type="band1Vert">
      <w:tblPr>
        <w:tblLayout w:type="fixed"/>
      </w:tblPr>
      <w:tcPr>
        <w:shd w:val="clear" w:color="auto" w:fill="BFB1D0"/>
      </w:tcPr>
    </w:tblStylePr>
    <w:tblStylePr w:type="band1Horz">
      <w:tblPr>
        <w:tblLayout w:type="fixed"/>
      </w:tblPr>
      <w:tcPr>
        <w:tcBorders>
          <w:insideH w:val="single" w:sz="6" w:space="0"/>
          <w:insideV w:val="single" w:sz="6" w:space="0"/>
        </w:tcBorders>
        <w:shd w:val="clear" w:color="auto" w:fill="BFB1D0"/>
      </w:tcPr>
    </w:tblStylePr>
    <w:tblStylePr w:type="nwCell">
      <w:tblPr>
        <w:tblLayout w:type="fixed"/>
      </w:tblPr>
      <w:tcPr>
        <w:shd w:val="clear" w:color="auto" w:fill="FFFFFF"/>
      </w:tcPr>
    </w:tblStylePr>
  </w:style>
  <w:style w:type="table" w:styleId="100">
    <w:name w:val="Medium Grid 2 Accent 5"/>
    <w:basedOn w:val="37"/>
    <w:qFormat/>
    <w:uiPriority w:val="68"/>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Layout w:type="fixed"/>
    </w:tblPr>
    <w:tcPr>
      <w:shd w:val="clear" w:color="auto" w:fill="D2EAF0"/>
    </w:tcPr>
    <w:tblStylePr w:type="firstRow">
      <w:rPr>
        <w:b/>
        <w:bCs/>
        <w:color w:val="000000"/>
      </w:rPr>
      <w:tblPr>
        <w:tblLayout w:type="fixed"/>
      </w:tblPr>
      <w:tcPr>
        <w:shd w:val="clear" w:color="auto" w:fill="EDF6F9"/>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DAEEF3"/>
      </w:tcPr>
    </w:tblStylePr>
    <w:tblStylePr w:type="band1Vert">
      <w:tblPr>
        <w:tblLayout w:type="fixed"/>
      </w:tblPr>
      <w:tcPr>
        <w:shd w:val="clear" w:color="auto" w:fill="A5D5E2"/>
      </w:tcPr>
    </w:tblStylePr>
    <w:tblStylePr w:type="band1Horz">
      <w:tblPr>
        <w:tblLayout w:type="fixed"/>
      </w:tblPr>
      <w:tcPr>
        <w:tcBorders>
          <w:insideH w:val="single" w:sz="6" w:space="0"/>
          <w:insideV w:val="single" w:sz="6" w:space="0"/>
        </w:tcBorders>
        <w:shd w:val="clear" w:color="auto" w:fill="A5D5E2"/>
      </w:tcPr>
    </w:tblStylePr>
    <w:tblStylePr w:type="nwCell">
      <w:tblPr>
        <w:tblLayout w:type="fixed"/>
      </w:tblPr>
      <w:tcPr>
        <w:shd w:val="clear" w:color="auto" w:fill="FFFFFF"/>
      </w:tcPr>
    </w:tblStylePr>
  </w:style>
  <w:style w:type="table" w:styleId="101">
    <w:name w:val="Medium Grid 2 Accent 6"/>
    <w:basedOn w:val="37"/>
    <w:qFormat/>
    <w:uiPriority w:val="68"/>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Pr>
    <w:tcPr>
      <w:shd w:val="clear" w:color="auto" w:fill="FDE5D1"/>
    </w:tcPr>
    <w:tblStylePr w:type="firstRow">
      <w:rPr>
        <w:b/>
        <w:bCs/>
        <w:color w:val="000000"/>
      </w:rPr>
      <w:tblPr>
        <w:tblLayout w:type="fixed"/>
      </w:tblPr>
      <w:tcPr>
        <w:shd w:val="clear" w:color="auto" w:fill="FEF4EC"/>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FDE9D9"/>
      </w:tcPr>
    </w:tblStylePr>
    <w:tblStylePr w:type="band1Vert">
      <w:tblPr>
        <w:tblLayout w:type="fixed"/>
      </w:tblPr>
      <w:tcPr>
        <w:shd w:val="clear" w:color="auto" w:fill="FBCAA2"/>
      </w:tcPr>
    </w:tblStylePr>
    <w:tblStylePr w:type="band1Horz">
      <w:tblPr>
        <w:tblLayout w:type="fixed"/>
      </w:tblPr>
      <w:tcPr>
        <w:tcBorders>
          <w:insideH w:val="single" w:sz="6" w:space="0"/>
          <w:insideV w:val="single" w:sz="6" w:space="0"/>
        </w:tcBorders>
        <w:shd w:val="clear" w:color="auto" w:fill="FBCAA2"/>
      </w:tcPr>
    </w:tblStylePr>
    <w:tblStylePr w:type="nwCell">
      <w:tblPr>
        <w:tblLayout w:type="fixed"/>
      </w:tblPr>
      <w:tcPr>
        <w:shd w:val="clear" w:color="auto" w:fill="FFFFFF"/>
      </w:tcPr>
    </w:tblStylePr>
  </w:style>
  <w:style w:type="table" w:styleId="102">
    <w:name w:val="Medium Grid 3"/>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BFBFBF"/>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000000"/>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103">
    <w:name w:val="Medium Grid 3 Accent 1"/>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D3DFEE"/>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4F81BD"/>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4">
    <w:name w:val="Medium Grid 3 Accent 2"/>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EFD3D3"/>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C0504D"/>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5">
    <w:name w:val="Medium Grid 3 Accent 3"/>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E6EED5"/>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9BBB59"/>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6">
    <w:name w:val="Medium Grid 3 Accent 4"/>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DFD8E8"/>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8064A2"/>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7">
    <w:name w:val="Medium Grid 3 Accent 5"/>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D2EAF0"/>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4BACC6"/>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8">
    <w:name w:val="Medium Grid 3 Accent 6"/>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FDE5D1"/>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F79646"/>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9">
    <w:name w:val="Dark List"/>
    <w:basedOn w:val="37"/>
    <w:qFormat/>
    <w:uiPriority w:val="70"/>
    <w:rPr>
      <w:color w:val="FFFFFF"/>
    </w:rPr>
    <w:tblPr>
      <w:tblLayout w:type="fixed"/>
    </w:tblPr>
    <w:tcPr>
      <w:shd w:val="clear" w:color="auto" w:fill="000000"/>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000000"/>
      </w:tcPr>
    </w:tblStylePr>
    <w:tblStylePr w:type="firstCol">
      <w:tblPr>
        <w:tblLayout w:type="fixed"/>
      </w:tblPr>
      <w:tcPr>
        <w:tcBorders>
          <w:top w:val="nil"/>
          <w:left w:val="nil"/>
          <w:bottom w:val="nil"/>
          <w:right w:val="single" w:color="FFFFFF" w:sz="18" w:space="0"/>
          <w:insideH w:val="nil"/>
          <w:insideV w:val="nil"/>
        </w:tcBorders>
        <w:shd w:val="clear" w:color="auto" w:fill="000000"/>
      </w:tcPr>
    </w:tblStylePr>
    <w:tblStylePr w:type="lastCol">
      <w:tblPr>
        <w:tblLayout w:type="fixed"/>
      </w:tblPr>
      <w:tcPr>
        <w:tcBorders>
          <w:top w:val="nil"/>
          <w:left w:val="single" w:color="FFFFFF" w:sz="18" w:space="0"/>
          <w:bottom w:val="nil"/>
          <w:right w:val="nil"/>
          <w:insideH w:val="nil"/>
          <w:insideV w:val="nil"/>
        </w:tcBorders>
        <w:shd w:val="clear" w:color="auto" w:fill="000000"/>
      </w:tcPr>
    </w:tblStylePr>
    <w:tblStylePr w:type="band1Vert">
      <w:tblPr>
        <w:tblLayout w:type="fixed"/>
      </w:tblPr>
      <w:tcPr>
        <w:tcBorders>
          <w:top w:val="nil"/>
          <w:left w:val="nil"/>
          <w:bottom w:val="nil"/>
          <w:right w:val="nil"/>
          <w:insideH w:val="nil"/>
          <w:insideV w:val="nil"/>
        </w:tcBorders>
        <w:shd w:val="clear" w:color="auto" w:fill="000000"/>
      </w:tcPr>
    </w:tblStylePr>
    <w:tblStylePr w:type="band1Horz">
      <w:tblPr>
        <w:tblLayout w:type="fixed"/>
      </w:tblPr>
      <w:tcPr>
        <w:tcBorders>
          <w:top w:val="nil"/>
          <w:left w:val="nil"/>
          <w:bottom w:val="nil"/>
          <w:right w:val="nil"/>
          <w:insideH w:val="nil"/>
          <w:insideV w:val="nil"/>
        </w:tcBorders>
        <w:shd w:val="clear" w:color="auto" w:fill="000000"/>
      </w:tcPr>
    </w:tblStylePr>
  </w:style>
  <w:style w:type="table" w:styleId="110">
    <w:name w:val="Dark List Accent 1"/>
    <w:basedOn w:val="37"/>
    <w:qFormat/>
    <w:uiPriority w:val="70"/>
    <w:rPr>
      <w:color w:val="FFFFFF"/>
    </w:rPr>
    <w:tblPr>
      <w:tblLayout w:type="fixed"/>
    </w:tblPr>
    <w:tcPr>
      <w:shd w:val="clear" w:color="auto" w:fill="4F81BD"/>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243F61"/>
      </w:tcPr>
    </w:tblStylePr>
    <w:tblStylePr w:type="firstCol">
      <w:tblPr>
        <w:tblLayout w:type="fixed"/>
      </w:tblPr>
      <w:tcPr>
        <w:tcBorders>
          <w:top w:val="nil"/>
          <w:left w:val="nil"/>
          <w:bottom w:val="nil"/>
          <w:right w:val="single" w:color="FFFFFF" w:sz="18" w:space="0"/>
          <w:insideH w:val="nil"/>
          <w:insideV w:val="nil"/>
        </w:tcBorders>
        <w:shd w:val="clear" w:color="auto" w:fill="366091"/>
      </w:tcPr>
    </w:tblStylePr>
    <w:tblStylePr w:type="lastCol">
      <w:tblPr>
        <w:tblLayout w:type="fixed"/>
      </w:tblPr>
      <w:tcPr>
        <w:tcBorders>
          <w:top w:val="nil"/>
          <w:left w:val="single" w:color="FFFFFF" w:sz="18" w:space="0"/>
          <w:bottom w:val="nil"/>
          <w:right w:val="nil"/>
          <w:insideH w:val="nil"/>
          <w:insideV w:val="nil"/>
        </w:tcBorders>
        <w:shd w:val="clear" w:color="auto" w:fill="366091"/>
      </w:tcPr>
    </w:tblStylePr>
    <w:tblStylePr w:type="band1Vert">
      <w:tblPr>
        <w:tblLayout w:type="fixed"/>
      </w:tblPr>
      <w:tcPr>
        <w:tcBorders>
          <w:top w:val="nil"/>
          <w:left w:val="nil"/>
          <w:bottom w:val="nil"/>
          <w:right w:val="nil"/>
          <w:insideH w:val="nil"/>
          <w:insideV w:val="nil"/>
        </w:tcBorders>
        <w:shd w:val="clear" w:color="auto" w:fill="366091"/>
      </w:tcPr>
    </w:tblStylePr>
    <w:tblStylePr w:type="band1Horz">
      <w:tblPr>
        <w:tblLayout w:type="fixed"/>
      </w:tblPr>
      <w:tcPr>
        <w:tcBorders>
          <w:top w:val="nil"/>
          <w:left w:val="nil"/>
          <w:bottom w:val="nil"/>
          <w:right w:val="nil"/>
          <w:insideH w:val="nil"/>
          <w:insideV w:val="nil"/>
        </w:tcBorders>
        <w:shd w:val="clear" w:color="auto" w:fill="366091"/>
      </w:tcPr>
    </w:tblStylePr>
  </w:style>
  <w:style w:type="table" w:styleId="111">
    <w:name w:val="Dark List Accent 2"/>
    <w:basedOn w:val="37"/>
    <w:qFormat/>
    <w:uiPriority w:val="70"/>
    <w:rPr>
      <w:color w:val="FFFFFF"/>
    </w:rPr>
    <w:tblPr>
      <w:tblLayout w:type="fixed"/>
    </w:tblPr>
    <w:tcPr>
      <w:shd w:val="clear" w:color="auto" w:fill="C0504D"/>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622423"/>
      </w:tcPr>
    </w:tblStylePr>
    <w:tblStylePr w:type="firstCol">
      <w:tblPr>
        <w:tblLayout w:type="fixed"/>
      </w:tblPr>
      <w:tcPr>
        <w:tcBorders>
          <w:top w:val="nil"/>
          <w:left w:val="nil"/>
          <w:bottom w:val="nil"/>
          <w:right w:val="single" w:color="FFFFFF" w:sz="18" w:space="0"/>
          <w:insideH w:val="nil"/>
          <w:insideV w:val="nil"/>
        </w:tcBorders>
        <w:shd w:val="clear" w:color="auto" w:fill="943734"/>
      </w:tcPr>
    </w:tblStylePr>
    <w:tblStylePr w:type="lastCol">
      <w:tblPr>
        <w:tblLayout w:type="fixed"/>
      </w:tblPr>
      <w:tcPr>
        <w:tcBorders>
          <w:top w:val="nil"/>
          <w:left w:val="single" w:color="FFFFFF" w:sz="18" w:space="0"/>
          <w:bottom w:val="nil"/>
          <w:right w:val="nil"/>
          <w:insideH w:val="nil"/>
          <w:insideV w:val="nil"/>
        </w:tcBorders>
        <w:shd w:val="clear" w:color="auto" w:fill="943734"/>
      </w:tcPr>
    </w:tblStylePr>
    <w:tblStylePr w:type="band1Vert">
      <w:tblPr>
        <w:tblLayout w:type="fixed"/>
      </w:tblPr>
      <w:tcPr>
        <w:tcBorders>
          <w:top w:val="nil"/>
          <w:left w:val="nil"/>
          <w:bottom w:val="nil"/>
          <w:right w:val="nil"/>
          <w:insideH w:val="nil"/>
          <w:insideV w:val="nil"/>
        </w:tcBorders>
        <w:shd w:val="clear" w:color="auto" w:fill="943734"/>
      </w:tcPr>
    </w:tblStylePr>
    <w:tblStylePr w:type="band1Horz">
      <w:tblPr>
        <w:tblLayout w:type="fixed"/>
      </w:tblPr>
      <w:tcPr>
        <w:tcBorders>
          <w:top w:val="nil"/>
          <w:left w:val="nil"/>
          <w:bottom w:val="nil"/>
          <w:right w:val="nil"/>
          <w:insideH w:val="nil"/>
          <w:insideV w:val="nil"/>
        </w:tcBorders>
        <w:shd w:val="clear" w:color="auto" w:fill="943734"/>
      </w:tcPr>
    </w:tblStylePr>
  </w:style>
  <w:style w:type="table" w:styleId="112">
    <w:name w:val="Dark List Accent 3"/>
    <w:basedOn w:val="37"/>
    <w:qFormat/>
    <w:uiPriority w:val="70"/>
    <w:rPr>
      <w:color w:val="FFFFFF"/>
    </w:rPr>
    <w:tblPr>
      <w:tblLayout w:type="fixed"/>
    </w:tblPr>
    <w:tcPr>
      <w:shd w:val="clear" w:color="auto" w:fill="9BBB59"/>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4E6127"/>
      </w:tcPr>
    </w:tblStylePr>
    <w:tblStylePr w:type="firstCol">
      <w:tblPr>
        <w:tblLayout w:type="fixed"/>
      </w:tblPr>
      <w:tcPr>
        <w:tcBorders>
          <w:top w:val="nil"/>
          <w:left w:val="nil"/>
          <w:bottom w:val="nil"/>
          <w:right w:val="single" w:color="FFFFFF" w:sz="18" w:space="0"/>
          <w:insideH w:val="nil"/>
          <w:insideV w:val="nil"/>
        </w:tcBorders>
        <w:shd w:val="clear" w:color="auto" w:fill="76923C"/>
      </w:tcPr>
    </w:tblStylePr>
    <w:tblStylePr w:type="lastCol">
      <w:tblPr>
        <w:tblLayout w:type="fixed"/>
      </w:tblPr>
      <w:tcPr>
        <w:tcBorders>
          <w:top w:val="nil"/>
          <w:left w:val="single" w:color="FFFFFF" w:sz="18" w:space="0"/>
          <w:bottom w:val="nil"/>
          <w:right w:val="nil"/>
          <w:insideH w:val="nil"/>
          <w:insideV w:val="nil"/>
        </w:tcBorders>
        <w:shd w:val="clear" w:color="auto" w:fill="76923C"/>
      </w:tcPr>
    </w:tblStylePr>
    <w:tblStylePr w:type="band1Vert">
      <w:tblPr>
        <w:tblLayout w:type="fixed"/>
      </w:tblPr>
      <w:tcPr>
        <w:tcBorders>
          <w:top w:val="nil"/>
          <w:left w:val="nil"/>
          <w:bottom w:val="nil"/>
          <w:right w:val="nil"/>
          <w:insideH w:val="nil"/>
          <w:insideV w:val="nil"/>
        </w:tcBorders>
        <w:shd w:val="clear" w:color="auto" w:fill="76923C"/>
      </w:tcPr>
    </w:tblStylePr>
    <w:tblStylePr w:type="band1Horz">
      <w:tblPr>
        <w:tblLayout w:type="fixed"/>
      </w:tblPr>
      <w:tcPr>
        <w:tcBorders>
          <w:top w:val="nil"/>
          <w:left w:val="nil"/>
          <w:bottom w:val="nil"/>
          <w:right w:val="nil"/>
          <w:insideH w:val="nil"/>
          <w:insideV w:val="nil"/>
        </w:tcBorders>
        <w:shd w:val="clear" w:color="auto" w:fill="76923C"/>
      </w:tcPr>
    </w:tblStylePr>
  </w:style>
  <w:style w:type="table" w:styleId="113">
    <w:name w:val="Dark List Accent 4"/>
    <w:basedOn w:val="37"/>
    <w:qFormat/>
    <w:uiPriority w:val="70"/>
    <w:rPr>
      <w:color w:val="FFFFFF"/>
    </w:rPr>
    <w:tblPr>
      <w:tblLayout w:type="fixed"/>
    </w:tblPr>
    <w:tcPr>
      <w:shd w:val="clear" w:color="auto" w:fill="8064A2"/>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3F3051"/>
      </w:tcPr>
    </w:tblStylePr>
    <w:tblStylePr w:type="firstCol">
      <w:tblPr>
        <w:tblLayout w:type="fixed"/>
      </w:tblPr>
      <w:tcPr>
        <w:tcBorders>
          <w:top w:val="nil"/>
          <w:left w:val="nil"/>
          <w:bottom w:val="nil"/>
          <w:right w:val="single" w:color="FFFFFF" w:sz="18" w:space="0"/>
          <w:insideH w:val="nil"/>
          <w:insideV w:val="nil"/>
        </w:tcBorders>
        <w:shd w:val="clear" w:color="auto" w:fill="5F497A"/>
      </w:tcPr>
    </w:tblStylePr>
    <w:tblStylePr w:type="lastCol">
      <w:tblPr>
        <w:tblLayout w:type="fixed"/>
      </w:tblPr>
      <w:tcPr>
        <w:tcBorders>
          <w:top w:val="nil"/>
          <w:left w:val="single" w:color="FFFFFF" w:sz="18" w:space="0"/>
          <w:bottom w:val="nil"/>
          <w:right w:val="nil"/>
          <w:insideH w:val="nil"/>
          <w:insideV w:val="nil"/>
        </w:tcBorders>
        <w:shd w:val="clear" w:color="auto" w:fill="5F497A"/>
      </w:tcPr>
    </w:tblStylePr>
    <w:tblStylePr w:type="band1Vert">
      <w:tblPr>
        <w:tblLayout w:type="fixed"/>
      </w:tblPr>
      <w:tcPr>
        <w:tcBorders>
          <w:top w:val="nil"/>
          <w:left w:val="nil"/>
          <w:bottom w:val="nil"/>
          <w:right w:val="nil"/>
          <w:insideH w:val="nil"/>
          <w:insideV w:val="nil"/>
        </w:tcBorders>
        <w:shd w:val="clear" w:color="auto" w:fill="5F497A"/>
      </w:tcPr>
    </w:tblStylePr>
    <w:tblStylePr w:type="band1Horz">
      <w:tblPr>
        <w:tblLayout w:type="fixed"/>
      </w:tblPr>
      <w:tcPr>
        <w:tcBorders>
          <w:top w:val="nil"/>
          <w:left w:val="nil"/>
          <w:bottom w:val="nil"/>
          <w:right w:val="nil"/>
          <w:insideH w:val="nil"/>
          <w:insideV w:val="nil"/>
        </w:tcBorders>
        <w:shd w:val="clear" w:color="auto" w:fill="5F497A"/>
      </w:tcPr>
    </w:tblStylePr>
  </w:style>
  <w:style w:type="table" w:styleId="114">
    <w:name w:val="Dark List Accent 5"/>
    <w:basedOn w:val="37"/>
    <w:qFormat/>
    <w:uiPriority w:val="70"/>
    <w:rPr>
      <w:color w:val="FFFFFF"/>
    </w:rPr>
    <w:tblPr>
      <w:tblLayout w:type="fixed"/>
    </w:tblPr>
    <w:tcPr>
      <w:shd w:val="clear" w:color="auto" w:fill="4BACC6"/>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205867"/>
      </w:tcPr>
    </w:tblStylePr>
    <w:tblStylePr w:type="firstCol">
      <w:tblPr>
        <w:tblLayout w:type="fixed"/>
      </w:tblPr>
      <w:tcPr>
        <w:tcBorders>
          <w:top w:val="nil"/>
          <w:left w:val="nil"/>
          <w:bottom w:val="nil"/>
          <w:right w:val="single" w:color="FFFFFF" w:sz="18" w:space="0"/>
          <w:insideH w:val="nil"/>
          <w:insideV w:val="nil"/>
        </w:tcBorders>
        <w:shd w:val="clear" w:color="auto" w:fill="31849B"/>
      </w:tcPr>
    </w:tblStylePr>
    <w:tblStylePr w:type="lastCol">
      <w:tblPr>
        <w:tblLayout w:type="fixed"/>
      </w:tblPr>
      <w:tcPr>
        <w:tcBorders>
          <w:top w:val="nil"/>
          <w:left w:val="single" w:color="FFFFFF" w:sz="18" w:space="0"/>
          <w:bottom w:val="nil"/>
          <w:right w:val="nil"/>
          <w:insideH w:val="nil"/>
          <w:insideV w:val="nil"/>
        </w:tcBorders>
        <w:shd w:val="clear" w:color="auto" w:fill="31849B"/>
      </w:tcPr>
    </w:tblStylePr>
    <w:tblStylePr w:type="band1Vert">
      <w:tblPr>
        <w:tblLayout w:type="fixed"/>
      </w:tblPr>
      <w:tcPr>
        <w:tcBorders>
          <w:top w:val="nil"/>
          <w:left w:val="nil"/>
          <w:bottom w:val="nil"/>
          <w:right w:val="nil"/>
          <w:insideH w:val="nil"/>
          <w:insideV w:val="nil"/>
        </w:tcBorders>
        <w:shd w:val="clear" w:color="auto" w:fill="31849B"/>
      </w:tcPr>
    </w:tblStylePr>
    <w:tblStylePr w:type="band1Horz">
      <w:tblPr>
        <w:tblLayout w:type="fixed"/>
      </w:tblPr>
      <w:tcPr>
        <w:tcBorders>
          <w:top w:val="nil"/>
          <w:left w:val="nil"/>
          <w:bottom w:val="nil"/>
          <w:right w:val="nil"/>
          <w:insideH w:val="nil"/>
          <w:insideV w:val="nil"/>
        </w:tcBorders>
        <w:shd w:val="clear" w:color="auto" w:fill="31849B"/>
      </w:tcPr>
    </w:tblStylePr>
  </w:style>
  <w:style w:type="table" w:styleId="115">
    <w:name w:val="Dark List Accent 6"/>
    <w:basedOn w:val="37"/>
    <w:qFormat/>
    <w:uiPriority w:val="70"/>
    <w:rPr>
      <w:color w:val="FFFFFF"/>
    </w:rPr>
    <w:tblPr>
      <w:tblLayout w:type="fixed"/>
    </w:tblPr>
    <w:tcPr>
      <w:shd w:val="clear" w:color="auto" w:fill="F79646"/>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974706"/>
      </w:tcPr>
    </w:tblStylePr>
    <w:tblStylePr w:type="firstCol">
      <w:tblPr>
        <w:tblLayout w:type="fixed"/>
      </w:tblPr>
      <w:tcPr>
        <w:tcBorders>
          <w:top w:val="nil"/>
          <w:left w:val="nil"/>
          <w:bottom w:val="nil"/>
          <w:right w:val="single" w:color="FFFFFF" w:sz="18" w:space="0"/>
          <w:insideH w:val="nil"/>
          <w:insideV w:val="nil"/>
        </w:tcBorders>
        <w:shd w:val="clear" w:color="auto" w:fill="E36C09"/>
      </w:tcPr>
    </w:tblStylePr>
    <w:tblStylePr w:type="lastCol">
      <w:tblPr>
        <w:tblLayout w:type="fixed"/>
      </w:tblPr>
      <w:tcPr>
        <w:tcBorders>
          <w:top w:val="nil"/>
          <w:left w:val="single" w:color="FFFFFF" w:sz="18" w:space="0"/>
          <w:bottom w:val="nil"/>
          <w:right w:val="nil"/>
          <w:insideH w:val="nil"/>
          <w:insideV w:val="nil"/>
        </w:tcBorders>
        <w:shd w:val="clear" w:color="auto" w:fill="E36C09"/>
      </w:tcPr>
    </w:tblStylePr>
    <w:tblStylePr w:type="band1Vert">
      <w:tblPr>
        <w:tblLayout w:type="fixed"/>
      </w:tblPr>
      <w:tcPr>
        <w:tcBorders>
          <w:top w:val="nil"/>
          <w:left w:val="nil"/>
          <w:bottom w:val="nil"/>
          <w:right w:val="nil"/>
          <w:insideH w:val="nil"/>
          <w:insideV w:val="nil"/>
        </w:tcBorders>
        <w:shd w:val="clear" w:color="auto" w:fill="E36C09"/>
      </w:tcPr>
    </w:tblStylePr>
    <w:tblStylePr w:type="band1Horz">
      <w:tblPr>
        <w:tblLayout w:type="fixed"/>
      </w:tblPr>
      <w:tcPr>
        <w:tcBorders>
          <w:top w:val="nil"/>
          <w:left w:val="nil"/>
          <w:bottom w:val="nil"/>
          <w:right w:val="nil"/>
          <w:insideH w:val="nil"/>
          <w:insideV w:val="nil"/>
        </w:tcBorders>
        <w:shd w:val="clear" w:color="auto" w:fill="E36C09"/>
      </w:tcPr>
    </w:tblStylePr>
  </w:style>
  <w:style w:type="table" w:styleId="116">
    <w:name w:val="Colorful Shading"/>
    <w:basedOn w:val="37"/>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Layout w:type="fixed"/>
    </w:tblPr>
    <w:tcPr>
      <w:shd w:val="clear" w:color="auto" w:fill="E5E5E5"/>
    </w:tcPr>
    <w:tblStylePr w:type="firstRow">
      <w:rPr>
        <w:b/>
        <w:bCs/>
      </w:rPr>
      <w:tblPr>
        <w:tblLayout w:type="fixed"/>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000000"/>
      </w:tcPr>
    </w:tblStylePr>
    <w:tblStylePr w:type="firstCol">
      <w:rPr>
        <w:color w:val="FFFFFF"/>
      </w:rPr>
      <w:tblPr>
        <w:tblLayout w:type="fixed"/>
      </w:tblPr>
      <w:tcPr>
        <w:tcBorders>
          <w:top w:val="nil"/>
          <w:left w:val="nil"/>
          <w:bottom w:val="nil"/>
          <w:right w:val="nil"/>
          <w:insideH w:val="single" w:sz="4" w:space="0"/>
          <w:insideV w:val="nil"/>
        </w:tcBorders>
        <w:shd w:val="clear" w:color="auto" w:fill="000000"/>
      </w:tcPr>
    </w:tblStylePr>
    <w:tblStylePr w:type="lastCol">
      <w:rPr>
        <w:color w:val="FFFFFF"/>
      </w:rPr>
      <w:tblPr>
        <w:tblLayout w:type="fixed"/>
      </w:tblPr>
      <w:tcPr>
        <w:tcBorders>
          <w:top w:val="nil"/>
          <w:left w:val="nil"/>
          <w:bottom w:val="nil"/>
          <w:right w:val="nil"/>
          <w:insideH w:val="nil"/>
          <w:insideV w:val="nil"/>
        </w:tcBorders>
        <w:shd w:val="clear" w:color="auto" w:fill="000000"/>
      </w:tcPr>
    </w:tblStylePr>
    <w:tblStylePr w:type="band1Vert">
      <w:tblPr>
        <w:tblLayout w:type="fixed"/>
      </w:tblPr>
      <w:tcPr>
        <w:shd w:val="clear" w:color="auto" w:fill="999999"/>
      </w:tcPr>
    </w:tblStylePr>
    <w:tblStylePr w:type="band1Horz">
      <w:tblPr>
        <w:tblLayout w:type="fixed"/>
      </w:tblPr>
      <w:tcPr>
        <w:shd w:val="clear" w:color="auto" w:fill="7F7F7F"/>
      </w:tcPr>
    </w:tblStylePr>
    <w:tblStylePr w:type="neCell">
      <w:rPr>
        <w:color w:val="000000"/>
      </w:rPr>
    </w:tblStylePr>
    <w:tblStylePr w:type="nwCell">
      <w:rPr>
        <w:color w:val="000000"/>
      </w:rPr>
    </w:tblStylePr>
  </w:style>
  <w:style w:type="table" w:styleId="117">
    <w:name w:val="Colorful Shading Accent 1"/>
    <w:basedOn w:val="37"/>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Layout w:type="fixed"/>
    </w:tblPr>
    <w:tcPr>
      <w:shd w:val="clear" w:color="auto" w:fill="EDF2F8"/>
    </w:tcPr>
    <w:tblStylePr w:type="firstRow">
      <w:rPr>
        <w:b/>
        <w:bCs/>
      </w:rPr>
      <w:tblPr>
        <w:tblLayout w:type="fixed"/>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2B4D74"/>
      </w:tcPr>
    </w:tblStylePr>
    <w:tblStylePr w:type="firstCol">
      <w:rPr>
        <w:color w:val="FFFFFF"/>
      </w:rPr>
      <w:tblPr>
        <w:tblLayout w:type="fixed"/>
      </w:tblPr>
      <w:tcPr>
        <w:tcBorders>
          <w:top w:val="nil"/>
          <w:left w:val="nil"/>
          <w:bottom w:val="nil"/>
          <w:right w:val="nil"/>
          <w:insideH w:val="single" w:sz="4" w:space="0"/>
          <w:insideV w:val="nil"/>
        </w:tcBorders>
        <w:shd w:val="clear" w:color="auto" w:fill="2B4D74"/>
      </w:tcPr>
    </w:tblStylePr>
    <w:tblStylePr w:type="lastCol">
      <w:rPr>
        <w:color w:val="FFFFFF"/>
      </w:rPr>
      <w:tblPr>
        <w:tblLayout w:type="fixed"/>
      </w:tblPr>
      <w:tcPr>
        <w:tcBorders>
          <w:top w:val="nil"/>
          <w:left w:val="nil"/>
          <w:bottom w:val="nil"/>
          <w:right w:val="nil"/>
          <w:insideH w:val="nil"/>
          <w:insideV w:val="nil"/>
        </w:tcBorders>
        <w:shd w:val="clear" w:color="auto" w:fill="2B4D74"/>
      </w:tcPr>
    </w:tblStylePr>
    <w:tblStylePr w:type="band1Vert">
      <w:tblPr>
        <w:tblLayout w:type="fixed"/>
      </w:tblPr>
      <w:tcPr>
        <w:shd w:val="clear" w:color="auto" w:fill="B8CCE4"/>
      </w:tcPr>
    </w:tblStylePr>
    <w:tblStylePr w:type="band1Horz">
      <w:tblPr>
        <w:tblLayout w:type="fixed"/>
      </w:tblPr>
      <w:tcPr>
        <w:shd w:val="clear" w:color="auto" w:fill="A7C0DE"/>
      </w:tcPr>
    </w:tblStylePr>
    <w:tblStylePr w:type="neCell">
      <w:rPr>
        <w:color w:val="000000"/>
      </w:rPr>
    </w:tblStylePr>
    <w:tblStylePr w:type="nwCell">
      <w:rPr>
        <w:color w:val="000000"/>
      </w:rPr>
    </w:tblStylePr>
  </w:style>
  <w:style w:type="table" w:styleId="118">
    <w:name w:val="Colorful Shading Accent 2"/>
    <w:basedOn w:val="37"/>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Layout w:type="fixed"/>
    </w:tblPr>
    <w:tcPr>
      <w:shd w:val="clear" w:color="auto" w:fill="F8EDED"/>
    </w:tcPr>
    <w:tblStylePr w:type="firstRow">
      <w:rPr>
        <w:b/>
        <w:bCs/>
      </w:rPr>
      <w:tblPr>
        <w:tblLayout w:type="fixed"/>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772C2A"/>
      </w:tcPr>
    </w:tblStylePr>
    <w:tblStylePr w:type="firstCol">
      <w:rPr>
        <w:color w:val="FFFFFF"/>
      </w:rPr>
      <w:tblPr>
        <w:tblLayout w:type="fixed"/>
      </w:tblPr>
      <w:tcPr>
        <w:tcBorders>
          <w:top w:val="nil"/>
          <w:left w:val="nil"/>
          <w:bottom w:val="nil"/>
          <w:right w:val="nil"/>
          <w:insideH w:val="single" w:sz="4" w:space="0"/>
          <w:insideV w:val="nil"/>
        </w:tcBorders>
        <w:shd w:val="clear" w:color="auto" w:fill="772C2A"/>
      </w:tcPr>
    </w:tblStylePr>
    <w:tblStylePr w:type="lastCol">
      <w:rPr>
        <w:color w:val="FFFFFF"/>
      </w:rPr>
      <w:tblPr>
        <w:tblLayout w:type="fixed"/>
      </w:tblPr>
      <w:tcPr>
        <w:tcBorders>
          <w:top w:val="nil"/>
          <w:left w:val="nil"/>
          <w:bottom w:val="nil"/>
          <w:right w:val="nil"/>
          <w:insideH w:val="nil"/>
          <w:insideV w:val="nil"/>
        </w:tcBorders>
        <w:shd w:val="clear" w:color="auto" w:fill="772C2A"/>
      </w:tcPr>
    </w:tblStylePr>
    <w:tblStylePr w:type="band1Vert">
      <w:tblPr>
        <w:tblLayout w:type="fixed"/>
      </w:tblPr>
      <w:tcPr>
        <w:shd w:val="clear" w:color="auto" w:fill="E5B8B7"/>
      </w:tcPr>
    </w:tblStylePr>
    <w:tblStylePr w:type="band1Horz">
      <w:tblPr>
        <w:tblLayout w:type="fixed"/>
      </w:tblPr>
      <w:tcPr>
        <w:shd w:val="clear" w:color="auto" w:fill="DFA7A6"/>
      </w:tcPr>
    </w:tblStylePr>
    <w:tblStylePr w:type="neCell">
      <w:rPr>
        <w:color w:val="000000"/>
      </w:rPr>
    </w:tblStylePr>
    <w:tblStylePr w:type="nwCell">
      <w:rPr>
        <w:color w:val="000000"/>
      </w:rPr>
    </w:tblStylePr>
  </w:style>
  <w:style w:type="table" w:styleId="119">
    <w:name w:val="Colorful Shading Accent 3"/>
    <w:basedOn w:val="37"/>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Layout w:type="fixed"/>
    </w:tblPr>
    <w:tcPr>
      <w:shd w:val="clear" w:color="auto" w:fill="F5F8EE"/>
    </w:tcPr>
    <w:tblStylePr w:type="firstRow">
      <w:rPr>
        <w:b/>
        <w:bCs/>
      </w:rPr>
      <w:tblPr>
        <w:tblLayout w:type="fixed"/>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5E7530"/>
      </w:tcPr>
    </w:tblStylePr>
    <w:tblStylePr w:type="firstCol">
      <w:rPr>
        <w:color w:val="FFFFFF"/>
      </w:rPr>
      <w:tblPr>
        <w:tblLayout w:type="fixed"/>
      </w:tblPr>
      <w:tcPr>
        <w:tcBorders>
          <w:top w:val="nil"/>
          <w:left w:val="nil"/>
          <w:bottom w:val="nil"/>
          <w:right w:val="nil"/>
          <w:insideH w:val="single" w:sz="4" w:space="0"/>
          <w:insideV w:val="nil"/>
        </w:tcBorders>
        <w:shd w:val="clear" w:color="auto" w:fill="5E7530"/>
      </w:tcPr>
    </w:tblStylePr>
    <w:tblStylePr w:type="lastCol">
      <w:rPr>
        <w:color w:val="FFFFFF"/>
      </w:rPr>
      <w:tblPr>
        <w:tblLayout w:type="fixed"/>
      </w:tblPr>
      <w:tcPr>
        <w:tcBorders>
          <w:top w:val="nil"/>
          <w:left w:val="nil"/>
          <w:bottom w:val="nil"/>
          <w:right w:val="nil"/>
          <w:insideH w:val="nil"/>
          <w:insideV w:val="nil"/>
        </w:tcBorders>
        <w:shd w:val="clear" w:color="auto" w:fill="5E7530"/>
      </w:tcPr>
    </w:tblStylePr>
    <w:tblStylePr w:type="band1Vert">
      <w:tblPr>
        <w:tblLayout w:type="fixed"/>
      </w:tblPr>
      <w:tcPr>
        <w:shd w:val="clear" w:color="auto" w:fill="D6E3BC"/>
      </w:tcPr>
    </w:tblStylePr>
    <w:tblStylePr w:type="band1Horz">
      <w:tblPr>
        <w:tblLayout w:type="fixed"/>
      </w:tblPr>
      <w:tcPr>
        <w:shd w:val="clear" w:color="auto" w:fill="CDDDAC"/>
      </w:tcPr>
    </w:tblStylePr>
  </w:style>
  <w:style w:type="table" w:styleId="120">
    <w:name w:val="Colorful Shading Accent 4"/>
    <w:basedOn w:val="37"/>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Layout w:type="fixed"/>
    </w:tblPr>
    <w:tcPr>
      <w:shd w:val="clear" w:color="auto" w:fill="F2EFF5"/>
    </w:tcPr>
    <w:tblStylePr w:type="firstRow">
      <w:rPr>
        <w:b/>
        <w:bCs/>
      </w:rPr>
      <w:tblPr>
        <w:tblLayout w:type="fixed"/>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4C3A62"/>
      </w:tcPr>
    </w:tblStylePr>
    <w:tblStylePr w:type="firstCol">
      <w:rPr>
        <w:color w:val="FFFFFF"/>
      </w:rPr>
      <w:tblPr>
        <w:tblLayout w:type="fixed"/>
      </w:tblPr>
      <w:tcPr>
        <w:tcBorders>
          <w:top w:val="nil"/>
          <w:left w:val="nil"/>
          <w:bottom w:val="nil"/>
          <w:right w:val="nil"/>
          <w:insideH w:val="single" w:sz="4" w:space="0"/>
          <w:insideV w:val="nil"/>
        </w:tcBorders>
        <w:shd w:val="clear" w:color="auto" w:fill="4C3A62"/>
      </w:tcPr>
    </w:tblStylePr>
    <w:tblStylePr w:type="lastCol">
      <w:rPr>
        <w:color w:val="FFFFFF"/>
      </w:rPr>
      <w:tblPr>
        <w:tblLayout w:type="fixed"/>
      </w:tblPr>
      <w:tcPr>
        <w:tcBorders>
          <w:top w:val="nil"/>
          <w:left w:val="nil"/>
          <w:bottom w:val="nil"/>
          <w:right w:val="nil"/>
          <w:insideH w:val="nil"/>
          <w:insideV w:val="nil"/>
        </w:tcBorders>
        <w:shd w:val="clear" w:color="auto" w:fill="4C3A62"/>
      </w:tcPr>
    </w:tblStylePr>
    <w:tblStylePr w:type="band1Vert">
      <w:tblPr>
        <w:tblLayout w:type="fixed"/>
      </w:tblPr>
      <w:tcPr>
        <w:shd w:val="clear" w:color="auto" w:fill="CCC0D9"/>
      </w:tcPr>
    </w:tblStylePr>
    <w:tblStylePr w:type="band1Horz">
      <w:tblPr>
        <w:tblLayout w:type="fixed"/>
      </w:tblPr>
      <w:tcPr>
        <w:shd w:val="clear" w:color="auto" w:fill="BFB1D0"/>
      </w:tcPr>
    </w:tblStylePr>
    <w:tblStylePr w:type="neCell">
      <w:rPr>
        <w:color w:val="000000"/>
      </w:rPr>
    </w:tblStylePr>
    <w:tblStylePr w:type="nwCell">
      <w:rPr>
        <w:color w:val="000000"/>
      </w:rPr>
    </w:tblStylePr>
  </w:style>
  <w:style w:type="table" w:styleId="121">
    <w:name w:val="Colorful Shading Accent 5"/>
    <w:basedOn w:val="37"/>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Layout w:type="fixed"/>
    </w:tblPr>
    <w:tcPr>
      <w:shd w:val="clear" w:color="auto" w:fill="EDF6F9"/>
    </w:tcPr>
    <w:tblStylePr w:type="firstRow">
      <w:rPr>
        <w:b/>
        <w:bCs/>
      </w:rPr>
      <w:tblPr>
        <w:tblLayout w:type="fixed"/>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276A7C"/>
      </w:tcPr>
    </w:tblStylePr>
    <w:tblStylePr w:type="firstCol">
      <w:rPr>
        <w:color w:val="FFFFFF"/>
      </w:rPr>
      <w:tblPr>
        <w:tblLayout w:type="fixed"/>
      </w:tblPr>
      <w:tcPr>
        <w:tcBorders>
          <w:top w:val="nil"/>
          <w:left w:val="nil"/>
          <w:bottom w:val="nil"/>
          <w:right w:val="nil"/>
          <w:insideH w:val="single" w:sz="4" w:space="0"/>
          <w:insideV w:val="nil"/>
        </w:tcBorders>
        <w:shd w:val="clear" w:color="auto" w:fill="276A7C"/>
      </w:tcPr>
    </w:tblStylePr>
    <w:tblStylePr w:type="lastCol">
      <w:rPr>
        <w:color w:val="FFFFFF"/>
      </w:rPr>
      <w:tblPr>
        <w:tblLayout w:type="fixed"/>
      </w:tblPr>
      <w:tcPr>
        <w:tcBorders>
          <w:top w:val="nil"/>
          <w:left w:val="nil"/>
          <w:bottom w:val="nil"/>
          <w:right w:val="nil"/>
          <w:insideH w:val="nil"/>
          <w:insideV w:val="nil"/>
        </w:tcBorders>
        <w:shd w:val="clear" w:color="auto" w:fill="276A7C"/>
      </w:tcPr>
    </w:tblStylePr>
    <w:tblStylePr w:type="band1Vert">
      <w:tblPr>
        <w:tblLayout w:type="fixed"/>
      </w:tblPr>
      <w:tcPr>
        <w:shd w:val="clear" w:color="auto" w:fill="B6DDE8"/>
      </w:tcPr>
    </w:tblStylePr>
    <w:tblStylePr w:type="band1Horz">
      <w:tblPr>
        <w:tblLayout w:type="fixed"/>
      </w:tblPr>
      <w:tcPr>
        <w:shd w:val="clear" w:color="auto" w:fill="A5D5E2"/>
      </w:tcPr>
    </w:tblStylePr>
    <w:tblStylePr w:type="neCell">
      <w:rPr>
        <w:color w:val="000000"/>
      </w:rPr>
    </w:tblStylePr>
    <w:tblStylePr w:type="nwCell">
      <w:rPr>
        <w:color w:val="000000"/>
      </w:rPr>
    </w:tblStylePr>
  </w:style>
  <w:style w:type="table" w:styleId="122">
    <w:name w:val="Colorful Shading Accent 6"/>
    <w:basedOn w:val="37"/>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Layout w:type="fixed"/>
    </w:tblPr>
    <w:tcPr>
      <w:shd w:val="clear" w:color="auto" w:fill="FEF4EC"/>
    </w:tcPr>
    <w:tblStylePr w:type="firstRow">
      <w:rPr>
        <w:b/>
        <w:bCs/>
      </w:rPr>
      <w:tblPr>
        <w:tblLayout w:type="fixed"/>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B65607"/>
      </w:tcPr>
    </w:tblStylePr>
    <w:tblStylePr w:type="firstCol">
      <w:rPr>
        <w:color w:val="FFFFFF"/>
      </w:rPr>
      <w:tblPr>
        <w:tblLayout w:type="fixed"/>
      </w:tblPr>
      <w:tcPr>
        <w:tcBorders>
          <w:top w:val="nil"/>
          <w:left w:val="nil"/>
          <w:bottom w:val="nil"/>
          <w:right w:val="nil"/>
          <w:insideH w:val="single" w:sz="4" w:space="0"/>
          <w:insideV w:val="nil"/>
        </w:tcBorders>
        <w:shd w:val="clear" w:color="auto" w:fill="B65607"/>
      </w:tcPr>
    </w:tblStylePr>
    <w:tblStylePr w:type="lastCol">
      <w:rPr>
        <w:color w:val="FFFFFF"/>
      </w:rPr>
      <w:tblPr>
        <w:tblLayout w:type="fixed"/>
      </w:tblPr>
      <w:tcPr>
        <w:tcBorders>
          <w:top w:val="nil"/>
          <w:left w:val="nil"/>
          <w:bottom w:val="nil"/>
          <w:right w:val="nil"/>
          <w:insideH w:val="nil"/>
          <w:insideV w:val="nil"/>
        </w:tcBorders>
        <w:shd w:val="clear" w:color="auto" w:fill="B65607"/>
      </w:tcPr>
    </w:tblStylePr>
    <w:tblStylePr w:type="band1Vert">
      <w:tblPr>
        <w:tblLayout w:type="fixed"/>
      </w:tblPr>
      <w:tcPr>
        <w:shd w:val="clear" w:color="auto" w:fill="FBD4B4"/>
      </w:tcPr>
    </w:tblStylePr>
    <w:tblStylePr w:type="band1Horz">
      <w:tblPr>
        <w:tblLayout w:type="fixed"/>
      </w:tblPr>
      <w:tcPr>
        <w:shd w:val="clear" w:color="auto" w:fill="FBCAA2"/>
      </w:tcPr>
    </w:tblStylePr>
    <w:tblStylePr w:type="neCell">
      <w:rPr>
        <w:color w:val="000000"/>
      </w:rPr>
    </w:tblStylePr>
    <w:tblStylePr w:type="nwCell">
      <w:rPr>
        <w:color w:val="000000"/>
      </w:rPr>
    </w:tblStylePr>
  </w:style>
  <w:style w:type="table" w:styleId="123">
    <w:name w:val="Colorful List"/>
    <w:basedOn w:val="37"/>
    <w:qFormat/>
    <w:uiPriority w:val="72"/>
    <w:rPr>
      <w:color w:val="000000"/>
    </w:rPr>
    <w:tblPr>
      <w:tblLayout w:type="fixed"/>
    </w:tblPr>
    <w:tcPr>
      <w:shd w:val="clear" w:color="auto" w:fill="E5E5E5"/>
    </w:tcPr>
    <w:tblStylePr w:type="firstRow">
      <w:rPr>
        <w:b/>
        <w:bCs/>
        <w:color w:val="FFFFFF"/>
      </w:rPr>
      <w:tblPr>
        <w:tblLayout w:type="fixed"/>
      </w:tblPr>
      <w:tcPr>
        <w:tcBorders>
          <w:bottom w:val="single" w:color="FFFFFF" w:sz="12" w:space="0"/>
        </w:tcBorders>
        <w:shd w:val="clear" w:color="auto" w:fill="9E3A38"/>
      </w:tcPr>
    </w:tblStylePr>
    <w:tblStylePr w:type="lastRow">
      <w:rPr>
        <w:b/>
        <w:bCs/>
        <w:color w:val="9F3B38"/>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cPr>
    </w:tblStylePr>
    <w:tblStylePr w:type="band1Horz">
      <w:tblPr>
        <w:tblLayout w:type="fixed"/>
      </w:tblPr>
      <w:tcPr>
        <w:shd w:val="clear" w:color="auto" w:fill="CCCCCC"/>
      </w:tcPr>
    </w:tblStylePr>
  </w:style>
  <w:style w:type="table" w:styleId="124">
    <w:name w:val="Colorful List Accent 1"/>
    <w:basedOn w:val="37"/>
    <w:qFormat/>
    <w:uiPriority w:val="72"/>
    <w:rPr>
      <w:color w:val="000000"/>
    </w:rPr>
    <w:tblPr>
      <w:tblLayout w:type="fixed"/>
    </w:tblPr>
    <w:tcPr>
      <w:shd w:val="clear" w:color="auto" w:fill="EDF2F8"/>
    </w:tcPr>
    <w:tblStylePr w:type="firstRow">
      <w:rPr>
        <w:b/>
        <w:bCs/>
        <w:color w:val="FFFFFF"/>
      </w:rPr>
      <w:tblPr>
        <w:tblLayout w:type="fixed"/>
      </w:tblPr>
      <w:tcPr>
        <w:tcBorders>
          <w:bottom w:val="single" w:color="FFFFFF" w:sz="12" w:space="0"/>
        </w:tcBorders>
        <w:shd w:val="clear" w:color="auto" w:fill="9E3A38"/>
      </w:tcPr>
    </w:tblStylePr>
    <w:tblStylePr w:type="lastRow">
      <w:rPr>
        <w:b/>
        <w:bCs/>
        <w:color w:val="9F3B38"/>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cPr>
    </w:tblStylePr>
    <w:tblStylePr w:type="band1Horz">
      <w:tblPr>
        <w:tblLayout w:type="fixed"/>
      </w:tblPr>
      <w:tcPr>
        <w:shd w:val="clear" w:color="auto" w:fill="DBE5F1"/>
      </w:tcPr>
    </w:tblStylePr>
  </w:style>
  <w:style w:type="table" w:styleId="125">
    <w:name w:val="Colorful List Accent 2"/>
    <w:basedOn w:val="37"/>
    <w:qFormat/>
    <w:uiPriority w:val="72"/>
    <w:rPr>
      <w:color w:val="000000"/>
    </w:rPr>
    <w:tblPr>
      <w:tblLayout w:type="fixed"/>
    </w:tblPr>
    <w:tcPr>
      <w:shd w:val="clear" w:color="auto" w:fill="F8EDED"/>
    </w:tcPr>
    <w:tblStylePr w:type="firstRow">
      <w:rPr>
        <w:b/>
        <w:bCs/>
        <w:color w:val="FFFFFF"/>
      </w:rPr>
      <w:tblPr>
        <w:tblLayout w:type="fixed"/>
      </w:tblPr>
      <w:tcPr>
        <w:tcBorders>
          <w:bottom w:val="single" w:color="FFFFFF" w:sz="12" w:space="0"/>
        </w:tcBorders>
        <w:shd w:val="clear" w:color="auto" w:fill="9E3A38"/>
      </w:tcPr>
    </w:tblStylePr>
    <w:tblStylePr w:type="lastRow">
      <w:rPr>
        <w:b/>
        <w:bCs/>
        <w:color w:val="9F3B38"/>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cPr>
    </w:tblStylePr>
    <w:tblStylePr w:type="band1Horz">
      <w:tblPr>
        <w:tblLayout w:type="fixed"/>
      </w:tblPr>
      <w:tcPr>
        <w:shd w:val="clear" w:color="auto" w:fill="F2DBDB"/>
      </w:tcPr>
    </w:tblStylePr>
  </w:style>
  <w:style w:type="table" w:styleId="126">
    <w:name w:val="Colorful List Accent 3"/>
    <w:basedOn w:val="37"/>
    <w:qFormat/>
    <w:uiPriority w:val="72"/>
    <w:rPr>
      <w:color w:val="000000"/>
    </w:rPr>
    <w:tblPr>
      <w:tblLayout w:type="fixed"/>
    </w:tblPr>
    <w:tcPr>
      <w:shd w:val="clear" w:color="auto" w:fill="F5F8EE"/>
    </w:tcPr>
    <w:tblStylePr w:type="firstRow">
      <w:rPr>
        <w:b/>
        <w:bCs/>
        <w:color w:val="FFFFFF"/>
      </w:rPr>
      <w:tblPr>
        <w:tblLayout w:type="fixed"/>
      </w:tblPr>
      <w:tcPr>
        <w:tcBorders>
          <w:bottom w:val="single" w:color="FFFFFF" w:sz="12" w:space="0"/>
        </w:tcBorders>
        <w:shd w:val="clear" w:color="auto" w:fill="664E82"/>
      </w:tcPr>
    </w:tblStylePr>
    <w:tblStylePr w:type="lastRow">
      <w:rPr>
        <w:b/>
        <w:bCs/>
        <w:color w:val="664F83"/>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cPr>
    </w:tblStylePr>
    <w:tblStylePr w:type="band1Horz">
      <w:tblPr>
        <w:tblLayout w:type="fixed"/>
      </w:tblPr>
      <w:tcPr>
        <w:shd w:val="clear" w:color="auto" w:fill="EAF1DD"/>
      </w:tcPr>
    </w:tblStylePr>
  </w:style>
  <w:style w:type="table" w:styleId="127">
    <w:name w:val="Colorful List Accent 4"/>
    <w:basedOn w:val="37"/>
    <w:qFormat/>
    <w:uiPriority w:val="72"/>
    <w:rPr>
      <w:color w:val="000000"/>
    </w:rPr>
    <w:tblPr>
      <w:tblLayout w:type="fixed"/>
    </w:tblPr>
    <w:tcPr>
      <w:shd w:val="clear" w:color="auto" w:fill="F2EFF5"/>
    </w:tcPr>
    <w:tblStylePr w:type="firstRow">
      <w:rPr>
        <w:b/>
        <w:bCs/>
        <w:color w:val="FFFFFF"/>
      </w:rPr>
      <w:tblPr>
        <w:tblLayout w:type="fixed"/>
      </w:tblPr>
      <w:tcPr>
        <w:tcBorders>
          <w:bottom w:val="single" w:color="FFFFFF" w:sz="12" w:space="0"/>
        </w:tcBorders>
        <w:shd w:val="clear" w:color="auto" w:fill="7E9C40"/>
      </w:tcPr>
    </w:tblStylePr>
    <w:tblStylePr w:type="lastRow">
      <w:rPr>
        <w:b/>
        <w:bCs/>
        <w:color w:val="7E9D40"/>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cPr>
    </w:tblStylePr>
    <w:tblStylePr w:type="band1Horz">
      <w:tblPr>
        <w:tblLayout w:type="fixed"/>
      </w:tblPr>
      <w:tcPr>
        <w:shd w:val="clear" w:color="auto" w:fill="E5DFEC"/>
      </w:tcPr>
    </w:tblStylePr>
  </w:style>
  <w:style w:type="table" w:styleId="128">
    <w:name w:val="Colorful List Accent 5"/>
    <w:basedOn w:val="37"/>
    <w:qFormat/>
    <w:uiPriority w:val="72"/>
    <w:rPr>
      <w:color w:val="000000"/>
    </w:rPr>
    <w:tblPr>
      <w:tblLayout w:type="fixed"/>
    </w:tblPr>
    <w:tcPr>
      <w:shd w:val="clear" w:color="auto" w:fill="EDF6F9"/>
    </w:tcPr>
    <w:tblStylePr w:type="firstRow">
      <w:rPr>
        <w:b/>
        <w:bCs/>
        <w:color w:val="FFFFFF"/>
      </w:rPr>
      <w:tblPr>
        <w:tblLayout w:type="fixed"/>
      </w:tblPr>
      <w:tcPr>
        <w:tcBorders>
          <w:bottom w:val="single" w:color="FFFFFF" w:sz="12" w:space="0"/>
        </w:tcBorders>
        <w:shd w:val="clear" w:color="auto" w:fill="F3730A"/>
      </w:tcPr>
    </w:tblStylePr>
    <w:tblStylePr w:type="lastRow">
      <w:rPr>
        <w:b/>
        <w:bCs/>
        <w:color w:val="F3740B"/>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cPr>
    </w:tblStylePr>
    <w:tblStylePr w:type="band1Horz">
      <w:tblPr>
        <w:tblLayout w:type="fixed"/>
      </w:tblPr>
      <w:tcPr>
        <w:shd w:val="clear" w:color="auto" w:fill="DAEEF3"/>
      </w:tcPr>
    </w:tblStylePr>
  </w:style>
  <w:style w:type="table" w:styleId="129">
    <w:name w:val="Colorful List Accent 6"/>
    <w:basedOn w:val="37"/>
    <w:qFormat/>
    <w:uiPriority w:val="72"/>
    <w:rPr>
      <w:color w:val="000000"/>
    </w:rPr>
    <w:tblPr>
      <w:tblLayout w:type="fixed"/>
    </w:tblPr>
    <w:tcPr>
      <w:shd w:val="clear" w:color="auto" w:fill="FEF4EC"/>
    </w:tcPr>
    <w:tblStylePr w:type="firstRow">
      <w:rPr>
        <w:b/>
        <w:bCs/>
        <w:color w:val="FFFFFF"/>
      </w:rPr>
      <w:tblPr>
        <w:tblLayout w:type="fixed"/>
      </w:tblPr>
      <w:tcPr>
        <w:tcBorders>
          <w:bottom w:val="single" w:color="FFFFFF" w:sz="12" w:space="0"/>
        </w:tcBorders>
        <w:shd w:val="clear" w:color="auto" w:fill="348DA5"/>
      </w:tcPr>
    </w:tblStylePr>
    <w:tblStylePr w:type="lastRow">
      <w:rPr>
        <w:b/>
        <w:bCs/>
        <w:color w:val="358EA6"/>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cPr>
    </w:tblStylePr>
    <w:tblStylePr w:type="band1Horz">
      <w:tblPr>
        <w:tblLayout w:type="fixed"/>
      </w:tblPr>
      <w:tcPr>
        <w:shd w:val="clear" w:color="auto" w:fill="FDE9D9"/>
      </w:tcPr>
    </w:tblStylePr>
  </w:style>
  <w:style w:type="table" w:styleId="130">
    <w:name w:val="Colorful Grid"/>
    <w:basedOn w:val="37"/>
    <w:qFormat/>
    <w:uiPriority w:val="73"/>
    <w:rPr>
      <w:color w:val="000000"/>
    </w:rPr>
    <w:tblPr>
      <w:tblBorders>
        <w:insideH w:val="single" w:color="FFFFFF" w:sz="4" w:space="0"/>
      </w:tblBorders>
      <w:tblLayout w:type="fixed"/>
    </w:tblPr>
    <w:tcPr>
      <w:shd w:val="clear" w:color="auto" w:fill="CCCCCC"/>
    </w:tcPr>
    <w:tblStylePr w:type="firstRow">
      <w:rPr>
        <w:b/>
        <w:bCs/>
      </w:rPr>
      <w:tblPr>
        <w:tblLayout w:type="fixed"/>
      </w:tblPr>
      <w:tcPr>
        <w:shd w:val="clear" w:color="auto" w:fill="999999"/>
      </w:tcPr>
    </w:tblStylePr>
    <w:tblStylePr w:type="lastRow">
      <w:rPr>
        <w:b/>
        <w:bCs/>
        <w:color w:val="000000"/>
      </w:rPr>
      <w:tblPr>
        <w:tblLayout w:type="fixed"/>
      </w:tblPr>
      <w:tcPr>
        <w:shd w:val="clear" w:color="auto" w:fill="999999"/>
      </w:tcPr>
    </w:tblStylePr>
    <w:tblStylePr w:type="firstCol">
      <w:rPr>
        <w:color w:val="FFFFFF"/>
      </w:rPr>
      <w:tblPr>
        <w:tblLayout w:type="fixed"/>
      </w:tblPr>
      <w:tcPr>
        <w:shd w:val="clear" w:color="auto" w:fill="000000"/>
      </w:tcPr>
    </w:tblStylePr>
    <w:tblStylePr w:type="lastCol">
      <w:rPr>
        <w:color w:val="FFFFFF"/>
      </w:rPr>
      <w:tblPr>
        <w:tblLayout w:type="fixed"/>
      </w:tblPr>
      <w:tcPr>
        <w:shd w:val="clear" w:color="auto" w:fill="000000"/>
      </w:tcPr>
    </w:tblStylePr>
    <w:tblStylePr w:type="band1Vert">
      <w:tblPr>
        <w:tblLayout w:type="fixed"/>
      </w:tblPr>
      <w:tcPr>
        <w:shd w:val="clear" w:color="auto" w:fill="7F7F7F"/>
      </w:tcPr>
    </w:tblStylePr>
    <w:tblStylePr w:type="band1Horz">
      <w:tblPr>
        <w:tblLayout w:type="fixed"/>
      </w:tblPr>
      <w:tcPr>
        <w:shd w:val="clear" w:color="auto" w:fill="7F7F7F"/>
      </w:tcPr>
    </w:tblStylePr>
  </w:style>
  <w:style w:type="table" w:styleId="131">
    <w:name w:val="Colorful Grid Accent 1"/>
    <w:basedOn w:val="37"/>
    <w:qFormat/>
    <w:uiPriority w:val="73"/>
    <w:rPr>
      <w:color w:val="000000"/>
    </w:rPr>
    <w:tblPr>
      <w:tblBorders>
        <w:insideH w:val="single" w:color="FFFFFF" w:sz="4" w:space="0"/>
      </w:tblBorders>
      <w:tblLayout w:type="fixed"/>
    </w:tblPr>
    <w:tcPr>
      <w:shd w:val="clear" w:color="auto" w:fill="DBE5F1"/>
    </w:tcPr>
    <w:tblStylePr w:type="firstRow">
      <w:rPr>
        <w:b/>
        <w:bCs/>
      </w:rPr>
      <w:tblPr>
        <w:tblLayout w:type="fixed"/>
      </w:tblPr>
      <w:tcPr>
        <w:shd w:val="clear" w:color="auto" w:fill="B8CCE4"/>
      </w:tcPr>
    </w:tblStylePr>
    <w:tblStylePr w:type="lastRow">
      <w:rPr>
        <w:b/>
        <w:bCs/>
        <w:color w:val="000000"/>
      </w:rPr>
      <w:tblPr>
        <w:tblLayout w:type="fixed"/>
      </w:tblPr>
      <w:tcPr>
        <w:shd w:val="clear" w:color="auto" w:fill="B8CCE4"/>
      </w:tcPr>
    </w:tblStylePr>
    <w:tblStylePr w:type="firstCol">
      <w:rPr>
        <w:color w:val="FFFFFF"/>
      </w:rPr>
      <w:tblPr>
        <w:tblLayout w:type="fixed"/>
      </w:tblPr>
      <w:tcPr>
        <w:shd w:val="clear" w:color="auto" w:fill="366091"/>
      </w:tcPr>
    </w:tblStylePr>
    <w:tblStylePr w:type="lastCol">
      <w:rPr>
        <w:color w:val="FFFFFF"/>
      </w:rPr>
      <w:tblPr>
        <w:tblLayout w:type="fixed"/>
      </w:tblPr>
      <w:tcPr>
        <w:shd w:val="clear" w:color="auto" w:fill="366091"/>
      </w:tcPr>
    </w:tblStylePr>
    <w:tblStylePr w:type="band1Vert">
      <w:tblPr>
        <w:tblLayout w:type="fixed"/>
      </w:tblPr>
      <w:tcPr>
        <w:shd w:val="clear" w:color="auto" w:fill="A7C0DE"/>
      </w:tcPr>
    </w:tblStylePr>
    <w:tblStylePr w:type="band1Horz">
      <w:tblPr>
        <w:tblLayout w:type="fixed"/>
      </w:tblPr>
      <w:tcPr>
        <w:shd w:val="clear" w:color="auto" w:fill="A7C0DE"/>
      </w:tcPr>
    </w:tblStylePr>
  </w:style>
  <w:style w:type="table" w:styleId="132">
    <w:name w:val="Colorful Grid Accent 2"/>
    <w:basedOn w:val="37"/>
    <w:qFormat/>
    <w:uiPriority w:val="73"/>
    <w:rPr>
      <w:color w:val="000000"/>
    </w:rPr>
    <w:tblPr>
      <w:tblBorders>
        <w:insideH w:val="single" w:color="FFFFFF" w:sz="4" w:space="0"/>
      </w:tblBorders>
      <w:tblLayout w:type="fixed"/>
    </w:tblPr>
    <w:tcPr>
      <w:shd w:val="clear" w:color="auto" w:fill="F2DBDB"/>
    </w:tcPr>
    <w:tblStylePr w:type="firstRow">
      <w:rPr>
        <w:b/>
        <w:bCs/>
      </w:rPr>
      <w:tblPr>
        <w:tblLayout w:type="fixed"/>
      </w:tblPr>
      <w:tcPr>
        <w:shd w:val="clear" w:color="auto" w:fill="E5B8B7"/>
      </w:tcPr>
    </w:tblStylePr>
    <w:tblStylePr w:type="lastRow">
      <w:rPr>
        <w:b/>
        <w:bCs/>
        <w:color w:val="000000"/>
      </w:rPr>
      <w:tblPr>
        <w:tblLayout w:type="fixed"/>
      </w:tblPr>
      <w:tcPr>
        <w:shd w:val="clear" w:color="auto" w:fill="E5B8B7"/>
      </w:tcPr>
    </w:tblStylePr>
    <w:tblStylePr w:type="firstCol">
      <w:rPr>
        <w:color w:val="FFFFFF"/>
      </w:rPr>
      <w:tblPr>
        <w:tblLayout w:type="fixed"/>
      </w:tblPr>
      <w:tcPr>
        <w:shd w:val="clear" w:color="auto" w:fill="943734"/>
      </w:tcPr>
    </w:tblStylePr>
    <w:tblStylePr w:type="lastCol">
      <w:rPr>
        <w:color w:val="FFFFFF"/>
      </w:rPr>
      <w:tblPr>
        <w:tblLayout w:type="fixed"/>
      </w:tblPr>
      <w:tcPr>
        <w:shd w:val="clear" w:color="auto" w:fill="943734"/>
      </w:tcPr>
    </w:tblStylePr>
    <w:tblStylePr w:type="band1Vert">
      <w:tblPr>
        <w:tblLayout w:type="fixed"/>
      </w:tblPr>
      <w:tcPr>
        <w:shd w:val="clear" w:color="auto" w:fill="DFA7A6"/>
      </w:tcPr>
    </w:tblStylePr>
    <w:tblStylePr w:type="band1Horz">
      <w:tblPr>
        <w:tblLayout w:type="fixed"/>
      </w:tblPr>
      <w:tcPr>
        <w:shd w:val="clear" w:color="auto" w:fill="DFA7A6"/>
      </w:tcPr>
    </w:tblStylePr>
  </w:style>
  <w:style w:type="table" w:styleId="133">
    <w:name w:val="Colorful Grid Accent 3"/>
    <w:basedOn w:val="37"/>
    <w:qFormat/>
    <w:uiPriority w:val="73"/>
    <w:rPr>
      <w:color w:val="000000"/>
    </w:rPr>
    <w:tblPr>
      <w:tblBorders>
        <w:insideH w:val="single" w:color="FFFFFF" w:sz="4" w:space="0"/>
      </w:tblBorders>
      <w:tblLayout w:type="fixed"/>
    </w:tblPr>
    <w:tcPr>
      <w:shd w:val="clear" w:color="auto" w:fill="EAF1DD"/>
    </w:tcPr>
    <w:tblStylePr w:type="firstRow">
      <w:rPr>
        <w:b/>
        <w:bCs/>
      </w:rPr>
      <w:tblPr>
        <w:tblLayout w:type="fixed"/>
      </w:tblPr>
      <w:tcPr>
        <w:shd w:val="clear" w:color="auto" w:fill="D6E3BC"/>
      </w:tcPr>
    </w:tblStylePr>
    <w:tblStylePr w:type="lastRow">
      <w:rPr>
        <w:b/>
        <w:bCs/>
        <w:color w:val="000000"/>
      </w:rPr>
      <w:tblPr>
        <w:tblLayout w:type="fixed"/>
      </w:tblPr>
      <w:tcPr>
        <w:shd w:val="clear" w:color="auto" w:fill="D6E3BC"/>
      </w:tcPr>
    </w:tblStylePr>
    <w:tblStylePr w:type="firstCol">
      <w:rPr>
        <w:color w:val="FFFFFF"/>
      </w:rPr>
      <w:tblPr>
        <w:tblLayout w:type="fixed"/>
      </w:tblPr>
      <w:tcPr>
        <w:shd w:val="clear" w:color="auto" w:fill="76923C"/>
      </w:tcPr>
    </w:tblStylePr>
    <w:tblStylePr w:type="lastCol">
      <w:rPr>
        <w:color w:val="FFFFFF"/>
      </w:rPr>
      <w:tblPr>
        <w:tblLayout w:type="fixed"/>
      </w:tblPr>
      <w:tcPr>
        <w:shd w:val="clear" w:color="auto" w:fill="76923C"/>
      </w:tcPr>
    </w:tblStylePr>
    <w:tblStylePr w:type="band1Vert">
      <w:tblPr>
        <w:tblLayout w:type="fixed"/>
      </w:tblPr>
      <w:tcPr>
        <w:shd w:val="clear" w:color="auto" w:fill="CDDDAC"/>
      </w:tcPr>
    </w:tblStylePr>
    <w:tblStylePr w:type="band1Horz">
      <w:tblPr>
        <w:tblLayout w:type="fixed"/>
      </w:tblPr>
      <w:tcPr>
        <w:shd w:val="clear" w:color="auto" w:fill="CDDDAC"/>
      </w:tcPr>
    </w:tblStylePr>
  </w:style>
  <w:style w:type="table" w:styleId="134">
    <w:name w:val="Colorful Grid Accent 4"/>
    <w:basedOn w:val="37"/>
    <w:qFormat/>
    <w:uiPriority w:val="73"/>
    <w:rPr>
      <w:color w:val="000000"/>
    </w:rPr>
    <w:tblPr>
      <w:tblBorders>
        <w:insideH w:val="single" w:color="FFFFFF" w:sz="4" w:space="0"/>
      </w:tblBorders>
      <w:tblLayout w:type="fixed"/>
    </w:tblPr>
    <w:tcPr>
      <w:shd w:val="clear" w:color="auto" w:fill="E5DFEC"/>
    </w:tcPr>
    <w:tblStylePr w:type="firstRow">
      <w:rPr>
        <w:b/>
        <w:bCs/>
      </w:rPr>
      <w:tblPr>
        <w:tblLayout w:type="fixed"/>
      </w:tblPr>
      <w:tcPr>
        <w:shd w:val="clear" w:color="auto" w:fill="CCC0D9"/>
      </w:tcPr>
    </w:tblStylePr>
    <w:tblStylePr w:type="lastRow">
      <w:rPr>
        <w:b/>
        <w:bCs/>
        <w:color w:val="000000"/>
      </w:rPr>
      <w:tblPr>
        <w:tblLayout w:type="fixed"/>
      </w:tblPr>
      <w:tcPr>
        <w:shd w:val="clear" w:color="auto" w:fill="CCC0D9"/>
      </w:tcPr>
    </w:tblStylePr>
    <w:tblStylePr w:type="firstCol">
      <w:rPr>
        <w:color w:val="FFFFFF"/>
      </w:rPr>
      <w:tblPr>
        <w:tblLayout w:type="fixed"/>
      </w:tblPr>
      <w:tcPr>
        <w:shd w:val="clear" w:color="auto" w:fill="5F497A"/>
      </w:tcPr>
    </w:tblStylePr>
    <w:tblStylePr w:type="lastCol">
      <w:rPr>
        <w:color w:val="FFFFFF"/>
      </w:rPr>
      <w:tblPr>
        <w:tblLayout w:type="fixed"/>
      </w:tblPr>
      <w:tcPr>
        <w:shd w:val="clear" w:color="auto" w:fill="5F497A"/>
      </w:tcPr>
    </w:tblStylePr>
    <w:tblStylePr w:type="band1Vert">
      <w:tblPr>
        <w:tblLayout w:type="fixed"/>
      </w:tblPr>
      <w:tcPr>
        <w:shd w:val="clear" w:color="auto" w:fill="BFB1D0"/>
      </w:tcPr>
    </w:tblStylePr>
    <w:tblStylePr w:type="band1Horz">
      <w:tblPr>
        <w:tblLayout w:type="fixed"/>
      </w:tblPr>
      <w:tcPr>
        <w:shd w:val="clear" w:color="auto" w:fill="BFB1D0"/>
      </w:tcPr>
    </w:tblStylePr>
  </w:style>
  <w:style w:type="table" w:styleId="135">
    <w:name w:val="Colorful Grid Accent 5"/>
    <w:basedOn w:val="37"/>
    <w:qFormat/>
    <w:uiPriority w:val="73"/>
    <w:rPr>
      <w:color w:val="000000"/>
    </w:rPr>
    <w:tblPr>
      <w:tblBorders>
        <w:insideH w:val="single" w:color="FFFFFF" w:sz="4" w:space="0"/>
      </w:tblBorders>
      <w:tblLayout w:type="fixed"/>
    </w:tblPr>
    <w:tcPr>
      <w:shd w:val="clear" w:color="auto" w:fill="DAEEF3"/>
    </w:tcPr>
    <w:tblStylePr w:type="firstRow">
      <w:rPr>
        <w:b/>
        <w:bCs/>
      </w:rPr>
      <w:tblPr>
        <w:tblLayout w:type="fixed"/>
      </w:tblPr>
      <w:tcPr>
        <w:shd w:val="clear" w:color="auto" w:fill="B6DDE8"/>
      </w:tcPr>
    </w:tblStylePr>
    <w:tblStylePr w:type="lastRow">
      <w:rPr>
        <w:b/>
        <w:bCs/>
        <w:color w:val="000000"/>
      </w:rPr>
      <w:tblPr>
        <w:tblLayout w:type="fixed"/>
      </w:tblPr>
      <w:tcPr>
        <w:shd w:val="clear" w:color="auto" w:fill="B6DDE8"/>
      </w:tcPr>
    </w:tblStylePr>
    <w:tblStylePr w:type="firstCol">
      <w:rPr>
        <w:color w:val="FFFFFF"/>
      </w:rPr>
      <w:tblPr>
        <w:tblLayout w:type="fixed"/>
      </w:tblPr>
      <w:tcPr>
        <w:shd w:val="clear" w:color="auto" w:fill="31849B"/>
      </w:tcPr>
    </w:tblStylePr>
    <w:tblStylePr w:type="lastCol">
      <w:rPr>
        <w:color w:val="FFFFFF"/>
      </w:rPr>
      <w:tblPr>
        <w:tblLayout w:type="fixed"/>
      </w:tblPr>
      <w:tcPr>
        <w:shd w:val="clear" w:color="auto" w:fill="31849B"/>
      </w:tcPr>
    </w:tblStylePr>
    <w:tblStylePr w:type="band1Vert">
      <w:tblPr>
        <w:tblLayout w:type="fixed"/>
      </w:tblPr>
      <w:tcPr>
        <w:shd w:val="clear" w:color="auto" w:fill="A5D5E2"/>
      </w:tcPr>
    </w:tblStylePr>
    <w:tblStylePr w:type="band1Horz">
      <w:tblPr>
        <w:tblLayout w:type="fixed"/>
      </w:tblPr>
      <w:tcPr>
        <w:shd w:val="clear" w:color="auto" w:fill="A5D5E2"/>
      </w:tcPr>
    </w:tblStylePr>
  </w:style>
  <w:style w:type="table" w:styleId="136">
    <w:name w:val="Colorful Grid Accent 6"/>
    <w:basedOn w:val="37"/>
    <w:qFormat/>
    <w:uiPriority w:val="73"/>
    <w:rPr>
      <w:color w:val="000000"/>
    </w:rPr>
    <w:tblPr>
      <w:tblBorders>
        <w:insideH w:val="single" w:color="FFFFFF" w:sz="4" w:space="0"/>
      </w:tblBorders>
      <w:tblLayout w:type="fixed"/>
    </w:tblPr>
    <w:tcPr>
      <w:shd w:val="clear" w:color="auto" w:fill="FDE9D9"/>
    </w:tcPr>
    <w:tblStylePr w:type="firstRow">
      <w:rPr>
        <w:b/>
        <w:bCs/>
      </w:rPr>
      <w:tblPr>
        <w:tblLayout w:type="fixed"/>
      </w:tblPr>
      <w:tcPr>
        <w:shd w:val="clear" w:color="auto" w:fill="FBD4B4"/>
      </w:tcPr>
    </w:tblStylePr>
    <w:tblStylePr w:type="lastRow">
      <w:rPr>
        <w:b/>
        <w:bCs/>
        <w:color w:val="000000"/>
      </w:rPr>
      <w:tblPr>
        <w:tblLayout w:type="fixed"/>
      </w:tblPr>
      <w:tcPr>
        <w:shd w:val="clear" w:color="auto" w:fill="FBD4B4"/>
      </w:tcPr>
    </w:tblStylePr>
    <w:tblStylePr w:type="firstCol">
      <w:rPr>
        <w:color w:val="FFFFFF"/>
      </w:rPr>
      <w:tblPr>
        <w:tblLayout w:type="fixed"/>
      </w:tblPr>
      <w:tcPr>
        <w:shd w:val="clear" w:color="auto" w:fill="E36C09"/>
      </w:tcPr>
    </w:tblStylePr>
    <w:tblStylePr w:type="lastCol">
      <w:rPr>
        <w:color w:val="FFFFFF"/>
      </w:rPr>
      <w:tblPr>
        <w:tblLayout w:type="fixed"/>
      </w:tblPr>
      <w:tcPr>
        <w:shd w:val="clear" w:color="auto" w:fill="E36C09"/>
      </w:tcPr>
    </w:tblStylePr>
    <w:tblStylePr w:type="band1Vert">
      <w:tblPr>
        <w:tblLayout w:type="fixed"/>
      </w:tblPr>
      <w:tcPr>
        <w:shd w:val="clear" w:color="auto" w:fill="FBCAA2"/>
      </w:tcPr>
    </w:tblStylePr>
    <w:tblStylePr w:type="band1Horz">
      <w:tblPr>
        <w:tblLayout w:type="fixed"/>
      </w:tblPr>
      <w:tcPr>
        <w:shd w:val="clear" w:color="auto" w:fill="FBCAA2"/>
      </w:tcPr>
    </w:tblStylePr>
  </w:style>
  <w:style w:type="character" w:customStyle="1" w:styleId="137">
    <w:name w:val="页眉 字符"/>
    <w:basedOn w:val="33"/>
    <w:link w:val="25"/>
    <w:qFormat/>
    <w:uiPriority w:val="99"/>
  </w:style>
  <w:style w:type="character" w:customStyle="1" w:styleId="138">
    <w:name w:val="页脚 字符"/>
    <w:basedOn w:val="33"/>
    <w:link w:val="24"/>
    <w:qFormat/>
    <w:uiPriority w:val="99"/>
  </w:style>
  <w:style w:type="paragraph" w:customStyle="1" w:styleId="139">
    <w:name w:val="No Spacing"/>
    <w:qFormat/>
    <w:uiPriority w:val="1"/>
    <w:rPr>
      <w:rFonts w:ascii="Cambria" w:hAnsi="Cambria" w:eastAsia="MS Mincho" w:cs="宋体"/>
      <w:sz w:val="22"/>
      <w:szCs w:val="22"/>
      <w:lang w:val="en-US" w:eastAsia="en-US" w:bidi="ar-SA"/>
    </w:rPr>
  </w:style>
  <w:style w:type="character" w:customStyle="1" w:styleId="140">
    <w:name w:val="标题 1 字符"/>
    <w:basedOn w:val="33"/>
    <w:link w:val="2"/>
    <w:qFormat/>
    <w:uiPriority w:val="9"/>
    <w:rPr>
      <w:rFonts w:ascii="Calibri" w:hAnsi="Calibri" w:eastAsia="MS Gothic" w:cs="宋体"/>
      <w:b/>
      <w:bCs/>
      <w:color w:val="376092"/>
      <w:sz w:val="28"/>
      <w:szCs w:val="28"/>
    </w:rPr>
  </w:style>
  <w:style w:type="character" w:customStyle="1" w:styleId="141">
    <w:name w:val="标题 2 字符"/>
    <w:basedOn w:val="33"/>
    <w:link w:val="4"/>
    <w:qFormat/>
    <w:uiPriority w:val="9"/>
    <w:rPr>
      <w:rFonts w:ascii="Calibri" w:hAnsi="Calibri" w:eastAsia="MS Gothic" w:cs="宋体"/>
      <w:b/>
      <w:bCs/>
      <w:color w:val="4F81BD"/>
      <w:sz w:val="26"/>
      <w:szCs w:val="26"/>
    </w:rPr>
  </w:style>
  <w:style w:type="character" w:customStyle="1" w:styleId="142">
    <w:name w:val="标题 3 字符"/>
    <w:basedOn w:val="33"/>
    <w:link w:val="5"/>
    <w:qFormat/>
    <w:uiPriority w:val="9"/>
    <w:rPr>
      <w:rFonts w:ascii="Calibri" w:hAnsi="Calibri" w:eastAsia="MS Gothic" w:cs="宋体"/>
      <w:b/>
      <w:bCs/>
      <w:color w:val="4F81BD"/>
    </w:rPr>
  </w:style>
  <w:style w:type="character" w:customStyle="1" w:styleId="143">
    <w:name w:val="标题 字符"/>
    <w:basedOn w:val="33"/>
    <w:link w:val="32"/>
    <w:qFormat/>
    <w:uiPriority w:val="10"/>
    <w:rPr>
      <w:rFonts w:ascii="Calibri" w:hAnsi="Calibri" w:eastAsia="MS Gothic" w:cs="宋体"/>
      <w:color w:val="17375E"/>
      <w:spacing w:val="5"/>
      <w:kern w:val="28"/>
      <w:sz w:val="52"/>
      <w:szCs w:val="52"/>
    </w:rPr>
  </w:style>
  <w:style w:type="character" w:customStyle="1" w:styleId="144">
    <w:name w:val="副标题 字符"/>
    <w:basedOn w:val="33"/>
    <w:link w:val="26"/>
    <w:qFormat/>
    <w:uiPriority w:val="11"/>
    <w:rPr>
      <w:rFonts w:ascii="Calibri" w:hAnsi="Calibri" w:eastAsia="MS Gothic" w:cs="宋体"/>
      <w:i/>
      <w:iCs/>
      <w:color w:val="4F81BD"/>
      <w:spacing w:val="15"/>
      <w:sz w:val="24"/>
      <w:szCs w:val="24"/>
    </w:rPr>
  </w:style>
  <w:style w:type="paragraph" w:customStyle="1" w:styleId="145">
    <w:name w:val="List Paragraph"/>
    <w:basedOn w:val="1"/>
    <w:qFormat/>
    <w:uiPriority w:val="34"/>
    <w:pPr>
      <w:ind w:left="720"/>
      <w:contextualSpacing/>
    </w:pPr>
    <w:rPr>
      <w:rFonts w:ascii="Times New Roman" w:hAnsi="Times New Roman" w:cs="Times New Roman" w:eastAsia="Songti SC"/>
    </w:rPr>
  </w:style>
  <w:style w:type="character" w:customStyle="1" w:styleId="146">
    <w:name w:val="正文文本 字符"/>
    <w:basedOn w:val="33"/>
    <w:link w:val="3"/>
    <w:qFormat/>
    <w:uiPriority w:val="99"/>
  </w:style>
  <w:style w:type="character" w:customStyle="1" w:styleId="147">
    <w:name w:val="正文文本 2 字符"/>
    <w:basedOn w:val="33"/>
    <w:link w:val="28"/>
    <w:qFormat/>
    <w:uiPriority w:val="99"/>
  </w:style>
  <w:style w:type="character" w:customStyle="1" w:styleId="148">
    <w:name w:val="正文文本 3 字符"/>
    <w:basedOn w:val="33"/>
    <w:link w:val="18"/>
    <w:qFormat/>
    <w:uiPriority w:val="99"/>
    <w:rPr>
      <w:sz w:val="16"/>
      <w:szCs w:val="16"/>
    </w:rPr>
  </w:style>
  <w:style w:type="character" w:customStyle="1" w:styleId="149">
    <w:name w:val="宏文本 字符"/>
    <w:basedOn w:val="33"/>
    <w:link w:val="14"/>
    <w:qFormat/>
    <w:uiPriority w:val="99"/>
    <w:rPr>
      <w:rFonts w:ascii="Courier" w:hAnsi="Courier"/>
      <w:sz w:val="20"/>
      <w:szCs w:val="20"/>
    </w:rPr>
  </w:style>
  <w:style w:type="paragraph" w:customStyle="1" w:styleId="150">
    <w:name w:val="Quote"/>
    <w:basedOn w:val="1"/>
    <w:next w:val="1"/>
    <w:link w:val="151"/>
    <w:qFormat/>
    <w:uiPriority w:val="29"/>
    <w:rPr>
      <w:i/>
      <w:iCs/>
      <w:color w:val="000000"/>
    </w:rPr>
  </w:style>
  <w:style w:type="character" w:customStyle="1" w:styleId="151">
    <w:name w:val="引用 字符"/>
    <w:basedOn w:val="33"/>
    <w:link w:val="150"/>
    <w:qFormat/>
    <w:uiPriority w:val="29"/>
    <w:rPr>
      <w:i/>
      <w:iCs/>
      <w:color w:val="000000"/>
    </w:rPr>
  </w:style>
  <w:style w:type="character" w:customStyle="1" w:styleId="152">
    <w:name w:val="标题 4 字符"/>
    <w:basedOn w:val="33"/>
    <w:link w:val="6"/>
    <w:qFormat/>
    <w:uiPriority w:val="9"/>
    <w:rPr>
      <w:rFonts w:ascii="Calibri" w:hAnsi="Calibri" w:eastAsia="MS Gothic" w:cs="宋体"/>
      <w:b/>
      <w:bCs/>
      <w:i/>
      <w:iCs/>
      <w:color w:val="4F81BD"/>
    </w:rPr>
  </w:style>
  <w:style w:type="character" w:customStyle="1" w:styleId="153">
    <w:name w:val="标题 5 字符"/>
    <w:basedOn w:val="33"/>
    <w:link w:val="7"/>
    <w:qFormat/>
    <w:uiPriority w:val="9"/>
    <w:rPr>
      <w:rFonts w:ascii="Calibri" w:hAnsi="Calibri" w:eastAsia="MS Gothic" w:cs="宋体"/>
      <w:color w:val="254061"/>
    </w:rPr>
  </w:style>
  <w:style w:type="character" w:customStyle="1" w:styleId="154">
    <w:name w:val="标题 6 字符"/>
    <w:basedOn w:val="33"/>
    <w:link w:val="8"/>
    <w:qFormat/>
    <w:uiPriority w:val="9"/>
    <w:rPr>
      <w:rFonts w:ascii="Calibri" w:hAnsi="Calibri" w:eastAsia="MS Gothic" w:cs="宋体"/>
      <w:i/>
      <w:iCs/>
      <w:color w:val="254061"/>
    </w:rPr>
  </w:style>
  <w:style w:type="character" w:customStyle="1" w:styleId="155">
    <w:name w:val="标题 7 字符"/>
    <w:basedOn w:val="33"/>
    <w:link w:val="9"/>
    <w:qFormat/>
    <w:uiPriority w:val="9"/>
    <w:rPr>
      <w:rFonts w:ascii="Calibri" w:hAnsi="Calibri" w:eastAsia="MS Gothic" w:cs="宋体"/>
      <w:i/>
      <w:iCs/>
      <w:color w:val="3F3F3F"/>
    </w:rPr>
  </w:style>
  <w:style w:type="character" w:customStyle="1" w:styleId="156">
    <w:name w:val="标题 8 字符"/>
    <w:basedOn w:val="33"/>
    <w:link w:val="10"/>
    <w:qFormat/>
    <w:uiPriority w:val="9"/>
    <w:rPr>
      <w:rFonts w:ascii="Calibri" w:hAnsi="Calibri" w:eastAsia="MS Gothic" w:cs="宋体"/>
      <w:color w:val="4F81BD"/>
      <w:sz w:val="20"/>
      <w:szCs w:val="20"/>
    </w:rPr>
  </w:style>
  <w:style w:type="character" w:customStyle="1" w:styleId="157">
    <w:name w:val="标题 9 字符"/>
    <w:basedOn w:val="33"/>
    <w:link w:val="11"/>
    <w:qFormat/>
    <w:uiPriority w:val="9"/>
    <w:rPr>
      <w:rFonts w:ascii="Calibri" w:hAnsi="Calibri" w:eastAsia="MS Gothic" w:cs="宋体"/>
      <w:i/>
      <w:iCs/>
      <w:color w:val="3F3F3F"/>
      <w:sz w:val="20"/>
      <w:szCs w:val="20"/>
    </w:rPr>
  </w:style>
  <w:style w:type="paragraph" w:customStyle="1" w:styleId="158">
    <w:name w:val="Intense Quote"/>
    <w:basedOn w:val="1"/>
    <w:next w:val="1"/>
    <w:link w:val="159"/>
    <w:qFormat/>
    <w:uiPriority w:val="30"/>
    <w:pPr>
      <w:pBdr>
        <w:bottom w:val="single" w:color="4F81BD" w:sz="4" w:space="4"/>
      </w:pBdr>
      <w:spacing w:before="200" w:after="280"/>
      <w:ind w:left="936" w:right="936"/>
    </w:pPr>
    <w:rPr>
      <w:b/>
      <w:bCs/>
      <w:i/>
      <w:iCs/>
      <w:color w:val="4F81BD"/>
    </w:rPr>
  </w:style>
  <w:style w:type="character" w:customStyle="1" w:styleId="159">
    <w:name w:val="明显引用 字符"/>
    <w:basedOn w:val="33"/>
    <w:link w:val="158"/>
    <w:qFormat/>
    <w:uiPriority w:val="30"/>
    <w:rPr>
      <w:b/>
      <w:bCs/>
      <w:i/>
      <w:iCs/>
      <w:color w:val="4F81BD"/>
    </w:rPr>
  </w:style>
  <w:style w:type="character" w:customStyle="1" w:styleId="160">
    <w:name w:val="Subtle Emphasis_8654e2e6-70ff-4012-ac8e-ad8bf59d6130"/>
    <w:basedOn w:val="33"/>
    <w:qFormat/>
    <w:uiPriority w:val="19"/>
    <w:rPr>
      <w:i/>
      <w:iCs/>
      <w:color w:val="7F7F7F"/>
    </w:rPr>
  </w:style>
  <w:style w:type="character" w:customStyle="1" w:styleId="161">
    <w:name w:val="Intense Emphasis_66c6d0f5-06d9-4404-9aab-c203c247fffb"/>
    <w:basedOn w:val="33"/>
    <w:qFormat/>
    <w:uiPriority w:val="21"/>
    <w:rPr>
      <w:b/>
      <w:bCs/>
      <w:i/>
      <w:iCs/>
      <w:color w:val="4F81BD"/>
    </w:rPr>
  </w:style>
  <w:style w:type="character" w:customStyle="1" w:styleId="162">
    <w:name w:val="Subtle Reference_b1dfde2b-f866-4bb5-8ad5-ae65d6657279"/>
    <w:basedOn w:val="33"/>
    <w:qFormat/>
    <w:uiPriority w:val="31"/>
    <w:rPr>
      <w:smallCaps/>
      <w:color w:val="C0504D"/>
      <w:u w:val="single"/>
    </w:rPr>
  </w:style>
  <w:style w:type="character" w:customStyle="1" w:styleId="163">
    <w:name w:val="Intense Reference_c39c7994-0c97-4336-9223-42dbda9ccecb"/>
    <w:basedOn w:val="33"/>
    <w:qFormat/>
    <w:uiPriority w:val="32"/>
    <w:rPr>
      <w:b/>
      <w:bCs/>
      <w:smallCaps/>
      <w:color w:val="C0504D"/>
      <w:spacing w:val="5"/>
      <w:u w:val="single"/>
    </w:rPr>
  </w:style>
  <w:style w:type="character" w:customStyle="1" w:styleId="164">
    <w:name w:val="Book Title_1056cdc9-5dfc-4240-afe0-a77124d5c0af"/>
    <w:basedOn w:val="33"/>
    <w:qFormat/>
    <w:uiPriority w:val="33"/>
    <w:rPr>
      <w:b/>
      <w:bCs/>
      <w:smallCaps/>
      <w:spacing w:val="5"/>
    </w:rPr>
  </w:style>
  <w:style w:type="paragraph" w:customStyle="1" w:styleId="165">
    <w:name w:val="TOC Heading_f2308d2e-d534-4f45-81cc-3a6290890522"/>
    <w:basedOn w:val="2"/>
    <w:next w:val="1"/>
    <w:qFormat/>
    <w:uiPriority w:val="39"/>
    <w:pPr>
      <w:outlineLvl w:val="9"/>
    </w:pPr>
  </w:style>
  <w:style w:type="paragraph" w:customStyle="1" w:styleId="166">
    <w:name w:val="DirTitle"/>
    <w:qFormat/>
    <w:uiPriority w:val="0"/>
    <w:pPr>
      <w:spacing w:after="360" w:line="360" w:lineRule="auto"/>
    </w:pPr>
    <w:rPr>
      <w:rFonts w:ascii="Times New Roman" w:hAnsi="Times New Roman" w:eastAsia="黑体" w:cs="宋体"/>
      <w:b/>
      <w:sz w:val="36"/>
      <w:szCs w:val="22"/>
      <w:lang w:val="en-US" w:eastAsia="en-US" w:bidi="ar-SA"/>
    </w:rPr>
  </w:style>
  <w:style w:type="paragraph" w:customStyle="1" w:styleId="167">
    <w:name w:val="DirLevel1"/>
    <w:qFormat/>
    <w:uiPriority w:val="0"/>
    <w:pPr>
      <w:spacing w:before="160" w:after="80" w:line="360" w:lineRule="auto"/>
    </w:pPr>
    <w:rPr>
      <w:rFonts w:ascii="Times New Roman" w:hAnsi="Times New Roman" w:eastAsia="黑体" w:cs="宋体"/>
      <w:b/>
      <w:sz w:val="26"/>
      <w:szCs w:val="22"/>
      <w:lang w:val="en-US" w:eastAsia="en-US" w:bidi="ar-SA"/>
    </w:rPr>
  </w:style>
  <w:style w:type="paragraph" w:customStyle="1" w:styleId="168">
    <w:name w:val="DirLevel2"/>
    <w:qFormat/>
    <w:uiPriority w:val="0"/>
    <w:pPr>
      <w:spacing w:before="40" w:after="40" w:line="360" w:lineRule="auto"/>
      <w:ind w:left="420"/>
    </w:pPr>
    <w:rPr>
      <w:rFonts w:ascii="Times New Roman" w:hAnsi="Times New Roman" w:eastAsia="宋体" w:cs="宋体"/>
      <w:sz w:val="24"/>
      <w:szCs w:val="22"/>
      <w:lang w:val="en-US" w:eastAsia="en-US" w:bidi="ar-SA"/>
    </w:rPr>
  </w:style>
  <w:style w:type="paragraph" w:customStyle="1" w:styleId="169">
    <w:name w:val="DirLevel3"/>
    <w:qFormat/>
    <w:uiPriority w:val="0"/>
    <w:pPr>
      <w:spacing w:before="20" w:after="20" w:line="360" w:lineRule="auto"/>
      <w:ind w:left="839"/>
    </w:pPr>
    <w:rPr>
      <w:rFonts w:ascii="Times New Roman" w:hAnsi="Times New Roman" w:eastAsia="宋体" w:cs="宋体"/>
      <w:sz w:val="24"/>
      <w:szCs w:val="22"/>
      <w:lang w:val="en-US" w:eastAsia="en-US" w:bidi="ar-SA"/>
    </w:rPr>
  </w:style>
  <w:style w:type="paragraph" w:customStyle="1" w:styleId="170">
    <w:name w:val="First Paragraph"/>
    <w:basedOn w:val="3"/>
    <w:next w:val="3"/>
    <w:qFormat/>
    <w:uiPriority w:val="0"/>
    <w:pPr>
      <w:spacing w:after="0"/>
    </w:pPr>
    <w:rPr>
      <w:rFonts w:ascii="Times New Roman" w:hAnsi="Times New Roman" w:cs="Times New Roman" w:eastAsia="Songti SC"/>
    </w:rPr>
  </w:style>
  <w:style w:type="table" w:customStyle="1" w:styleId="171">
    <w:name w:val="Table"/>
    <w:qFormat/>
    <w:uiPriority w:val="0"/>
    <w:tblPr>
      <w:tblLayout w:type="fixed"/>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72">
    <w:name w:val="Compact"/>
    <w:basedOn w:val="3"/>
    <w:qFormat/>
    <w:uiPriority w:val="0"/>
    <w:pPr>
      <w:spacing w:before="36" w:after="36"/>
    </w:pPr>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5055</Words>
  <Characters>5615</Characters>
  <Lines>128</Lines>
  <Paragraphs>36</Paragraphs>
  <ScaleCrop>false</ScaleCrop>
  <LinksUpToDate>false</LinksUpToDate>
  <CharactersWithSpaces>5700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彭超辉</dc:creator>
  <dc:description>generated by python-docx</dc:description>
  <cp:lastModifiedBy>iPhone</cp:lastModifiedBy>
  <dcterms:modified xsi:type="dcterms:W3CDTF">2026-08-15T17:55:43Z</dcterms:modified>
  <dc:subject>论文目录</dc:subject>
  <dc:title>低空经济场景下的物流无人机调度算法——论文目录建议稿</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eyJoZGlkIjoiMDY0MjM2YTkxODliMTA0NWEzMjZiZjYxNzkyYjUxZTUiLCJ1c2VySWQiOiIxNzIyNzg5MzU3In0=</vt:lpwstr>
  </property>
  <property fmtid="{D5CDD505-2E9C-101B-9397-08002B2CF9AE}" pid="3" name="KSOProductBuildVer">
    <vt:lpwstr>2052-26.8.0</vt:lpwstr>
  </property>
  <property fmtid="{D5CDD505-2E9C-101B-9397-08002B2CF9AE}" pid="4" name="ICV">
    <vt:lpwstr>B0C673173607414180E4FDB1EF45B518_13</vt:lpwstr>
  </property>
</Properties>
</file>