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00"/>
        <w:jc w:val="center"/>
      </w:pPr>
      <w:r>
        <w:rPr>
          <w:rFonts w:ascii="黑体" w:hAnsi="黑体" w:eastAsia="黑体"/>
          <w:b/>
          <w:color w:val="17365D"/>
          <w:sz w:val="44"/>
        </w:rPr>
        <w:t>短样本与结构冲击下蓟州区旅游经济预测及政策优化</w:t>
      </w:r>
    </w:p>
    <w:p>
      <w:pPr>
        <w:jc w:val="center"/>
      </w:pPr>
      <w:r>
        <w:rPr>
          <w:rFonts w:ascii="宋体" w:hAnsi="宋体" w:eastAsia="宋体"/>
          <w:color w:val="5B6573"/>
          <w:sz w:val="26"/>
        </w:rPr>
        <w:t>旅游经济预测与政策优化研究</w:t>
      </w:r>
    </w:p>
    <w:p>
      <w:pPr>
        <w:spacing w:before="3800"/>
        <w:jc w:val="center"/>
      </w:pPr>
      <w:r>
        <w:rPr>
          <w:rFonts w:ascii="宋体" w:hAnsi="宋体" w:eastAsia="宋体"/>
          <w:sz w:val="22"/>
        </w:rPr>
        <w:t>匿名竞赛论文 · 2010—2030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widowControl/>
        <w:ind w:firstLine="418"/>
      </w:pPr>
      <w:r>
        <w:rPr>
          <w:rFonts w:ascii="宋体" w:hAnsi="宋体" w:eastAsia="宋体"/>
        </w:rPr>
        <w:t>针对蓟州区旅游经济数据年份短、统计口径并存、疫情造成结构断裂以及中期预测不确定性高的问题，本文构建“证据分级—保留缺口—多模型组合—条件情景—风险触发”的完整分析框架。首先，从蓟州区政府工作报告、统计公报、统计年鉴及天津市统计公报中整理2010—2025年旅游接待量、旅游直接收入、旅游综合收入、地区生产总值、第三产业增加值、社会消费品零售总额、居民收入、财政支出等观测；每条观测记录来源、证据等级、数值状态和口径说明。对无法核验的2020—2022年游客量以及2025年旅游年度实际值保留为空，不用插值制造“实际值”；由于缺少统一可比的区县旅游收入价格指数，正式建模采用名义综合收入，并显式披露限制。</w:t>
      </w:r>
    </w:p>
    <w:p>
      <w:pPr>
        <w:widowControl/>
        <w:ind w:firstLine="418"/>
      </w:pPr>
      <w:r>
        <w:rPr>
          <w:rFonts w:ascii="宋体" w:hAnsi="宋体" w:eastAsia="宋体"/>
        </w:rPr>
        <w:t>对问题一，比较指数、Logistic、Gompertz与含结构位移的分段对数线性模型。分段模型对游客量与综合收入的留一法RMSE分别为114.89万人次和6.64亿元，显著优于单一指数增长，说明长期恒定增速假设不适合结构冲击后的蓟州。对问题二，构建分段趋势、阻尼Holt和局部线性状态空间三个候选模型，采用滚动起点回测的逆RMSE权重进行组合，并用10,000次模型选择与残差联合模拟生成95%预测区间。结果显示：2026年游客量点预测为2830.18万人次，综合收入为249.72亿元；2030年分别为2910.88万人次和313.40亿元。游客量增长趋缓而客单消费继续提高；2030年区间较宽，反映短样本、缺失年份与模型结构差异，不能被理解为确定目标。</w:t>
      </w:r>
    </w:p>
    <w:p>
      <w:pPr>
        <w:widowControl/>
        <w:ind w:firstLine="418"/>
      </w:pPr>
      <w:r>
        <w:rPr>
          <w:rFonts w:ascii="宋体" w:hAnsi="宋体" w:eastAsia="宋体"/>
        </w:rPr>
        <w:t>对问题三，以收入恒等式“综合收入=游客量×单位游客消费”连接客流与消费，设置基准、乐观、悲观情景。2030年三种情景综合收入分别为313.40、401.13和297.92亿元。联合扰动的敏感性排序显示，一次性外部冲击、客源市场增长、过夜与消费能力、新业态、政策供给转化的重要性占比分别约为26.3%、22.4%、21.8%、15.8%和13.7%。据此提出核心客源精细运营、提升过夜率与客单消费、淡季与新业态扩容、项目绩效闭环和风险触发机制五项量化建议。本文同时提供可追溯数据集、模型代码、滚动回测、情景参数与复现说明。</w:t>
      </w:r>
    </w:p>
    <w:p>
      <w:pPr>
        <w:widowControl/>
        <w:ind w:firstLine="418"/>
      </w:pPr>
      <w:r>
        <w:rPr>
          <w:rFonts w:ascii="宋体" w:hAnsi="宋体" w:eastAsia="宋体"/>
        </w:rPr>
        <w:t>关键词：旅游经济；组合预测；状态空间模型；结构突变；情景分析；敏感性分析</w:t>
      </w:r>
    </w:p>
    <w:p>
      <w:pPr>
        <w:pStyle w:val="Heading1"/>
      </w:pPr>
      <w:r>
        <w:t>问题重述与技术结论</w:t>
      </w:r>
    </w:p>
    <w:p>
      <w:pPr>
        <w:pStyle w:val="Heading2"/>
      </w:pPr>
      <w:r>
        <w:t>研究任务</w:t>
      </w:r>
    </w:p>
    <w:p>
      <w:pPr>
        <w:widowControl/>
        <w:ind w:firstLine="418"/>
      </w:pPr>
      <w:r>
        <w:rPr>
          <w:rFonts w:ascii="宋体" w:hAnsi="宋体" w:eastAsia="宋体"/>
        </w:rPr>
        <w:t>题目要求围绕2010—2025年蓟州区旅游经济完成数据收集、清洗、规律识别、2026—2030年预测、三情景推演与政策建议。难点不是寻找一个拟合优度最高的曲线，而是在不足二十个年度观测、多个年份缺失、统计口径存在修订且疫情冲击不可重复的条件下，形成可解释、可复核、能量化不确定性的决策结论。</w:t>
      </w:r>
    </w:p>
    <w:p>
      <w:pPr>
        <w:pStyle w:val="Heading2"/>
      </w:pPr>
      <w:r>
        <w:t>结论先行</w:t>
      </w:r>
    </w:p>
    <w:p>
      <w:pPr>
        <w:widowControl/>
        <w:ind w:firstLine="418"/>
      </w:pPr>
      <w:r>
        <w:rPr>
          <w:rFonts w:ascii="宋体" w:hAnsi="宋体" w:eastAsia="宋体"/>
        </w:rPr>
        <w:t>本文的核心判断有三点。第一，2010—2019年旅游接待量和综合收入快速增长，但该轨迹不能无条件延续到2026年以后；疫情后的恢复水平与疫情前指数趋势之间存在显著缺口。第二，单一模型对未来结构的假设过强，滚动回测支持以阻尼Holt为主要权重，同时保留状态空间与分段趋势信息。第三，游客量在2026—2030年进入平台化增长，而综合收入仍可依靠消费深度增长；因此政策重点应从“唯客流”转向“客流质量、过夜消费、淡季产品和抗冲击能力”。</w:t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表1  正式组合预测（点预测及95%预测区间）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450"/>
        <w:gridCol w:w="1350"/>
        <w:gridCol w:w="1350"/>
        <w:gridCol w:w="1450"/>
        <w:gridCol w:w="1350"/>
        <w:gridCol w:w="1360"/>
      </w:tblGrid>
      <w:tr>
        <w:trPr>
          <w:cantSplit/>
          <w:tblHeader w:val="true"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年份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游客量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下限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上限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综合收入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下限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上限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万人次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万人次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万人次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亿元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亿元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亿元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2830.18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1910.92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3782.24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249.72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197.36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342.38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2861.16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1859.41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4295.02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262.95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204.59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399.65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2874.78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1839.82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4904.49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277.72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210.67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472.21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2904.12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1823.55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5620.40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293.41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213.39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559.48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2030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2910.88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1789.45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6429.37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313.40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217.69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666.24</w:t>
            </w:r>
          </w:p>
        </w:tc>
      </w:tr>
    </w:tbl>
    <w:p/>
    <w:p>
      <w:pPr>
        <w:pStyle w:val="Heading1"/>
      </w:pPr>
      <w:r>
        <w:t>数据体系：宁缺毋滥的可追溯年度库</w:t>
      </w:r>
    </w:p>
    <w:p>
      <w:pPr>
        <w:pStyle w:val="Heading2"/>
      </w:pPr>
      <w:r>
        <w:t>来源范围与证据分级</w:t>
      </w:r>
    </w:p>
    <w:p>
      <w:pPr>
        <w:widowControl/>
        <w:ind w:firstLine="418"/>
      </w:pPr>
      <w:r>
        <w:rPr>
          <w:rFonts w:ascii="宋体" w:hAnsi="宋体" w:eastAsia="宋体"/>
        </w:rPr>
        <w:t>数据主要来自蓟州区政府工作报告、国民经济和社会发展统计公报、天津统计年鉴区县表以及天津市统计公报。2024年蓟州区接待游客2643万人次、旅游综合收入221亿元，作为最近完整实际锚点；2025年公开材料给出目标而非完整年度实际，2026年工作报告又给出“十四五”累计量，但累计量不能唯一反推2025年，因此正式年度序列仍将2025年旅游实际值记为缺失。天津市2024年国内游客2.61亿人次、国内旅游收入2930.98亿元，可用于结构性对照而不直接替代区级值。</w:t>
      </w:r>
    </w:p>
    <w:p>
      <w:pPr>
        <w:widowControl/>
        <w:ind w:firstLine="418"/>
      </w:pPr>
      <w:r>
        <w:rPr>
          <w:rFonts w:ascii="宋体" w:hAnsi="宋体" w:eastAsia="宋体"/>
        </w:rPr>
        <w:t>证据等级分为三级：一级为政府网页正文、统计公报或年鉴表中的直接数值；二级为可由官方同比或修订表唯一反推的数值；三级为仅能在搜索摘要或已撤下附件中发现的旁证。主序列优先采用一级证据；仅在定义明确且反推唯一时使用二级；三级不进入正式预测训练。对同年同指标的初值和修订值，采用后期年鉴或后续统计表修订值，同时保留两条来源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data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图1  年度数据覆盖与关键缺口。深色表示存在可核验优选值；空白不等于零。</w:t>
      </w:r>
    </w:p>
    <w:p>
      <w:pPr>
        <w:widowControl/>
        <w:ind w:firstLine="418"/>
      </w:pPr>
      <w:r>
        <w:rPr>
          <w:rFonts w:ascii="宋体" w:hAnsi="宋体" w:eastAsia="宋体"/>
        </w:rPr>
        <w:t>图相应图表表明，游客量和综合收入各有12个年度可用观测，覆盖率75%；GDP覆盖率93.75%，第三产业增加值覆盖率68.75%。覆盖率差异意味着宏观变量不能机械地全部塞入年度回归，否则会在极小样本下产生严重自由度损失和选择偏差。因此，宏观与财政变量主要用于解释、交叉验证和情景设定，而不作为高维预测方程的强制输入。</w:t>
      </w:r>
    </w:p>
    <w:p>
      <w:pPr>
        <w:pStyle w:val="Heading2"/>
      </w:pPr>
      <w:r>
        <w:t>口径统一与清洗规则</w:t>
      </w:r>
    </w:p>
    <w:p>
      <w:pPr>
        <w:widowControl/>
        <w:ind w:firstLine="418"/>
      </w:pPr>
      <w:r>
        <w:rPr>
          <w:rFonts w:ascii="宋体" w:hAnsi="宋体" w:eastAsia="宋体"/>
        </w:rPr>
        <w:t>旅游接待量统一为万人次，旅游收入和地区经济指标统一为亿元，居民收入统一为元/人。严格区分“旅游直接收入”与“旅游综合收入”；题目要求的预测对象为综合收入。数据状态字段至少包含observed、observed_rounded、observed_revised、inferred_from_yoy、target和aggregate，目标值与累计值不作为年度实际训练样本。</w:t>
      </w:r>
    </w:p>
    <w:p>
      <w:pPr>
        <w:widowControl/>
        <w:ind w:firstLine="418"/>
      </w:pPr>
      <w:r>
        <w:rPr>
          <w:rFonts w:ascii="宋体" w:hAnsi="宋体" w:eastAsia="宋体"/>
        </w:rPr>
        <w:t>清洗遵循四条规则：一是空值保留，不把未公开等同于零；二是疫情年份缺失不做线性插值，因为插值会把真实冲击抹平；三是对同指标修订采用后值并保留来源链；四是派生指标通过公式计算。单位游客综合消费定义为</w:t>
      </w:r>
    </w:p>
    <w:p>
      <w:pPr>
        <w:jc w:val="center"/>
      </w:pPr>
      <w:r>
        <w:rPr>
          <w:rFonts w:ascii="Cambria Math" w:hAnsi="Cambria Math"/>
          <w:sz w:val="21"/>
        </w:rPr>
        <w:t>s_t=(R_t×10^4)/(V_t),</w:t>
      </w:r>
    </w:p>
    <w:p>
      <w:pPr>
        <w:widowControl/>
        <w:ind w:firstLine="418"/>
      </w:pPr>
      <w:r>
        <w:rPr>
          <w:rFonts w:ascii="宋体" w:hAnsi="宋体" w:eastAsia="宋体"/>
        </w:rPr>
        <w:t>其中R_t为亿元、V_t为万人次，故s_t单位为元/人次。旅游综合收入占GDP比重为R_t/G_t。由于未找到2010—2025年定义一致且可复核的区县旅游收入价格指数，不构造伪“实际收入”，正式结果明确为名义值。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historical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图2  旅游接待量与综合收入历史趋势（2010=100）。断线代表缺失实际值。</w:t>
      </w:r>
    </w:p>
    <w:p>
      <w:pPr>
        <w:widowControl/>
        <w:ind w:firstLine="418"/>
      </w:pPr>
      <w:r>
        <w:rPr>
          <w:rFonts w:ascii="宋体" w:hAnsi="宋体" w:eastAsia="宋体"/>
        </w:rPr>
        <w:t>图相应图表显示，两项指标在2010—2019年同步快速扩张；2021年综合收入实际值明显低于疫情前趋势；2023—2024年恢复后，综合收入指数上升速度快于游客量，暗示消费深度正在成为增长来源。该判断由单位游客消费图进一步支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pend_per_vis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图3  单位游客综合消费。仅在游客量与综合收入同时存在时计算。</w:t>
      </w:r>
    </w:p>
    <w:p>
      <w:pPr>
        <w:widowControl/>
        <w:ind w:firstLine="418"/>
      </w:pPr>
      <w:r>
        <w:rPr>
          <w:rFonts w:ascii="宋体" w:hAnsi="宋体" w:eastAsia="宋体"/>
        </w:rPr>
        <w:t>2010年单位游客综合消费约418.9元，2019年约589.3元，2024年约836.2元。由于综合收入的核算范围可能随统计制度变化，该指标适合用于趋势与情景恒等式，不应被解释为微观调查中的游客实际平均支付。</w:t>
      </w:r>
    </w:p>
    <w:p>
      <w:pPr>
        <w:pStyle w:val="Heading1"/>
      </w:pPr>
      <w:r>
        <w:t>问题一：增长规律、异常与简单模型</w:t>
      </w:r>
    </w:p>
    <w:p>
      <w:pPr>
        <w:pStyle w:val="Heading2"/>
      </w:pPr>
      <w:r>
        <w:t>结构冲击不是普通离群值</w:t>
      </w:r>
    </w:p>
    <w:p>
      <w:pPr>
        <w:widowControl/>
        <w:ind w:firstLine="418"/>
      </w:pPr>
      <w:r>
        <w:rPr>
          <w:rFonts w:ascii="宋体" w:hAnsi="宋体" w:eastAsia="宋体"/>
        </w:rPr>
        <w:t>2020—2022年疫情改变了旅游供需约束。本文设置疫情期指示变量I_t^P、2022年后水平位移I_t^post和2019年宏观口径断点标记。2020—2022年缺失并不进入普通最小二乘残差，也不以疫情前趋势插补；2021年存在的综合收入110亿元作为实际观测保留。图相应图表把疫情前指数外推与实际恢复水平放在同一尺度上，说明若直接延用2010—2019年指数增长，2023—2024年游客量会被显著高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andemic_brea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图4  疫情前增长轨迹与恢复期水平。阴影为2020—2022年冲击窗口。</w:t>
      </w:r>
    </w:p>
    <w:p>
      <w:pPr>
        <w:pStyle w:val="Heading2"/>
      </w:pPr>
      <w:r>
        <w:t>四类简单增长模型</w:t>
      </w:r>
    </w:p>
    <w:p>
      <w:pPr>
        <w:widowControl/>
        <w:ind w:firstLine="418"/>
      </w:pPr>
      <w:r>
        <w:rPr>
          <w:rFonts w:ascii="宋体" w:hAnsi="宋体" w:eastAsia="宋体"/>
        </w:rPr>
        <w:t>对每个指标使用其可用实际观测年份，比较指数、Logistic、Gompertz和分段对数线性模型。指数模型为y_t=aexp(bt)；Logistic模型为y_t=K/[1+exp-b(t-m)]；Gompertz模型为y_t=Kexp[-exp-b(t-m)]。分段对数线性模型为</w:t>
      </w:r>
    </w:p>
    <w:p>
      <w:pPr>
        <w:jc w:val="center"/>
      </w:pPr>
      <w:r>
        <w:rPr>
          <w:rFonts w:ascii="Cambria Math" w:hAnsi="Cambria Math"/>
          <w:sz w:val="21"/>
        </w:rPr>
        <w:t>log y_t=β_0+β_1(t-2010)+δ I_t^post+ε_t,</w:t>
      </w:r>
    </w:p>
    <w:p>
      <w:pPr>
        <w:widowControl/>
        <w:ind w:firstLine="418"/>
      </w:pPr>
      <w:r>
        <w:rPr>
          <w:rFonts w:ascii="宋体" w:hAnsi="宋体" w:eastAsia="宋体"/>
        </w:rPr>
        <w:t>其中I_t^post=1表示2023年及以后。使用留一法预测误差而非训练拟合误差作为主要比较依据，以降低短样本过拟合风险。</w:t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表2  简单模型留一法误差比较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1600"/>
        <w:gridCol w:w="1880"/>
        <w:gridCol w:w="1880"/>
      </w:tblGrid>
      <w:tr>
        <w:trPr>
          <w:cantSplit/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样本数</w:t>
            </w:r>
          </w:p>
        </w:tc>
        <w:tc>
          <w:tcPr>
            <w:tcW w:type="dxa" w:w="1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LOOCV RMSE</w:t>
            </w:r>
          </w:p>
        </w:tc>
        <w:tc>
          <w:tcPr>
            <w:tcW w:type="dxa" w:w="1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MAPE(%)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游客量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指数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585.90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16.95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游客量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Logistic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264.73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11.38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游客量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Gompertz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272.12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11.85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游客量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分段对数线性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114.89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3.39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综合收入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指数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32.00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13.42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综合收入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Logistic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9.44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3.03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综合收入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Gompertz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9.17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4.38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综合收入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分段对数线性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6.64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3.57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imple_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图5  简单增长模型标准化留一法RMSE。每个指标内以最优模型为1。</w:t>
      </w:r>
    </w:p>
    <w:p>
      <w:pPr>
        <w:widowControl/>
        <w:ind w:firstLine="418"/>
      </w:pPr>
      <w:r>
        <w:rPr>
          <w:rFonts w:ascii="宋体" w:hAnsi="宋体" w:eastAsia="宋体"/>
        </w:rPr>
        <w:t>分段模型对两项指标的留一法RMSE最低。综合收入Logistic的MAPE略低，但RMSE与结构解释均不占优；考虑题目强调疫情异常与恢复过程，选择分段模型作为问题一的基准更合理。其适用性边界是：能表达疫情后水平位移，但不能自动刻画趋势逐年衰减、潜在随机漂移和多模型结构不确定性，因此不直接作为唯一正式预测模型。</w:t>
      </w:r>
    </w:p>
    <w:p>
      <w:pPr>
        <w:pStyle w:val="Heading1"/>
      </w:pPr>
      <w:r>
        <w:t>问题二：滚动验证驱动的组合预测</w:t>
      </w:r>
    </w:p>
    <w:p>
      <w:pPr>
        <w:pStyle w:val="Heading2"/>
      </w:pPr>
      <w:r>
        <w:t>候选模型及估计</w:t>
      </w:r>
    </w:p>
    <w:p>
      <w:pPr>
        <w:widowControl/>
        <w:ind w:firstLine="418"/>
      </w:pPr>
      <w:r>
        <w:rPr>
          <w:rFonts w:ascii="宋体" w:hAnsi="宋体" w:eastAsia="宋体"/>
        </w:rPr>
        <w:t>正式预测选择三个互补模型。模型A为式相应公式的分段趋势，提供可解释的长期结构；模型B为阻尼Holt趋势，递推式为</w:t>
      </w:r>
    </w:p>
    <w:p>
      <w:pPr>
        <w:jc w:val="center"/>
      </w:pPr>
      <w:r>
        <w:rPr>
          <w:rFonts w:ascii="Cambria Math" w:hAnsi="Cambria Math"/>
          <w:sz w:val="21"/>
        </w:rPr>
        <w:t>ell_t &amp;= alpha y_t+(1-alpha)(ell_t-1+φ b_t-1), b_t &amp;= β(ell_t-ell_t-1)+(1-β)φ b_t-1, hat y_t+h|t &amp;= ell_t+(φ+·s+φ^h)b_t,</w:t>
      </w:r>
    </w:p>
    <w:p>
      <w:pPr>
        <w:widowControl/>
        <w:ind w:firstLine="418"/>
      </w:pPr>
      <w:r>
        <w:rPr>
          <w:rFonts w:ascii="宋体" w:hAnsi="宋体" w:eastAsia="宋体"/>
        </w:rPr>
        <w:t>其中0&lt;φ&lt;1抑制长期线性爆炸。模型C为局部线性状态空间模型：</w:t>
      </w:r>
    </w:p>
    <w:p>
      <w:pPr>
        <w:jc w:val="center"/>
      </w:pPr>
      <w:r>
        <w:rPr>
          <w:rFonts w:ascii="Cambria Math" w:hAnsi="Cambria Math"/>
          <w:sz w:val="21"/>
        </w:rPr>
        <w:t>y_t&amp;=μ_t+ε_t,quad ε_tsim N(0,r), μ_t&amp;=μ_t-1+ν_t-1+η_t,quad η_tsim N(0,q_μ), ν_t&amp;=ν_t-1+ζ_t,quad ζ_tsim N(0,q_ν),</w:t>
      </w:r>
    </w:p>
    <w:p>
      <w:pPr>
        <w:widowControl/>
        <w:ind w:firstLine="418"/>
      </w:pPr>
      <w:r>
        <w:rPr>
          <w:rFonts w:ascii="宋体" w:hAnsi="宋体" w:eastAsia="宋体"/>
        </w:rPr>
        <w:t>它允许潜在水平与斜率缓慢变化，并通过卡尔曼滤波处理不等间隔缺口。</w:t>
      </w:r>
    </w:p>
    <w:p>
      <w:pPr>
        <w:widowControl/>
        <w:ind w:firstLine="418"/>
      </w:pPr>
      <w:r>
        <w:rPr>
          <w:rFonts w:ascii="宋体" w:hAnsi="宋体" w:eastAsia="宋体"/>
        </w:rPr>
        <w:t>分段模型对游客量的疫情后水平位移估计为-0.79（对数尺度），对综合收入为-0.60，两者正态近似检验均显著；但样本很小，显著性仅作为结构存在的佐证。Holt与状态空间平滑参数是通过预测误差调优的超参数，不对其套用普通回归系数t检验。</w:t>
      </w:r>
    </w:p>
    <w:p>
      <w:pPr>
        <w:pStyle w:val="Heading2"/>
      </w:pPr>
      <w:r>
        <w:t>滚动起点回测与模型权重</w:t>
      </w:r>
    </w:p>
    <w:p>
      <w:pPr>
        <w:widowControl/>
        <w:ind w:firstLine="418"/>
      </w:pPr>
      <w:r>
        <w:rPr>
          <w:rFonts w:ascii="宋体" w:hAnsi="宋体" w:eastAsia="宋体"/>
        </w:rPr>
        <w:t>使用2017、2018、2019、2023、2024五个可用年份作为滚动回测点。每次只使用目标年前的数据训练，避免未来信息泄漏。评价指标为</w:t>
      </w:r>
    </w:p>
    <w:p>
      <w:pPr>
        <w:jc w:val="center"/>
      </w:pPr>
      <w:r>
        <w:rPr>
          <w:rFonts w:ascii="Cambria Math" w:hAnsi="Cambria Math"/>
          <w:sz w:val="21"/>
        </w:rPr>
        <w:t>MAE=frac1nΣ|e_i|,quad RMSE=√frac1nΣ e_i^2,quad MAPE=(100)/(n)Σ≤ft|(e_i)/(y_i)right|.</w:t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表3  正式候选模型滚动回测结果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1600"/>
        <w:gridCol w:w="1880"/>
        <w:gridCol w:w="1880"/>
      </w:tblGrid>
      <w:tr>
        <w:trPr>
          <w:cantSplit/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MAE</w:t>
            </w:r>
          </w:p>
        </w:tc>
        <w:tc>
          <w:tcPr>
            <w:tcW w:type="dxa" w:w="1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RMSE</w:t>
            </w:r>
          </w:p>
        </w:tc>
        <w:tc>
          <w:tcPr>
            <w:tcW w:type="dxa" w:w="1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MAPE(%)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游客量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阻尼Holt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466.63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859.18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19.37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游客量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局部线性状态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651.23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1109.63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26.67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游客量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分段趋势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888.84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1371.95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35.99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综合收入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阻尼Holt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20.85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33.93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11.03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综合收入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局部线性状态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26.72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39.92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14.66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综合收入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分段趋势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53.35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76.31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28.19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olling_back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图6  候选模型滚动起点回测MAPE。每个模型只有5个可用回测点。</w:t>
      </w:r>
    </w:p>
    <w:p>
      <w:pPr>
        <w:widowControl/>
        <w:ind w:firstLine="418"/>
      </w:pPr>
      <w:r>
        <w:rPr>
          <w:rFonts w:ascii="宋体" w:hAnsi="宋体" w:eastAsia="宋体"/>
        </w:rPr>
        <w:t>阻尼Holt在两项指标上均具有最低滚动MAPE，但单独采用它仍会忽略模型结构风险。依据组合预测思想，定义原始权重tilde w_m=1/RMSE_m，归一化后设置单模型权重上限，得到游客量权重：阻尼Holt 0.4166、状态空间0.3226、分段趋势0.2609；综合收入权重：0.4358、0.3704、0.1938。组合点预测为hat y_h=Σ_m w_mhat y_m,h。</w:t>
      </w:r>
    </w:p>
    <w:p>
      <w:pPr>
        <w:pStyle w:val="Heading2"/>
      </w:pPr>
      <w:r>
        <w:t>预测区间与诊断</w:t>
      </w:r>
    </w:p>
    <w:p>
      <w:pPr>
        <w:widowControl/>
        <w:ind w:firstLine="418"/>
      </w:pPr>
      <w:r>
        <w:rPr>
          <w:rFonts w:ascii="宋体" w:hAnsi="宋体" w:eastAsia="宋体"/>
        </w:rPr>
        <w:t>每个模型在对数尺度上估计残差。对每个未来年份随机抽取候选模型，并叠加随预测步长扩大的残差扰动；共模拟10,000次，固定随机种子20260817，以2.5%和97.5%分位数构造预测区间。该区间同时反映残差与模型选择不确定性，因此比仅基于单一模型标准误的区间更宽。AICc、Durbin—Watson与Jarque—Bera统计作为辅助诊断；由于滚动残差仅5个，正态性与自相关检验功效很低，不把p&gt;0.05误解为“模型正确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forecast_inter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图7  2026—2030年组合预测与95%预测区间。宽区间体现结构不确定性。</w:t>
      </w:r>
    </w:p>
    <w:p>
      <w:pPr>
        <w:widowControl/>
        <w:ind w:firstLine="418"/>
      </w:pPr>
      <w:r>
        <w:rPr>
          <w:rFonts w:ascii="宋体" w:hAnsi="宋体" w:eastAsia="宋体"/>
        </w:rPr>
        <w:t>点预测显示游客量从2026年2830.18万人次缓慢增至2030年2910.88万人次，年均增长有限；综合收入从249.72亿元增至313.40亿元。对应单位游客综合消费从约882元升至约1077元，说明收入增长更多依赖消费深度。游客量2030年上限很高，来自指数化残差和模型分歧的复合效应；它是风险范围而不是政策目标。</w:t>
      </w:r>
    </w:p>
    <w:p>
      <w:pPr>
        <w:pStyle w:val="Heading2"/>
      </w:pPr>
      <w:r>
        <w:t>与问题一基准模型的比较</w:t>
      </w:r>
    </w:p>
    <w:p>
      <w:pPr>
        <w:widowControl/>
        <w:ind w:firstLine="418"/>
      </w:pPr>
      <w:r>
        <w:rPr>
          <w:rFonts w:ascii="宋体" w:hAnsi="宋体" w:eastAsia="宋体"/>
        </w:rPr>
        <w:t>问题一分段模型在留一法中表现最好，但正式滚动预测中阻尼Holt更优。两者并不矛盾：留一法主要衡量对历史各点的稳定拟合，滚动回测则更贴近“用过去预测未来”的任务；恢复期新增观测使模型排序改变。正式组合既利用Holt的近期适应性，也保留分段模型的结构解释和状态空间的随机趋势，因而比简单模型具有更稳健的决策含义。</w:t>
      </w:r>
    </w:p>
    <w:p>
      <w:pPr>
        <w:pStyle w:val="Heading1"/>
      </w:pPr>
      <w:r>
        <w:t>问题三：条件情景与关键驱动力</w:t>
      </w:r>
    </w:p>
    <w:p>
      <w:pPr>
        <w:pStyle w:val="Heading2"/>
      </w:pPr>
      <w:r>
        <w:t>情景恒等式与参数</w:t>
      </w:r>
    </w:p>
    <w:p>
      <w:pPr>
        <w:widowControl/>
        <w:ind w:firstLine="418"/>
      </w:pPr>
      <w:r>
        <w:rPr>
          <w:rFonts w:ascii="宋体" w:hAnsi="宋体" w:eastAsia="宋体"/>
        </w:rPr>
        <w:t>为避免客流和收入情景相互矛盾，使用恒等式</w:t>
      </w:r>
    </w:p>
    <w:p>
      <w:pPr>
        <w:jc w:val="center"/>
      </w:pPr>
      <w:r>
        <w:rPr>
          <w:rFonts w:ascii="Cambria Math" w:hAnsi="Cambria Math"/>
          <w:sz w:val="21"/>
        </w:rPr>
        <w:t>R_t,s=fracV_t,0 f^V_t,s× S_t,0 f^S_t,s10^4,</w:t>
      </w:r>
    </w:p>
    <w:p>
      <w:pPr>
        <w:widowControl/>
        <w:ind w:firstLine="418"/>
      </w:pPr>
      <w:r>
        <w:rPr>
          <w:rFonts w:ascii="宋体" w:hAnsi="宋体" w:eastAsia="宋体"/>
        </w:rPr>
        <w:t>其中下标0为正式基准预测，f^V和f^S分别为游客量与单位游客消费修正系数。基准情景均为1；乐观情景假定核心客源拓展、夜游和新业态逐步兑现，使两类系数随时间累积；悲观情景在2026年施加一次性冲击并缓慢恢复。情景是条件性假设，不等同于统计预测区间。</w:t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表4  三种情景下旅游综合收入（亿元）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300"/>
        <w:gridCol w:w="25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年份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基准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乐观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悲观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249.72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262.36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197.41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262.95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290.24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217.52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277.72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322.05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240.09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2029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293.41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357.46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267.54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2030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313.40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401.13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297.92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cenario_path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图8  三种条件情景下旅游综合收入路径。</w:t>
      </w:r>
    </w:p>
    <w:p>
      <w:pPr>
        <w:widowControl/>
        <w:ind w:firstLine="418"/>
      </w:pPr>
      <w:r>
        <w:rPr>
          <w:rFonts w:ascii="宋体" w:hAnsi="宋体" w:eastAsia="宋体"/>
        </w:rPr>
        <w:t>乐观情景到2030年比基准高87.73亿元，来自游客量和客单消费的复合增长；悲观情景2026年显著受挫，但到2030年接近基准，反映所设冲击为一次性且存在恢复。若外部冲击持续，悲观结果会更低，因此还需单因素和联合敏感性分析。</w:t>
      </w:r>
    </w:p>
    <w:p>
      <w:pPr>
        <w:pStyle w:val="Heading2"/>
      </w:pPr>
      <w:r>
        <w:t>单因素与联合敏感性</w:t>
      </w:r>
    </w:p>
    <w:p>
      <w:pPr>
        <w:widowControl/>
        <w:ind w:firstLine="418"/>
      </w:pPr>
      <w:r>
        <w:rPr>
          <w:rFonts w:ascii="宋体" w:hAnsi="宋体" w:eastAsia="宋体"/>
        </w:rPr>
        <w:t>对客源市场增长、过夜与消费、政策供给转化、新业态和一次性外部冲击分别在预设范围内扰动。单因素结果显示：2030年外部负向冲击可使收入减少86.97亿元；政策转化低6%使收入减少36.48亿元；客源市场或过夜消费低10%各使收入减少31.34亿元；新业态低8%使收入减少25.07亿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ensitivity_torn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图9  2030年综合收入单因素敏感性。横轴为相对基准的条件性影响。</w:t>
      </w:r>
    </w:p>
    <w:p>
      <w:pPr>
        <w:widowControl/>
        <w:ind w:firstLine="418"/>
      </w:pPr>
      <w:r>
        <w:rPr>
          <w:rFonts w:ascii="宋体" w:hAnsi="宋体" w:eastAsia="宋体"/>
        </w:rPr>
        <w:t>进一步进行20,000次联合参数扰动，以Spearman相关的绝对值归一化为重要性份额。外部冲击占26.3%，客源市场22.4%，过夜与消费21.8%，新业态15.8%，政策供给转化13.7%。该排序不表示因果效应，而表示在给定扰动分布和模型结构下，哪个参数更能解释2030年收入变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onte_carlo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图10  2030年综合收入联合参数扰动分布。中位数约319.8亿元。</w:t>
      </w:r>
    </w:p>
    <w:p>
      <w:pPr>
        <w:widowControl/>
        <w:ind w:firstLine="418"/>
      </w:pPr>
      <w:r>
        <w:rPr>
          <w:rFonts w:ascii="宋体" w:hAnsi="宋体" w:eastAsia="宋体"/>
        </w:rPr>
        <w:t>联合扰动的2.5%、25%、中位数、75%和97.5%分位数约为264.80、299.86、319.56、340.01和379.44亿元，均值320.19亿元。该分布只反映情景参数不确定性，不替代图相应图表的统计预测区间；两者的随机对象不同。</w:t>
      </w:r>
    </w:p>
    <w:p>
      <w:pPr>
        <w:pStyle w:val="Heading1"/>
      </w:pPr>
      <w:r>
        <w:t>量化政策建议与监测闭环</w:t>
      </w:r>
    </w:p>
    <w:p>
      <w:pPr>
        <w:pStyle w:val="Heading2"/>
      </w:pPr>
      <w:r>
        <w:t>核心客源精细化运营：目标不是曝光量而是转化率</w:t>
      </w:r>
    </w:p>
    <w:p>
      <w:pPr>
        <w:widowControl/>
        <w:ind w:firstLine="418"/>
      </w:pPr>
      <w:r>
        <w:rPr>
          <w:rFonts w:ascii="宋体" w:hAnsi="宋体" w:eastAsia="宋体"/>
        </w:rPr>
        <w:t>将京津冀核心客源按周末短途、亲子研学、银发康养、户外运动等场景分群，建立渠道—产品—订单闭环。到2030年使外埠重点客源转化率较基准提高10%，重点监测外省游客占比、复游率和获客成本。若转化率兑现，模型条件下2030年收入约增加10%；效果应按季度重估，不作无条件承诺。</w:t>
      </w:r>
    </w:p>
    <w:p>
      <w:pPr>
        <w:pStyle w:val="Heading2"/>
      </w:pPr>
      <w:r>
        <w:t>提升过夜率和单位游客消费：把平台期客流转化为收入</w:t>
      </w:r>
    </w:p>
    <w:p>
      <w:pPr>
        <w:widowControl/>
        <w:ind w:firstLine="418"/>
      </w:pPr>
      <w:r>
        <w:rPr>
          <w:rFonts w:ascii="宋体" w:hAnsi="宋体" w:eastAsia="宋体"/>
        </w:rPr>
        <w:t>围绕盘山、黄崖关、于桥水库周边和乡村民宿群设计两日及多日组合，联动夜游、演艺、餐饮、文创和交通套票。2030年单位游客综合消费目标约1184元/人次，即比基准1077元提高10%。监测过夜率、平均停留天数、客单价和住宿间夜；在游客量不变时，收入条件性提高约10%。</w:t>
      </w:r>
    </w:p>
    <w:p>
      <w:pPr>
        <w:pStyle w:val="Heading2"/>
      </w:pPr>
      <w:r>
        <w:t>淡季与新业态扩容：全年利用率比单一旺季峰值更重要</w:t>
      </w:r>
    </w:p>
    <w:p>
      <w:pPr>
        <w:widowControl/>
        <w:ind w:firstLine="418"/>
      </w:pPr>
      <w:r>
        <w:rPr>
          <w:rFonts w:ascii="宋体" w:hAnsi="宋体" w:eastAsia="宋体"/>
        </w:rPr>
        <w:t>发展冰雪、低空观光、山地运动、研学和非遗体验，但以复购和淡季增量评价，不以项目数量评价。目标是淡季客流占比提高8个百分点，对应2030年综合收入条件性增加约6%—8%。监测淡季客流、夜间消费、新业态收入和单位公共投入产出。</w:t>
      </w:r>
    </w:p>
    <w:p>
      <w:pPr>
        <w:pStyle w:val="Heading2"/>
      </w:pPr>
      <w:r>
        <w:t>项目绩效台账：降低政策供给转化的不确定性</w:t>
      </w:r>
    </w:p>
    <w:p>
      <w:pPr>
        <w:widowControl/>
        <w:ind w:firstLine="418"/>
      </w:pPr>
      <w:r>
        <w:rPr>
          <w:rFonts w:ascii="宋体" w:hAnsi="宋体" w:eastAsia="宋体"/>
        </w:rPr>
        <w:t>对新增文旅项目建立“投入—客流—消费—就业—税收”统一台账，季度公开项目达产率和单位财政资金增量收入。新增项目全部入账，目标将政策供给转化的不确定性降低约6%。这项建议的重点不是扩大财政投入，而是提高已有投入的可验证转化效率。</w:t>
      </w:r>
    </w:p>
    <w:p>
      <w:pPr>
        <w:pStyle w:val="Heading2"/>
      </w:pPr>
      <w:r>
        <w:t>风险触发机制：把外部冲击从事后解释变成预案</w:t>
      </w:r>
    </w:p>
    <w:p>
      <w:pPr>
        <w:widowControl/>
        <w:ind w:firstLine="418"/>
      </w:pPr>
      <w:r>
        <w:rPr>
          <w:rFonts w:ascii="宋体" w:hAnsi="宋体" w:eastAsia="宋体"/>
        </w:rPr>
        <w:t>外部冲击是联合敏感性第一因素。建立周度客流、退订率、极端天气、交通可达性和舆情指标面板；当月度客流偏离基准10%时，自动启动票务延期、跨景区联票、渠道补贴和安全容量调整。目标是把一次性冲击造成的收入损失控制在15%以内。触发阈值应随新数据滚动校准。</w:t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表5  政策建议、量化目标与监测指标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300"/>
        <w:gridCol w:w="25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政策工具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2030量化目标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主要监测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条件性效果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核心客源运营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重点客源转化率提高10%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外省占比、复游率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收入约增加10%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过夜与消费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客单消费约1184元/人次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过夜率、停留天数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收入约增加10%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淡季与新业态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淡季客流占比提高8个百分点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淡季客流、新业态收入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收入约增加6%—8%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项目绩效台账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新增项目全部建立投入产出账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达产率、单位财政增量收入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转化不确定性降低约6%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风险触发预案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月客流偏离10%时启动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退订率、天气、交通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冲击损失控制在15%内</w:t>
            </w:r>
          </w:p>
        </w:tc>
      </w:tr>
    </w:tbl>
    <w:p/>
    <w:p>
      <w:pPr>
        <w:pStyle w:val="Heading1"/>
      </w:pPr>
      <w:r>
        <w:t>稳健性、局限与后续更新</w:t>
      </w:r>
    </w:p>
    <w:p>
      <w:pPr>
        <w:pStyle w:val="Heading2"/>
      </w:pPr>
      <w:r>
        <w:t>稳健性检查</w:t>
      </w:r>
    </w:p>
    <w:p>
      <w:pPr>
        <w:widowControl/>
        <w:ind w:firstLine="418"/>
      </w:pPr>
      <w:r>
        <w:rPr>
          <w:rFonts w:ascii="宋体" w:hAnsi="宋体" w:eastAsia="宋体"/>
          <w:b/>
        </w:rPr>
        <w:t>第一，简单模型采用留一法，正式模型采用滚动起点回测，两类验证结论方向一致：</w:t>
      </w:r>
      <w:r>
        <w:rPr>
          <w:rFonts w:ascii="宋体" w:hAnsi="宋体" w:eastAsia="宋体"/>
        </w:rPr>
        <w:t>恒定指数增长最不稳健，允许结构变化或趋势阻尼的模型更好。第二，正式预测不选择单一模型，而是按回测RMSE组合，限制权重集中。第三，预测区间同时扰动模型和残差；情景分析另外扰动政策与市场参数，避免把两类不确定性混在一起。第四，收入恒等式保证游客量、客单消费与综合收入在情景内一致。</w:t>
      </w:r>
    </w:p>
    <w:p>
      <w:pPr>
        <w:pStyle w:val="Heading2"/>
      </w:pPr>
      <w:r>
        <w:t>主要局限</w:t>
      </w:r>
    </w:p>
    <w:p>
      <w:pPr>
        <w:widowControl/>
        <w:ind w:firstLine="418"/>
      </w:pPr>
      <w:r>
        <w:rPr>
          <w:rFonts w:ascii="宋体" w:hAnsi="宋体" w:eastAsia="宋体"/>
        </w:rPr>
        <w:t>其一，年度有效样本只有11—12个，滚动回测点仅5个，任何显著性检验都属于小样本近似。其二，2020—2022年游客量缺失，无法精确识别冲击谷底和恢复速度。其三，综合收入可能包含统计核算范围变化，单位游客消费不是微观支付调查。其四，未找到一致CPI序列，预测为名义值；若未来获得区县旅游价格指数，应增加实际收入附表。其五，宏观、交通、住宿、景区容量等变量覆盖不齐，本文没有在短样本中强行进行高维回归，避免“变量越多越准”的错觉。</w:t>
      </w:r>
    </w:p>
    <w:p>
      <w:pPr>
        <w:pStyle w:val="Heading2"/>
      </w:pPr>
      <w:r>
        <w:t>滚动更新规则</w:t>
      </w:r>
    </w:p>
    <w:p>
      <w:pPr>
        <w:widowControl/>
        <w:ind w:firstLine="418"/>
      </w:pPr>
      <w:r>
        <w:rPr>
          <w:rFonts w:ascii="宋体" w:hAnsi="宋体" w:eastAsia="宋体"/>
        </w:rPr>
        <w:t>每获得一个新年度实际值，应执行：核验口径与来源；补入来源长表；更新年度优选表；重跑三个候选模型与滚动回测；重新计算权重和区间；比较实际是否落在95%区间；若连续两年出现同方向超界，则重新识别结构断点。月度客流、住宿间夜和重点景区客流一旦可得，应建立年度模型的高频桥接层，但不能把月度累计值与年度人次直接混用。</w:t>
      </w:r>
    </w:p>
    <w:p>
      <w:pPr>
        <w:pStyle w:val="Heading1"/>
      </w:pPr>
      <w:r>
        <w:t>模型评价与结论</w:t>
      </w:r>
    </w:p>
    <w:p>
      <w:pPr>
        <w:widowControl/>
        <w:ind w:firstLine="418"/>
      </w:pPr>
      <w:r>
        <w:rPr>
          <w:rFonts w:ascii="宋体" w:hAnsi="宋体" w:eastAsia="宋体"/>
        </w:rPr>
        <w:t>本文的贡献不是用复杂模型掩盖数据不足，而是让每个数字都带有状态和证据，让缺失保持可见，让模型选择基于真实时间顺序的回测，让政策效果明确依赖条件。结果表明，蓟州旅游客流在2026—2030年更可能进入缓慢增长平台，综合收入仍有较强提升空间；关键路径是提升过夜与消费深度、提高核心客源转化、扩展淡季新业态并强化抗冲击机制。</w:t>
      </w:r>
    </w:p>
    <w:p>
      <w:pPr>
        <w:widowControl/>
        <w:ind w:firstLine="418"/>
      </w:pPr>
      <w:r>
        <w:rPr>
          <w:rFonts w:ascii="宋体" w:hAnsi="宋体" w:eastAsia="宋体"/>
        </w:rPr>
        <w:t>2026年游客量和综合收入点预测分别为2830.18万人次和249.72亿元；2030年为2910.88万人次和313.40亿元。由于结构不确定性高，管理上应同时使用点预测、统计区间和条件情景：点预测用于预算中枢，预测区间用于风险容量，乐观/悲观情景用于预案。任何政策目标都不应直接等同于预测上限。</w:t>
      </w:r>
    </w:p>
    <w:p>
      <w:pPr>
        <w:pStyle w:val="Heading1"/>
      </w:pPr>
      <w:r>
        <w:t>数据字典摘要</w:t>
      </w:r>
    </w:p>
    <w:p>
      <w:pPr>
        <w:keepNext/>
        <w:jc w:val="center"/>
      </w:pPr>
      <w:r>
        <w:rPr>
          <w:rFonts w:ascii="黑体" w:hAnsi="黑体" w:eastAsia="黑体"/>
          <w:b/>
          <w:sz w:val="21"/>
        </w:rPr>
        <w:t>表6  核心字段定义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300"/>
        <w:gridCol w:w="25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单位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tourist_visits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万人次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观测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年度旅游接待人次，非唯一游客人数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tourism_direct_income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亿元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观测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旅游直接收入，不作为问题二主预测对象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tourism_comprehensive_income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亿元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观测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旅游综合收入，名义口径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gdp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亿元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观测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区级地区生产总值，优先年鉴修订值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tertiary_value_added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亿元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观测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第三产业增加值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tourism_income_per_visitor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元/人次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派生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综合收入乘10^4后除以游客量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pandemic_2020_2022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0/1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标记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疫情冲击窗口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post_2022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0/1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标记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2023年及以后结构位移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value_status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元数据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实际、约数、修订、同比反推、目标或累计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19"/>
              </w:rPr>
              <w:t>evidence_tier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1—3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元数据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宋体" w:hAnsi="宋体" w:eastAsia="宋体"/>
                <w:sz w:val="19"/>
              </w:rPr>
              <w:t>来源证据等级</w:t>
            </w:r>
          </w:p>
        </w:tc>
      </w:tr>
    </w:tbl>
    <w:p/>
    <w:p>
      <w:pPr>
        <w:pStyle w:val="Heading1"/>
      </w:pPr>
      <w:r>
        <w:t>复现说明</w:t>
      </w:r>
    </w:p>
    <w:p>
      <w:pPr>
        <w:widowControl/>
        <w:ind w:firstLine="418"/>
      </w:pPr>
      <w:r>
        <w:rPr>
          <w:rFonts w:ascii="宋体" w:hAnsi="宋体" w:eastAsia="宋体"/>
        </w:rPr>
        <w:t>完整数据工作簿包括使用说明、年度主数据、来源长表、数据质量、简单模型、模型参数、模型诊断、正式预测、情景分析、敏感性、政策建议和来源目录12张工作表。核心派生值在工作簿中保留公式；Python代码仅使用NumPy和Pandas实现数据优选、分段模型、阻尼Holt、局部线性状态空间、滚动回测、组合预测和模拟。所有随机过程固定种子20260817。运行入口为code/scripts/build_jizhou_analysis.py与code/scripts/build_jizhou_figures.py。</w:t>
      </w:r>
    </w:p>
    <w:p>
      <w:pPr>
        <w:pStyle w:val="Heading1"/>
      </w:pPr>
      <w:r>
        <w:t>参考文献</w:t>
      </w:r>
    </w:p>
    <w:p>
      <w:pPr>
        <w:ind w:left="360" w:hanging="360"/>
      </w:pPr>
      <w:r>
        <w:rPr>
          <w:rFonts w:ascii="宋体" w:hAnsi="宋体" w:eastAsia="宋体"/>
          <w:sz w:val="20"/>
        </w:rPr>
        <w:t>[1] 天津市蓟州区人民政府. 2025年蓟州区政府工作报告[EB/OL]. 2025.</w:t>
      </w:r>
    </w:p>
    <w:p>
      <w:pPr>
        <w:ind w:left="360" w:hanging="360"/>
      </w:pPr>
      <w:r>
        <w:rPr>
          <w:rFonts w:ascii="宋体" w:hAnsi="宋体" w:eastAsia="宋体"/>
          <w:sz w:val="20"/>
        </w:rPr>
        <w:t>[2] 天津市蓟州区人民政府. 2026年蓟州区政府工作报告[EB/OL]. 2026.</w:t>
      </w:r>
    </w:p>
    <w:p>
      <w:pPr>
        <w:ind w:left="360" w:hanging="360"/>
      </w:pPr>
      <w:r>
        <w:rPr>
          <w:rFonts w:ascii="宋体" w:hAnsi="宋体" w:eastAsia="宋体"/>
          <w:sz w:val="20"/>
        </w:rPr>
        <w:t>[3] 天津市统计局. 2024年天津市国民经济和社会发展统计公报[EB/OL]. 2025.</w:t>
      </w:r>
    </w:p>
    <w:p>
      <w:pPr>
        <w:ind w:left="360" w:hanging="360"/>
      </w:pPr>
      <w:r>
        <w:rPr>
          <w:rFonts w:ascii="宋体" w:hAnsi="宋体" w:eastAsia="宋体"/>
          <w:sz w:val="20"/>
        </w:rPr>
        <w:t>[4] HYNDMAN R J, ATHANASOPOULOS G. Forecasting: Principles and Practice[M]. 3rd ed. OTexts, 2021.</w:t>
      </w:r>
    </w:p>
    <w:p>
      <w:pPr>
        <w:ind w:left="360" w:hanging="360"/>
      </w:pPr>
      <w:r>
        <w:rPr>
          <w:rFonts w:ascii="宋体" w:hAnsi="宋体" w:eastAsia="宋体"/>
          <w:sz w:val="20"/>
        </w:rPr>
        <w:t>[5] DURBIN J, KOOPMAN S J. Time Series Analysis by State Space Methods[M]. 2nd ed. Oxford University Press, 2012.</w:t>
      </w:r>
    </w:p>
    <w:p>
      <w:pPr>
        <w:ind w:left="360" w:hanging="360"/>
      </w:pPr>
      <w:r>
        <w:rPr>
          <w:rFonts w:ascii="宋体" w:hAnsi="宋体" w:eastAsia="宋体"/>
          <w:sz w:val="20"/>
        </w:rPr>
        <w:t>[6] BATES J M, GRANGER C W J. The Combination of Forecasts[J]. Operational Research Quarterly, 1969, 20(4):451—468.</w:t>
      </w:r>
    </w:p>
    <w:p>
      <w:pPr>
        <w:ind w:left="360" w:hanging="360"/>
      </w:pPr>
      <w:r>
        <w:rPr>
          <w:rFonts w:ascii="宋体" w:hAnsi="宋体" w:eastAsia="宋体"/>
          <w:sz w:val="20"/>
        </w:rPr>
        <w:t>[7] BURNHAM K P, ANDERSON D R. Model Selection and Multimodel Inference[M]. 2nd ed. Springer, 2002.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color w:val="6B7280"/>
        <w:sz w:val="18"/>
      </w:rPr>
      <w:t>蓟州区旅游经济预测及政策优化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