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80"/>
        <w:jc w:val="center"/>
      </w:pPr>
      <w:r>
        <w:rPr>
          <w:rFonts w:ascii="Calibri" w:hAnsi="Calibri" w:eastAsia="微软雅黑"/>
          <w:b/>
          <w:i w:val="0"/>
          <w:color w:val="2A6F73"/>
          <w:sz w:val="22"/>
        </w:rPr>
        <w:t>文献阅读报告</w:t>
      </w:r>
    </w:p>
    <w:p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7365D"/>
          <w:sz w:val="56"/>
        </w:rPr>
        <w:t>蓟州区乡村旅游三篇文献</w:t>
      </w:r>
    </w:p>
    <w:p>
      <w:pPr>
        <w:spacing w:after="560"/>
        <w:jc w:val="center"/>
      </w:pPr>
      <w:r>
        <w:rPr>
          <w:rFonts w:ascii="Calibri" w:hAnsi="Calibri" w:eastAsia="微软雅黑"/>
          <w:b w:val="0"/>
          <w:i w:val="0"/>
          <w:color w:val="1F4D78"/>
          <w:sz w:val="28"/>
        </w:rPr>
        <w:t>核心内容、横向比较及对旅游经济预测与政策优化论文的启示</w:t>
      </w:r>
    </w:p>
    <w:p>
      <w:pPr>
        <w:spacing w:after="1400"/>
        <w:jc w:val="center"/>
      </w:pPr>
      <w:r>
        <w:rPr>
          <w:rFonts w:ascii="Calibri" w:hAnsi="Calibri" w:eastAsia="微软雅黑"/>
          <w:b/>
          <w:i w:val="0"/>
          <w:color w:val="2A6F73"/>
          <w:sz w:val="22"/>
        </w:rPr>
        <w:t>影响机理  ×  现实路径  ×  融合评价</w:t>
      </w:r>
    </w:p>
    <w:p>
      <w:pPr>
        <w:spacing w:after="80"/>
        <w:jc w:val="center"/>
      </w:pPr>
      <w:r>
        <w:rPr>
          <w:rFonts w:ascii="Calibri" w:hAnsi="Calibri" w:eastAsia="宋体"/>
          <w:b w:val="0"/>
          <w:i w:val="0"/>
          <w:color w:val="667085"/>
          <w:sz w:val="21"/>
        </w:rPr>
        <w:t>研究对象：天津市蓟州区乡村旅游与农文旅融合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667085"/>
          <w:sz w:val="21"/>
        </w:rPr>
        <w:t>2026年8月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一、总体阅读结论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3"/>
            <w:tcBorders>
              <w:top w:val="single" w:sz="8" w:color="9BC6C7"/>
              <w:left w:val="single" w:sz="8" w:color="9BC6C7"/>
              <w:bottom w:val="single" w:sz="8" w:color="9BC6C7"/>
              <w:right w:val="single" w:sz="8" w:color="9BC6C7"/>
              <w:insideH w:val="single" w:sz="8" w:color="9BC6C7"/>
              <w:insideV w:val="single" w:sz="8" w:color="9BC6C7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2A6F73"/>
                <w:sz w:val="22"/>
              </w:rPr>
              <w:t xml:space="preserve">核心判断  </w:t>
            </w:r>
            <w:r>
              <w:rPr>
                <w:rFonts w:ascii="Calibri" w:hAnsi="Calibri" w:eastAsia="宋体"/>
                <w:b w:val="0"/>
                <w:i w:val="0"/>
                <w:color w:val="202124"/>
                <w:sz w:val="22"/>
              </w:rPr>
              <w:t>三篇文献分别回答“为什么会发展”“具体应该做什么”“发展是否协调”三个问题。将其组合后，可形成‘影响因素与传导机理—政策措施与发展路径—农文旅融合效果评价—旅游经济预测与政策优化’的完整研究链条。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i w:val="0"/>
          <w:color w:val="202124"/>
          <w:sz w:val="22"/>
        </w:rPr>
        <w:t>第一篇文献使用ISM-MICMAC方法识别蓟州区乡村旅游发展的深层驱动因素、中间传导因素和表层结果因素，适合支撑论文中的变量筛选与政策作用机理；第二篇文献基于蓟州区实际发展案例梳理文化、体育、商业、农业和研学等融合路径，适合转化为政策情景与决策变量；第三篇文献构建农业—文化—旅游评价体系与耦合协调度模型，适合补充高质量发展评价指标和政策约束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1.1 三篇文献的功能定位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00"/>
        <w:gridCol w:w="2300"/>
        <w:gridCol w:w="306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文献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主要回答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核心方法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对本论文的直接价值</w:t>
            </w:r>
          </w:p>
        </w:tc>
      </w:tr>
      <w:t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ISM-MICMAC影响因素研究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哪些因素重要，因素如何逐层传导</w:t>
            </w:r>
          </w:p>
        </w:tc>
        <w:tc>
          <w:tcPr>
            <w:tcW w:type="dxa" w:w="2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专家判断、ISM层级分解、MICMAC驱动—依赖分析</w:t>
            </w:r>
          </w:p>
        </w:tc>
        <w:tc>
          <w:tcPr>
            <w:tcW w:type="dxa" w:w="3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构建政策作用机理图，区分深层驱动、中间能力与表层结果</w:t>
            </w:r>
          </w:p>
        </w:tc>
      </w:tr>
      <w:t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乡村旅游高质量发展路径研究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蓟州已经做了什么，还应当做什么</w:t>
            </w:r>
          </w:p>
        </w:tc>
        <w:tc>
          <w:tcPr>
            <w:tcW w:type="dxa" w:w="2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案例归纳、现实问题诊断、政策路径分析</w:t>
            </w:r>
          </w:p>
        </w:tc>
        <w:tc>
          <w:tcPr>
            <w:tcW w:type="dxa" w:w="3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设计文化、民宿、农业、研学、体育等政策情景与投入方向</w:t>
            </w:r>
          </w:p>
        </w:tc>
      </w:tr>
      <w:t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农文旅融合评价及耦合分析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农业、文化和旅游是否协调发展</w:t>
            </w:r>
          </w:p>
        </w:tc>
        <w:tc>
          <w:tcPr>
            <w:tcW w:type="dxa" w:w="2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AHP—熵权组合赋权、综合指数、耦合协调度</w:t>
            </w:r>
          </w:p>
        </w:tc>
        <w:tc>
          <w:tcPr>
            <w:tcW w:type="dxa" w:w="3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引入高质量发展评价、协调约束及非规模型目标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1.2 对现有论文的总体补充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预测层面：由单纯外推游客量和综合收入，升级为同时解释游客规模、人均消费和结构性质量变化。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机制层面：将文化、政策、居民收入、市场需求、产业融合、基础设施等因素组织为层级传导链，避免把所有变量简单并列。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优化层面：将政策投入细化为文化品牌、过夜体验、农旅融合、产业链与基础设施等决策变量，并考虑协调度与风险。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二、文献一：乡村旅游发展影响因素及作用路径</w:t>
      </w:r>
    </w:p>
    <w:p>
      <w:pPr>
        <w:spacing w:after="200"/>
      </w:pPr>
      <w:r>
        <w:rPr>
          <w:rFonts w:ascii="Calibri" w:hAnsi="Calibri" w:eastAsia="宋体"/>
          <w:b w:val="0"/>
          <w:i w:val="0"/>
          <w:color w:val="202124"/>
          <w:sz w:val="22"/>
        </w:rPr>
        <w:t>文献：[1] 焦爱英、陈磊、贾童《基于ISM-MICMAC的乡村旅游产业发展影响因素及路径研究——以天津市蓟州区为例》。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2.1 研究问题与方法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该文关注蓟州区乡村旅游产业受哪些因素影响，以及这些因素如何形成逐层传导关系。研究从区域条件、区域资源、产业发展、市场环境、乡村文化和旅游规划6个维度识别22项影响因素，并由9名专家判断因素之间的直接因果关系。在此基础上，文章构建邻接矩阵和可达矩阵，利用ISM划分六级层次结构，再用MICMAC分析各因素的驱动力与依赖程度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2.2 主要结论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050"/>
        <w:gridCol w:w="3760"/>
      </w:tblGrid>
      <w:tr>
        <w:trPr>
          <w:tblHeader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代表性因素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建模含义</w:t>
            </w:r>
          </w:p>
        </w:tc>
      </w:tr>
      <w:tr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深层根源层</w:t>
            </w:r>
          </w:p>
        </w:tc>
        <w:tc>
          <w:tcPr>
            <w:tcW w:type="dxa" w:w="4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居民可支配收入、乡村核心文化建设</w:t>
            </w:r>
          </w:p>
        </w:tc>
        <w:tc>
          <w:tcPr>
            <w:tcW w:type="dxa" w:w="3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决定旅游需求基础和蓟州旅游文化辨识度</w:t>
            </w:r>
          </w:p>
        </w:tc>
      </w:tr>
      <w:tr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重要驱动层</w:t>
            </w:r>
          </w:p>
        </w:tc>
        <w:tc>
          <w:tcPr>
            <w:tcW w:type="dxa" w:w="4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多元消费需求、政策支持、全域旅游理念、环境条件、文化保护</w:t>
            </w:r>
          </w:p>
        </w:tc>
        <w:tc>
          <w:tcPr>
            <w:tcW w:type="dxa" w:w="3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决定产业方向和资源配置环境</w:t>
            </w:r>
          </w:p>
        </w:tc>
      </w:tr>
      <w:tr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中间传导层</w:t>
            </w:r>
          </w:p>
        </w:tc>
        <w:tc>
          <w:tcPr>
            <w:tcW w:type="dxa" w:w="4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经济基础、旅游投资、品牌建设、空间集聚、行业组织</w:t>
            </w:r>
          </w:p>
        </w:tc>
        <w:tc>
          <w:tcPr>
            <w:tcW w:type="dxa" w:w="3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把宏观条件转化为产业发展能力</w:t>
            </w:r>
          </w:p>
        </w:tc>
      </w:tr>
      <w:tr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产业组织层</w:t>
            </w:r>
          </w:p>
        </w:tc>
        <w:tc>
          <w:tcPr>
            <w:tcW w:type="dxa" w:w="4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人力资源、业态竞争、业态融合、全域旅游发展路径</w:t>
            </w:r>
          </w:p>
        </w:tc>
        <w:tc>
          <w:tcPr>
            <w:tcW w:type="dxa" w:w="3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影响产品供给和经营主体协同</w:t>
            </w:r>
          </w:p>
        </w:tc>
      </w:tr>
      <w:tr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表层结果层</w:t>
            </w:r>
          </w:p>
        </w:tc>
        <w:tc>
          <w:tcPr>
            <w:tcW w:type="dxa" w:w="4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配套设施、核心业态带动能力、产业链优化</w:t>
            </w:r>
          </w:p>
        </w:tc>
        <w:tc>
          <w:tcPr>
            <w:tcW w:type="dxa" w:w="3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体现前述因素作用后的直接表现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i w:val="0"/>
          <w:color w:val="202124"/>
          <w:sz w:val="22"/>
        </w:rPr>
        <w:t>文章进一步归纳出三条发展路径。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1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文化驱动路径：乡村核心文化建设→旅游吸引物与产品开发→品牌建设→业态竞争与合作→核心业态带动能力。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1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产业融合路径：居民收入和多元市场需求→市场定位→空间集聚与业态融合→产业链延伸和优化。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1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政策支持路径：政策、土地、人才与资金支持→旅游建设投资→交通、停车、厕所、标识等配套设施改善。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2.3 阅读体会及可用之处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这篇文献最重要的启示是：影响旅游经济的变量并非平行并列，而是存在“根源驱动—能力形成—结果表现”的结构。居民收入、消费需求、文化和政策属于高驱动力因素；设施、品牌、空间集聚和产业链则具有较高依赖性，更接近中间结果或表层结果。因此，建模时应避免把政策投入、政策形成的设施以及最终游客增长同时视为互不相关的独立原因，否则容易重复计算政策效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3"/>
            <w:tcBorders>
              <w:top w:val="single" w:sz="8" w:color="9BC6C7"/>
              <w:left w:val="single" w:sz="8" w:color="9BC6C7"/>
              <w:bottom w:val="single" w:sz="8" w:color="9BC6C7"/>
              <w:right w:val="single" w:sz="8" w:color="9BC6C7"/>
              <w:insideH w:val="single" w:sz="8" w:color="9BC6C7"/>
              <w:insideV w:val="single" w:sz="8" w:color="9BC6C7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2A6F73"/>
                <w:sz w:val="22"/>
              </w:rPr>
              <w:t xml:space="preserve">方法边界  </w:t>
            </w:r>
            <w:r>
              <w:rPr>
                <w:rFonts w:ascii="Calibri" w:hAnsi="Calibri" w:eastAsia="宋体"/>
                <w:b w:val="0"/>
                <w:i w:val="0"/>
                <w:color w:val="202124"/>
                <w:sz w:val="22"/>
              </w:rPr>
              <w:t>该文的结构关系主要来自9名专家的判断，能够提供机制假说，却不能直接给出政策投入对游客量或旅游收入的因果弹性。文献结论适合用于变量选择、路径设定和结果解释，不宜直接作为数值参数。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三、文献二：蓟州区乡村旅游高质量发展路径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文献：[2] 金秋、王清岩、张文静《天津市蓟州区乡村旅游高质量发展路径研究》。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3.1 研究内容与现实基础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该文属于案例总结与政策研究，重点梳理蓟州区乡村旅游的现实基础、融合实践、突出问题和高质量发展路径。文中指出，蓟州区乡村旅游已扩展至20余个乡镇、100余个村庄，形成农家乐、精品民宿、景区、农业园区和文化体验项目等多种业态。文章列举的2023年数据包括：农家乐约2089家、精品民宿304家、床位约6万张、直接吸纳就业约1.2万人、带动约18万人受益、接待游客约2363万人次、旅游综合收入超过190亿元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3.2 五类融合实践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80"/>
        <w:gridCol w:w="3380"/>
      </w:tblGrid>
      <w:tr>
        <w:trPr>
          <w:tblHeader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融合方向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主要实践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可转化的模型变量</w:t>
            </w:r>
          </w:p>
        </w:tc>
      </w:tr>
      <w:tr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文化＋旅游</w:t>
            </w:r>
          </w:p>
        </w:tc>
        <w:tc>
          <w:tcPr>
            <w:tcW w:type="dxa" w:w="4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乡村文化、书画摄影、非遗展示、地方诗词与文化活动</w:t>
            </w:r>
          </w:p>
        </w:tc>
        <w:tc>
          <w:tcPr>
            <w:tcW w:type="dxa" w:w="3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文化品牌投入、文化体验项目数量、文化吸引力</w:t>
            </w:r>
          </w:p>
        </w:tc>
      </w:tr>
      <w:tr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体育＋旅游</w:t>
            </w:r>
          </w:p>
        </w:tc>
        <w:tc>
          <w:tcPr>
            <w:tcW w:type="dxa" w:w="4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长城马拉松、骑行、户外运动、冰雪活动</w:t>
            </w:r>
          </w:p>
        </w:tc>
        <w:tc>
          <w:tcPr>
            <w:tcW w:type="dxa" w:w="3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体育事件投入、淡季客流、活动型消费</w:t>
            </w:r>
          </w:p>
        </w:tc>
      </w:tr>
      <w:tr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商业＋旅游</w:t>
            </w:r>
          </w:p>
        </w:tc>
        <w:tc>
          <w:tcPr>
            <w:tcW w:type="dxa" w:w="4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非遗市集、乡村网红集市、老城商业设施改造</w:t>
            </w:r>
          </w:p>
        </w:tc>
        <w:tc>
          <w:tcPr>
            <w:tcW w:type="dxa" w:w="3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商业配套、二次消费、夜间消费</w:t>
            </w:r>
          </w:p>
        </w:tc>
      </w:tr>
      <w:tr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农业＋旅游</w:t>
            </w:r>
          </w:p>
        </w:tc>
        <w:tc>
          <w:tcPr>
            <w:tcW w:type="dxa" w:w="4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采摘、农业园区、农产品进京、后备箱经济</w:t>
            </w:r>
          </w:p>
        </w:tc>
        <w:tc>
          <w:tcPr>
            <w:tcW w:type="dxa" w:w="3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农旅融合投入、农产品消费、参与式体验</w:t>
            </w:r>
          </w:p>
        </w:tc>
      </w:tr>
      <w:tr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研学＋旅游</w:t>
            </w:r>
          </w:p>
        </w:tc>
        <w:tc>
          <w:tcPr>
            <w:tcW w:type="dxa" w:w="4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古建筑、长城、劳动实践、冰雪研学线路</w:t>
            </w:r>
          </w:p>
        </w:tc>
        <w:tc>
          <w:tcPr>
            <w:tcW w:type="dxa" w:w="338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研学产品、家庭客群、停留时间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3.3 主要问题与政策方向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文章认为，蓟州乡村旅游仍面临文化开发深度不足、农业与旅游互动不足、红色文化产品形式单一等问题。非遗和节庆产品在年轻化、互动性和数字传播方面仍有提升空间；农家乐产品同质化较明显，智慧农业和专业运营人才不足；红色文化资源缺少沉浸式体验和跨产业创新。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针对上述问题，文献提出深化文化IP和非遗产品开发，利用短视频平台传播；发展智慧农业、亲子采摘和生态民宿；利用AR、VR等技术建设沉浸式红色文化产品；同时强化政策引导、资源配置、品牌建设和服务水平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3.4 阅读体会及可用之处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这篇文章适合作为政策情景设计的现实依据。其价值不在于提供预测公式，而在于把“发展旅游”拆解为文化、体育、商业、农业和研学五类可执行路径。由此，我们可以将政策变量从笼统的‘增加旅游投入’细化为文化品牌投入、民宿与过夜体验投入、农旅融合投入、产业链与新业态投入、公共设施投入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3"/>
            <w:tcBorders>
              <w:top w:val="single" w:sz="8" w:color="9BC6C7"/>
              <w:left w:val="single" w:sz="8" w:color="9BC6C7"/>
              <w:bottom w:val="single" w:sz="8" w:color="9BC6C7"/>
              <w:right w:val="single" w:sz="8" w:color="9BC6C7"/>
              <w:insideH w:val="single" w:sz="8" w:color="9BC6C7"/>
              <w:insideV w:val="single" w:sz="8" w:color="9BC6C7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2A6F73"/>
                <w:sz w:val="22"/>
              </w:rPr>
              <w:t xml:space="preserve">方法边界  </w:t>
            </w:r>
            <w:r>
              <w:rPr>
                <w:rFonts w:ascii="Calibri" w:hAnsi="Calibri" w:eastAsia="宋体"/>
                <w:b w:val="0"/>
                <w:i w:val="0"/>
                <w:color w:val="202124"/>
                <w:sz w:val="22"/>
              </w:rPr>
              <w:t>该文以案例描述和政策分析为主，没有进行统计检验或因果识别。文中提出的措施可以作为政策选项和情景设定依据，但不能据此断言某项措施必然产生确定幅度的收入增长。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四、文献三：农文旅融合评价及耦合分析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文献：[3] 武彦辰、张戈、徐嵩《超大城市远郊乡村农文旅融合发展评价及耦合分析——以天津市蓟州区为例》。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指标体系与模型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该文使用2003—2022年共20年的年度数据，从农业基础、文化建设和旅游发展三个子系统构建15项评价指标。数据主要来自天津统计年鉴、蓟州统计年鉴、蓟州区乡村旅游发展规划、政府工作报告和国民经济与社会发展公报。对缺失值，文章采用插值和趋势方法补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950"/>
        <w:gridCol w:w="271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子系统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代表性指标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评价目的</w:t>
            </w:r>
          </w:p>
        </w:tc>
      </w:tr>
      <w:t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农业基础</w:t>
            </w:r>
          </w:p>
        </w:tc>
        <w:tc>
          <w:tcPr>
            <w:tcW w:type="dxa" w:w="49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农业产值、粮食产量、农村劳动力、居民可支配收入、恩格尔系数</w:t>
            </w:r>
          </w:p>
        </w:tc>
        <w:tc>
          <w:tcPr>
            <w:tcW w:type="dxa" w:w="27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衡量乡村产业和居民经济基础</w:t>
            </w:r>
          </w:p>
        </w:tc>
      </w:tr>
      <w:t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文化建设</w:t>
            </w:r>
          </w:p>
        </w:tc>
        <w:tc>
          <w:tcPr>
            <w:tcW w:type="dxa" w:w="49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文化体育传媒支出占比、公共文化设施覆盖率、特色文化村、文化活动和文旅项目</w:t>
            </w:r>
          </w:p>
        </w:tc>
        <w:tc>
          <w:tcPr>
            <w:tcW w:type="dxa" w:w="27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衡量文化供给和文化资源转化能力</w:t>
            </w:r>
          </w:p>
        </w:tc>
      </w:tr>
      <w:t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旅游发展</w:t>
            </w:r>
          </w:p>
        </w:tc>
        <w:tc>
          <w:tcPr>
            <w:tcW w:type="dxa" w:w="49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旅游收入、旅游重点村、网红村及线路、A级景区、旅游融合经营主体</w:t>
            </w:r>
          </w:p>
        </w:tc>
        <w:tc>
          <w:tcPr>
            <w:tcW w:type="dxa" w:w="27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衡量旅游规模、载体和融合主体发展水平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i w:val="0"/>
          <w:color w:val="202124"/>
          <w:sz w:val="22"/>
        </w:rPr>
        <w:t>文章采用AHP与熵权法组合确定指标权重，分别计算农业、文化和旅游子系统综合指数，再使用耦合度C和耦合协调度D评价三个子系统之间的互动与协调状态。</w:t>
      </w:r>
    </w:p>
    <w:p>
      <w:pPr>
        <w:spacing w:before="120" w:after="200"/>
        <w:jc w:val="center"/>
      </w:pPr>
      <w:r>
        <w:rPr>
          <w:rFonts w:ascii="Cambria Math" w:hAnsi="Cambria Math" w:eastAsia="宋体"/>
          <w:b w:val="0"/>
          <w:i w:val="0"/>
          <w:color w:val="17365D"/>
          <w:sz w:val="22"/>
        </w:rPr>
        <w:t>C = [ f(x)·h(y)·g(z) / ((f(x)+h(y)+g(z))/3)³ ]¹ᐟ³   ，   D = √(C·T)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主要结果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旅游子系统增长速度最快；农业系统增长较稳定但相对缓慢；文化系统存在较明显的阶段性波动。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2011年后，三个子系统耦合度大多超过0.9，表明农业、文化和旅游之间联系紧密。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耦合协调度总体不高：2021年达到勉强协调，2022年又回落到濒临失调状态，呈现‘高耦合、低协调’特征。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农业基础、产业链完善、科技投入、土地配置和专业人才仍是推动协调发展的关键限制因素。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4.3 阅读体会及可用之处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这篇文献说明，仅观察游客量和旅游收入不足以判断乡村旅游是否实现高质量发展。旅游快速扩张可能与农业、文化系统形成密切联系，但三者发展速度和收益传导仍可能不协调。因此，我们的论文应在规模预测之外关注人均旅游消费、过夜率、淡季占比、产业链收益转化和农文旅协调程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3"/>
            <w:tcBorders>
              <w:top w:val="single" w:sz="8" w:color="9BC6C7"/>
              <w:left w:val="single" w:sz="8" w:color="9BC6C7"/>
              <w:bottom w:val="single" w:sz="8" w:color="9BC6C7"/>
              <w:right w:val="single" w:sz="8" w:color="9BC6C7"/>
              <w:insideH w:val="single" w:sz="8" w:color="9BC6C7"/>
              <w:insideV w:val="single" w:sz="8" w:color="9BC6C7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2A6F73"/>
                <w:sz w:val="22"/>
              </w:rPr>
              <w:t xml:space="preserve">数据处理警示  </w:t>
            </w:r>
            <w:r>
              <w:rPr>
                <w:rFonts w:ascii="Calibri" w:hAnsi="Calibri" w:eastAsia="宋体"/>
                <w:b w:val="0"/>
                <w:i w:val="0"/>
                <w:color w:val="202124"/>
                <w:sz w:val="22"/>
              </w:rPr>
              <w:t>文章对2003—2022年部分缺失值进行了插值和趋势补充。对于2020—2022年受到强行政干预的旅游接待人数和综合收入，这种处理可能抹平结构性冲击。我们的预测模型宜保留日历时间间隔，但不应把这三年的旅游值作为常态趋势样本；它们更适合用于冲击诊断与韧性讨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五、三篇文献与现有论文各小问的联系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 对现状分析与影响因素识别的补充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第一篇文献可用于解释旅游接待人数、综合收入和人均旅游消费变化背后的驱动因素。影响蓟州旅游经济的不只是时间趋势，还包括居民收入、政策环境、文化资源、品牌建设、交通设施、产业链和新业态发展。第二篇文献为这些抽象因素提供了具体场景，例如非遗市集、生态民宿、研学线路和体育赛事。第三篇文献则把农业、文化和旅游纳入同一评价框架。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考虑到现有年度样本量有限，不宜将22项影响因素全部放入回归模型。更稳妥的做法是：把文献因素用于解释趋势分段和结构突变、构建指标体系、选择情景参数和支撑政策作用路径；预测模型本身保持低维和可识别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5.2 对2026—2030年趋势预测的补充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第三篇文献显示，旅游系统增长快于农业和文化系统，单纯扩大游客数量可能进一步加剧系统失衡。因此，预测部分应同时报告接待人数Vₜ、旅游综合收入Rₜ和人均旅游消费Sₜ：</w:t>
      </w:r>
    </w:p>
    <w:p>
      <w:pPr>
        <w:spacing w:after="200"/>
        <w:jc w:val="center"/>
      </w:pPr>
      <w:r>
        <w:rPr>
          <w:rFonts w:ascii="Cambria Math" w:hAnsi="Cambria Math" w:eastAsia="宋体"/>
          <w:b/>
          <w:i w:val="0"/>
          <w:color w:val="17365D"/>
          <w:sz w:val="24"/>
        </w:rPr>
        <w:t>Sₜ = Rₜ / Vₜ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在结果解释中，应区分数量扩张型增长和质量提升型增长。前者主要依靠游客人数增加；后者主要依靠停留时间、人均消费、住宿率、淡季消费和融合产品消费提升。从高质量发展的角度，第二种增长路径更值得作为政策目标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对政策优化模型的补充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020"/>
        <w:gridCol w:w="5190"/>
      </w:tblGrid>
      <w:tr>
        <w:trPr>
          <w:tblHeader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决策变量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政策含义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主要作用路径</w:t>
            </w:r>
          </w:p>
        </w:tc>
      </w:tr>
      <w:tr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x₁</w:t>
            </w:r>
          </w:p>
        </w:tc>
        <w:tc>
          <w:tcPr>
            <w:tcW w:type="dxa" w:w="30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文化品牌与非遗产品投入</w:t>
            </w:r>
          </w:p>
        </w:tc>
        <w:tc>
          <w:tcPr>
            <w:tcW w:type="dxa" w:w="5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文化吸引力→品牌辨识度→游客结构与人均消费改善</w:t>
            </w:r>
          </w:p>
        </w:tc>
      </w:tr>
      <w:tr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x₂</w:t>
            </w:r>
          </w:p>
        </w:tc>
        <w:tc>
          <w:tcPr>
            <w:tcW w:type="dxa" w:w="30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民宿、夜游和体验项目投入</w:t>
            </w:r>
          </w:p>
        </w:tc>
        <w:tc>
          <w:tcPr>
            <w:tcW w:type="dxa" w:w="5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过夜率与停留时间提高→住宿、餐饮和体验消费增加</w:t>
            </w:r>
          </w:p>
        </w:tc>
      </w:tr>
      <w:tr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x₃</w:t>
            </w:r>
          </w:p>
        </w:tc>
        <w:tc>
          <w:tcPr>
            <w:tcW w:type="dxa" w:w="30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农旅融合与智慧农业投入</w:t>
            </w:r>
          </w:p>
        </w:tc>
        <w:tc>
          <w:tcPr>
            <w:tcW w:type="dxa" w:w="5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采摘、研学和亲子产品增加→淡季需求和农产品消费提升</w:t>
            </w:r>
          </w:p>
        </w:tc>
      </w:tr>
      <w:tr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x₄</w:t>
            </w:r>
          </w:p>
        </w:tc>
        <w:tc>
          <w:tcPr>
            <w:tcW w:type="dxa" w:w="30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产业链与新业态投入</w:t>
            </w:r>
          </w:p>
        </w:tc>
        <w:tc>
          <w:tcPr>
            <w:tcW w:type="dxa" w:w="5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农业、文化、商业和旅游协同→收益转化率提高</w:t>
            </w:r>
          </w:p>
        </w:tc>
      </w:tr>
      <w:tr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x₅</w:t>
            </w:r>
          </w:p>
        </w:tc>
        <w:tc>
          <w:tcPr>
            <w:tcW w:type="dxa" w:w="30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交通、停车及公共设施投入</w:t>
            </w:r>
          </w:p>
        </w:tc>
        <w:tc>
          <w:tcPr>
            <w:tcW w:type="dxa" w:w="5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宋体"/>
                <w:b w:val="0"/>
                <w:i w:val="0"/>
                <w:color w:val="202124"/>
                <w:sz w:val="18"/>
              </w:rPr>
              <w:t>容量和便利度提高→满意度、稳定性和风险承受力改善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i w:val="0"/>
          <w:color w:val="202124"/>
          <w:sz w:val="22"/>
        </w:rPr>
        <w:t>政策变量不应被假设为直接产生旅游收入，而应通过中间机制作用。例如：文化投入→品牌吸引力→游客结构改善→停留时间和消费提高→旅游收入增加。该结构能够把ISM-MICMAC的层级关系转化为政策优化模型中的响应路径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六、可直接落实到论文中的建模启示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从规模预测升级为高质量发展预测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论文不应只预测游客量和总收入。建议在数据可得时补充人均旅游消费、过夜游客比例、淡旺季差异、旅游收入增速与游客增速之差、农文旅协调度等指标。如果缺乏连续数据，可以把部分指标用于情景评价或政策结果解释，而不是强行建立高维回归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区分深层驱动、中间能力和表层结果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居民收入、市场需求、核心文化和政策支持属于深层驱动；投资、品牌、组织和业态融合属于中间传导；设施水平、重点村数量、产业链完善和最终旅游收入更接近表层结果。论文应在变量关系图中明确层级，防止变量功能混淆和政策效果重复计算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建立多目标而非单一收入最大化模型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若政策优化只追求旅游收入最大化，资金可能集中于短期引流项目，而不一定促进农业、文化与旅游长期协调。可以设置以下三类目标：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b/>
          <w:i w:val="0"/>
          <w:color w:val="17365D"/>
          <w:sz w:val="22"/>
        </w:rPr>
        <w:t>max F₁ = E(Σ Rₜ)      max F₂ = Σ Dₜ      min F₃ = CVaRα(L)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其中，F₁表示2026—2030年预期旅游综合收入，F₂表示农文旅协调度或高质量发展得分，F₃表示极端不利情景下的政策损失风险。最终可形成“收入增长—产业协调—风险控制”的多目标优化框架。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6.4 将文献结论作为结构先验，而非数值证据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三篇文献均未给出‘文化投入增加1%会使旅游收入增加多少’之类的可靠因果弹性。因此，文献结论适合用于选择变量、建立作用路径、划分政策类型、确定指标体系和解释模型结果；政策弹性仍应通过本地数据估计、专家区间、情景假设、敏感性分析或蒙特卡洛模拟确定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6.5 政策重点由单纯引流转向消费与停留时间</w:t>
      </w:r>
    </w:p>
    <w:p>
      <w:r>
        <w:rPr>
          <w:rFonts w:ascii="Calibri" w:hAnsi="Calibri" w:eastAsia="宋体"/>
          <w:b w:val="0"/>
          <w:i w:val="0"/>
          <w:color w:val="202124"/>
          <w:sz w:val="22"/>
        </w:rPr>
        <w:t>结合三篇文献，蓟州已具有较大游客规模。下一阶段更关键的任务可能不是无条件扩大客流，而是推动一日游向过夜游转化、观光游向体验游转化、旺季集中向四季旅游转化、单一农家乐消费向住宿—文化—研学—体育—农产品综合消费转化，并让旅游收益更多传导给乡村经营主体与农业部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3"/>
            <w:tcBorders>
              <w:top w:val="single" w:sz="8" w:color="9BC6C7"/>
              <w:left w:val="single" w:sz="8" w:color="9BC6C7"/>
              <w:bottom w:val="single" w:sz="8" w:color="9BC6C7"/>
              <w:right w:val="single" w:sz="8" w:color="9BC6C7"/>
              <w:insideH w:val="single" w:sz="8" w:color="9BC6C7"/>
              <w:insideV w:val="single" w:sz="8" w:color="9BC6C7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2A6F73"/>
                <w:sz w:val="22"/>
              </w:rPr>
              <w:t xml:space="preserve">建议形成的论文主线  </w:t>
            </w:r>
            <w:r>
              <w:rPr>
                <w:rFonts w:ascii="Calibri" w:hAnsi="Calibri" w:eastAsia="宋体"/>
                <w:b w:val="0"/>
                <w:i w:val="0"/>
                <w:color w:val="202124"/>
                <w:sz w:val="22"/>
              </w:rPr>
              <w:t>以乡村核心文化为深层驱动，以农文旅融合和产业链延伸为中间机制，以延长游客停留时间、提高人均消费和改善产业协调度为直接目标，在控制外部冲击风险的条件下实现蓟州旅游经济高质量增长。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七、建议的论文修改清单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2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在问题分析中增加一张“深层驱动—中间传导—表层结果—预测指标”的机制图。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2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预测模型继续保持低维：使用分段趋势、阻尼Holt和局部线性状态空间模型组合，不因文献列出大量因素而盲目扩维。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2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明确2020—2022年属于强外部干预时期：保留时间跨度，旅游接待人数和综合收入不参与常态趋势参数估计，仅用于冲击与韧性分析。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2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在预测结果中同步报告游客量、综合收入和人均消费，并解释增长来自客流还是消费质量。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2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将政策投入拆分为文化品牌、过夜体验、农旅融合、产业链新业态和公共基础设施五类决策变量。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2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在政策优化中加入预算、接待容量、最低协调度和风险约束，开展情景分析、敏感性分析与CVaR稳健性检验。</w:t>
      </w:r>
    </w:p>
    <w:p>
      <w:pPr>
        <w:pStyle w:val="CustomNumber"/>
        <w:spacing w:after="160" w:line="280" w:lineRule="auto"/>
        <w:ind w:left="720" w:hanging="360"/>
        <w:numPr>
          <w:ilvl w:val="0"/>
          <w:numId w:val="902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在结论中区分文献支持的机制判断、数据模型得到的统计结果和政策模拟得到的情景结果，避免把关联解释为因果。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八、研究局限与引用注意事项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ISM-MICMAC研究的因果结构源于9名专家判断，存在主观性，适合提出机制假说。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高质量发展路径研究属于案例描述，其政策建议具有现实针对性，但缺少统计识别。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耦合协调度研究使用20年年度数据并对缺失值插补；耦合度较高并不等于发展水平较高，协调度比耦合度更值得解释。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熵权较高说明指标在样本中的差异信息较多，不等同于该指标的因果影响最大。</w:t>
      </w:r>
    </w:p>
    <w:p>
      <w:pPr>
        <w:pStyle w:val="CustomBullet"/>
        <w:spacing w:after="160" w:line="280" w:lineRule="auto"/>
        <w:ind w:left="720" w:hanging="360"/>
        <w:numPr>
          <w:ilvl w:val="0"/>
          <w:numId w:val="900"/>
        </w:numPr>
      </w:pPr>
      <w:r>
        <w:rPr>
          <w:rFonts w:ascii="Calibri" w:hAnsi="Calibri" w:eastAsia="宋体"/>
          <w:b w:val="0"/>
          <w:i w:val="0"/>
          <w:color w:val="202124"/>
          <w:sz w:val="22"/>
        </w:rPr>
        <w:t>文化体育传媒财政支出属于较宽口径支出，不能直接等同于旅游专项投资。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参考文献</w:t>
      </w:r>
    </w:p>
    <w:p>
      <w:pPr>
        <w:spacing w:after="160"/>
        <w:ind w:left="360" w:hanging="360"/>
      </w:pPr>
      <w:r>
        <w:rPr>
          <w:rFonts w:ascii="Calibri" w:hAnsi="Calibri" w:eastAsia="宋体"/>
          <w:b w:val="0"/>
          <w:i w:val="0"/>
          <w:color w:val="202124"/>
          <w:sz w:val="22"/>
        </w:rPr>
        <w:t>[1] 焦爱英，陈磊，贾童. 基于ISM-MICMAC的乡村旅游产业发展影响因素及路径研究——以天津市蓟州区为例[J]. 天津城建大学学报，2025，31(3). DOI:10.19479/j.2095-719x.2503181.</w:t>
      </w:r>
    </w:p>
    <w:p>
      <w:pPr>
        <w:spacing w:after="160"/>
        <w:ind w:left="360" w:hanging="360"/>
      </w:pPr>
      <w:r>
        <w:rPr>
          <w:rFonts w:ascii="Calibri" w:hAnsi="Calibri" w:eastAsia="宋体"/>
          <w:b w:val="0"/>
          <w:i w:val="0"/>
          <w:color w:val="202124"/>
          <w:sz w:val="22"/>
        </w:rPr>
        <w:t>[2] 金秋，王清岩，张文静. 天津市蓟州区乡村旅游高质量发展路径研究[J]. 乡村科技，2024，15(13). DOI:10.19345/j.cnki.1674-7909.2024.13.013.</w:t>
      </w:r>
    </w:p>
    <w:p>
      <w:pPr>
        <w:spacing w:after="160"/>
        <w:ind w:left="360" w:hanging="360"/>
      </w:pPr>
      <w:r>
        <w:rPr>
          <w:rFonts w:ascii="Calibri" w:hAnsi="Calibri" w:eastAsia="宋体"/>
          <w:b w:val="0"/>
          <w:i w:val="0"/>
          <w:color w:val="202124"/>
          <w:sz w:val="22"/>
        </w:rPr>
        <w:t>[3] 武彦辰，张戈，徐嵩. 超大城市远郊乡村农文旅融合发展评价及耦合分析——以天津市蓟州区为例[J]. 小城镇建设，2024，42(10). DOI:10.3969/j.issn.1009-1483.2024.10.005.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i w:val="0"/>
        <w:color w:val="667085"/>
        <w:sz w:val="18"/>
      </w:rPr>
      <w:t xml:space="preserve">第 </w:t>
    </w:r>
    <w:r>
      <w:fldSimple w:instr="PAGE"/>
    </w:r>
    <w:r>
      <w:rPr>
        <w:rFonts w:ascii="Calibri" w:hAnsi="Calibri" w:eastAsia="宋体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 w:eastAsia="微软雅黑"/>
        <w:b w:val="0"/>
        <w:i w:val="0"/>
        <w:color w:val="667085"/>
        <w:sz w:val="18"/>
      </w:rPr>
      <w:t>蓟州区乡村旅游研究｜文献阅读与建模启示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abstractNum w:abstractNumId="9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abstractNum w:abstractNumId="90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">
    <w:abstractNumId w:val="900"/>
  </w:num>
  <w:num w:numId="901">
    <w:abstractNumId w:val="901"/>
  </w:num>
  <w:num w:numId="902">
    <w:abstractNumId w:val="9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both"/>
    </w:pPr>
    <w:rPr>
      <w:rFonts w:ascii="Calibri" w:hAnsi="Calibri" w:eastAsia="宋体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Bullet">
    <w:name w:val="Custom Bullet"/>
    <w:basedOn w:val="Normal"/>
    <w:pPr>
      <w:spacing w:after="160" w:line="280" w:lineRule="auto"/>
    </w:pPr>
  </w:style>
  <w:style w:type="paragraph" w:customStyle="1" w:styleId="CustomNumber">
    <w:name w:val="Custom Number"/>
    <w:basedOn w:val="Normal"/>
    <w:pPr>
      <w:spacing w:after="160" w:line="28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蓟州区乡村旅游三篇文献阅读体会与建模启示</dc:title>
  <dc:subject>乡村旅游影响机理、高质量发展路径与农文旅耦合评价</dc:subject>
  <dc:creator>python-docx</dc:creator>
  <cp:keywords>蓟州区, 乡村旅游, ISM-MICMAC, 农文旅融合, 耦合协调度, 政策优化</cp:keywords>
  <dc:description>根据三篇指定文献形成的阅读体会与建模启示。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