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b6b"/>
          <w:sz w:val="20"/>
          <w:szCs w:val="20"/>
        </w:rPr>
        <w:t xml:space="preserve">OneCrew — Benutzer-Manual</w:t>
      </w:r>
    </w:p>
    <w:p>
      <w:pPr>
        <w:spacing w:after="60"/>
      </w:pPr>
      <w:r>
        <w:rPr>
          <w:b/>
          <w:bCs/>
          <w:color w:val="1a1a1a"/>
          <w:sz w:val="36"/>
          <w:szCs w:val="36"/>
        </w:rPr>
        <w:t xml:space="preserve">Quellensteuer (QST) — Ablauf, Pflicht und Tarif</w:t>
      </w:r>
    </w:p>
    <w:p>
      <w:pPr>
        <w:pBdr>
          <w:bottom w:val="single" w:color="d8d1c4" w:sz="6"/>
        </w:pBdr>
        <w:spacing w:after="260"/>
      </w:pPr>
      <w:r>
        <w:rPr>
          <w:color w:val="6b6b6b"/>
          <w:sz w:val="19"/>
          <w:szCs w:val="19"/>
        </w:rPr>
        <w:t xml:space="preserve">Schaub Restaurants GmbH · Stand 26.08.2026 · für Geschäftsführung und HR</w:t>
      </w:r>
    </w:p>
    <w:p>
      <w:pPr>
        <w:pStyle w:val="Heading1"/>
        <w:spacing w:after="140" w:before="300"/>
      </w:pPr>
      <w:r>
        <w:rPr>
          <w:b/>
          <w:bCs/>
          <w:color w:val="1a1a1a"/>
          <w:sz w:val="28"/>
          <w:szCs w:val="28"/>
        </w:rPr>
        <w:t xml:space="preserve">1 · Was ist die Quellensteuer — und wer ist pflichtig?</w:t>
      </w:r>
    </w:p>
    <w:p>
      <w:pPr>
        <w:spacing w:after="120" w:before="0"/>
      </w:pPr>
      <w:r>
        <w:rPr>
          <w:color w:val="3f3f3f"/>
          <w:sz w:val="21"/>
          <w:szCs w:val="21"/>
        </w:rPr>
        <w:t xml:space="preserve">Bei der Quellensteuer zieht der Arbeitgeber die Einkommenssteuer direkt vom Lohn ab und liefert sie der kantonalen Steuerbehörde ab. Grundsatz: Jede ausländische Mitarbeiterin und jeder ausländische Mitarbeiter ohne Niederlassungsbewilligung C ist QST-pflichtig.</w:t>
      </w:r>
    </w:p>
    <w:p>
      <w:pPr>
        <w:spacing w:after="120" w:before="0"/>
      </w:pPr>
      <w:r>
        <w:rPr>
          <w:b/>
          <w:bCs/>
          <w:color w:val="3f3f3f"/>
          <w:sz w:val="21"/>
          <w:szCs w:val="21"/>
        </w:rPr>
        <w:t xml:space="preserve">NICHT QST-pflichtig (befreit) ist, wer eine dieser Bedingungen erfüllt: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color w:val="3f3f3f"/>
          <w:sz w:val="21"/>
          <w:szCs w:val="21"/>
        </w:rPr>
        <w:t xml:space="preserve">Schweizer Staatsbürger/in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color w:val="3f3f3f"/>
          <w:sz w:val="21"/>
          <w:szCs w:val="21"/>
        </w:rPr>
        <w:t xml:space="preserve">Inhaber/in einer gültigen Niederlassungsbewilligung C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color w:val="3f3f3f"/>
          <w:sz w:val="21"/>
          <w:szCs w:val="21"/>
        </w:rPr>
        <w:t xml:space="preserve">Verheiratet (oder eingetragene Partnerschaft) mit einem CH-Bürger oder einem C-Ausweis-Inhaber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color w:val="3f3f3f"/>
          <w:sz w:val="21"/>
          <w:szCs w:val="21"/>
        </w:rPr>
        <w:t xml:space="preserve">Schriftliche Befreiung der Steuerbehörde (Bestätigungsschreiben in OneCrew hinterlegen)</w:t>
      </w:r>
    </w:p>
    <w:p>
      <w:pPr>
        <w:spacing w:after="200" w:before="0"/>
      </w:pPr>
      <w:r>
        <w:rPr>
          <w:b/>
          <w:bCs/>
          <w:color w:val="b91c1c"/>
          <w:sz w:val="21"/>
          <w:szCs w:val="21"/>
        </w:rPr>
        <w:t xml:space="preserve">Wichtig: </w:t>
      </w:r>
      <w:r>
        <w:rPr>
          <w:color w:val="3f3f3f"/>
          <w:sz w:val="21"/>
          <w:szCs w:val="21"/>
        </w:rPr>
        <w:t xml:space="preserve">Ein KONKUBINATSPARTNER mit CH-Pass oder C-Ausweis befreit NICHT — die Befreiung über den Partner gilt nur bei Ehe oder eingetragener Partnerschaft. Deshalb den Partner im Familie-Tab immer mit dem richtigen Typ erfassen (Ehepartner vs. Konkubinatspartner/in).</w:t>
      </w:r>
    </w:p>
    <w:p>
      <w:pPr>
        <w:pStyle w:val="Heading1"/>
        <w:spacing w:after="140" w:before="300"/>
      </w:pPr>
      <w:r>
        <w:rPr>
          <w:b/>
          <w:bCs/>
          <w:color w:val="1a1a1a"/>
          <w:sz w:val="28"/>
          <w:szCs w:val="28"/>
        </w:rPr>
        <w:t xml:space="preserve">2 · Der Ablauf in OneCrew — 5 Schritte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Bewerbung: </w:t>
      </w:r>
      <w:r>
        <w:rPr>
          <w:color w:val="3f3f3f"/>
          <w:sz w:val="21"/>
          <w:szCs w:val="21"/>
        </w:rPr>
        <w:t xml:space="preserve">Bewerbungsbogen (McAdmin) vom Kandidaten vollständig ausfüllen lassen — Zivilstand, Konfession, Nationalität, «Quellensteuerpflichtig?», Kinder, Notfallkontakt. Das ist die erste Quelle für alle QST-Angaben.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MA erfassen: </w:t>
      </w:r>
      <w:r>
        <w:rPr>
          <w:color w:val="3f3f3f"/>
          <w:sz w:val="21"/>
          <w:szCs w:val="21"/>
        </w:rPr>
        <w:t xml:space="preserve">Stammdaten in OneCrew komplett pflegen: Nationalität, Bewilligung (Ausweis einscannen — Art und Ablauf werden automatisch gelesen), Zivilstand + seit wann, Konfession, Wohnadresse. Der Wohnkanton bestimmt, WELCHER Kanton die Steuer erhält.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Familie erfassen: </w:t>
      </w:r>
      <w:r>
        <w:rPr>
          <w:color w:val="3f3f3f"/>
          <w:sz w:val="21"/>
          <w:szCs w:val="21"/>
        </w:rPr>
        <w:t xml:space="preserve">Im Familie-Tab alle Angehörigen mit den QST-Fragen: Ehepartner (Nationalität, Bewilligung, erwerbstätig? + Arbeitgeber-Adresse) · Konkubinatspartner/in (erwerbstätig? + Einkommensfrage) · Kinder (Geburtsdatum, lebt im Haushalt?, gemeinsames Kind mit K-Partner?, ab 18: in Erstausbildung?).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QST-Informationsformular: </w:t>
      </w:r>
      <w:r>
        <w:rPr>
          <w:color w:val="3f3f3f"/>
          <w:sz w:val="21"/>
          <w:szCs w:val="21"/>
        </w:rPr>
        <w:t xml:space="preserve">In McAdmin das Formular «QST-Info» drucken (mit MA-Vorauswahl kommen die bekannten Daten vorbefüllt) und ZUSAMMEN mit dem MA ausfüllen — es deckt alle Fragen des kantonalen Anmeldeformulars ab (Partner, Kinder, weitere Arbeitgeber inkl. Adresse und Pensum, Grenzgänger/Wochenaufenthalt). Die Antworten anschliessend in OneCrew nachtragen.</w:t>
      </w:r>
    </w:p>
    <w:p>
      <w:pPr>
        <w:pStyle w:val="ListParagraph"/>
        <w:numPr>
          <w:ilvl w:val="0"/>
          <w:numId w:val="3"/>
        </w:numPr>
        <w:spacing w:after="200" w:before="0"/>
      </w:pPr>
      <w:r>
        <w:rPr>
          <w:b/>
          <w:bCs/>
          <w:color w:val="3f3f3f"/>
          <w:sz w:val="21"/>
          <w:szCs w:val="21"/>
        </w:rPr>
        <w:t xml:space="preserve">Tarif erfassen + anmelden: </w:t>
      </w:r>
      <w:r>
        <w:rPr>
          <w:color w:val="3f3f3f"/>
          <w:sz w:val="21"/>
          <w:szCs w:val="21"/>
        </w:rPr>
        <w:t xml:space="preserve">Im MA-Tab «Bewilligung QST Bank» eine neue QST-Erfassung anlegen. OneCrew rechnet aus allen Angaben einen Tarifvorschlag mit Begründung — prüfen und übernehmen. Danach die QST-Anmeldung (PDF) generieren und an die kantonale Steuerbehörde senden. Ab jetzt zieht der Lohnlauf die Steuer automatisch ab.</w:t>
      </w:r>
    </w:p>
    <w:p>
      <w:pPr>
        <w:pStyle w:val="Heading1"/>
        <w:spacing w:after="140" w:before="300"/>
      </w:pPr>
      <w:r>
        <w:rPr>
          <w:b/>
          <w:bCs/>
          <w:color w:val="1a1a1a"/>
          <w:sz w:val="28"/>
          <w:szCs w:val="28"/>
        </w:rPr>
        <w:t xml:space="preserve">3 · So entsteht der Tarif-Code</w:t>
      </w:r>
    </w:p>
    <w:p>
      <w:pPr>
        <w:spacing w:after="120" w:before="0"/>
      </w:pPr>
      <w:r>
        <w:rPr>
          <w:color w:val="3f3f3f"/>
          <w:sz w:val="21"/>
          <w:szCs w:val="21"/>
        </w:rPr>
        <w:t xml:space="preserve">Der Code hat drei Teile, z.B. </w:t>
      </w:r>
      <w:r>
        <w:rPr>
          <w:b/>
          <w:bCs/>
          <w:color w:val="3f3f3f"/>
          <w:sz w:val="21"/>
          <w:szCs w:val="21"/>
        </w:rPr>
        <w:t xml:space="preserve">B2Y</w:t>
      </w:r>
      <w:r>
        <w:rPr>
          <w:color w:val="3f3f3f"/>
          <w:sz w:val="21"/>
          <w:szCs w:val="21"/>
        </w:rPr>
        <w:t xml:space="preserve">:  </w:t>
      </w:r>
      <w:r>
        <w:rPr>
          <w:b/>
          <w:bCs/>
          <w:color w:val="3f3f3f"/>
          <w:sz w:val="21"/>
          <w:szCs w:val="21"/>
        </w:rPr>
        <w:t xml:space="preserve">Buchstabe</w:t>
      </w:r>
      <w:r>
        <w:rPr>
          <w:color w:val="3f3f3f"/>
          <w:sz w:val="21"/>
          <w:szCs w:val="21"/>
        </w:rPr>
        <w:t xml:space="preserve"> (Lebenssituation) + </w:t>
      </w:r>
      <w:r>
        <w:rPr>
          <w:b/>
          <w:bCs/>
          <w:color w:val="3f3f3f"/>
          <w:sz w:val="21"/>
          <w:szCs w:val="21"/>
        </w:rPr>
        <w:t xml:space="preserve">Kinderziffer</w:t>
      </w:r>
      <w:r>
        <w:rPr>
          <w:color w:val="3f3f3f"/>
          <w:sz w:val="21"/>
          <w:szCs w:val="21"/>
        </w:rPr>
        <w:t xml:space="preserve"> (Anzahl massgebender Kinder) + </w:t>
      </w:r>
      <w:r>
        <w:rPr>
          <w:b/>
          <w:bCs/>
          <w:color w:val="3f3f3f"/>
          <w:sz w:val="21"/>
          <w:szCs w:val="21"/>
        </w:rPr>
        <w:t xml:space="preserve">Y/N</w:t>
      </w:r>
      <w:r>
        <w:rPr>
          <w:color w:val="3f3f3f"/>
          <w:sz w:val="21"/>
          <w:szCs w:val="21"/>
        </w:rPr>
        <w:t xml:space="preserve"> (mit/ohne Kirchensteuer).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5060"/>
      </w:tblGrid>
      <w:tr>
        <w:tc>
          <w:tcPr>
            <w:tcW w:type="dxa" w:w="10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shd w:fill="f1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Tarif</w:t>
            </w:r>
          </w:p>
        </w:tc>
        <w:tc>
          <w:tcPr>
            <w:tcW w:type="dxa" w:w="33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shd w:fill="f1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Für wen</w:t>
            </w:r>
          </w:p>
        </w:tc>
        <w:tc>
          <w:tcPr>
            <w:tcW w:type="dxa" w:w="50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shd w:fill="f1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Bemerkung</w:t>
            </w:r>
          </w:p>
        </w:tc>
      </w:tr>
      <w:tr>
        <w:tc>
          <w:tcPr>
            <w:tcW w:type="dxa" w:w="10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A</w:t>
            </w:r>
          </w:p>
        </w:tc>
        <w:tc>
          <w:tcPr>
            <w:tcW w:type="dxa" w:w="33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Alleinstehend (ledig, geschieden, verwitwet, getrennt)</w:t>
            </w:r>
          </w:p>
        </w:tc>
        <w:tc>
          <w:tcPr>
            <w:tcW w:type="dxa" w:w="50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Kinderziffer ist fast immer 0 — A1–A9 nur mit schriftlicher Bewilligung der Steuerbehörde («Speziell bewilligt» + Beleg).</w:t>
            </w:r>
          </w:p>
        </w:tc>
      </w:tr>
      <w:tr>
        <w:tc>
          <w:tcPr>
            <w:tcW w:type="dxa" w:w="10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B</w:t>
            </w:r>
          </w:p>
        </w:tc>
        <w:tc>
          <w:tcPr>
            <w:tcW w:type="dxa" w:w="33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Verheiratet, nur der MA arbeitet (Alleinverdiener)</w:t>
            </w:r>
          </w:p>
        </w:tc>
        <w:tc>
          <w:tcPr>
            <w:tcW w:type="dxa" w:w="50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Ehepartner im Familie-Tab als «nicht erwerbstätig» erfasst.</w:t>
            </w:r>
          </w:p>
        </w:tc>
      </w:tr>
      <w:tr>
        <w:tc>
          <w:tcPr>
            <w:tcW w:type="dxa" w:w="10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C</w:t>
            </w:r>
          </w:p>
        </w:tc>
        <w:tc>
          <w:tcPr>
            <w:tcW w:type="dxa" w:w="33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Verheiratet, beide arbeiten (Doppelverdiener)</w:t>
            </w:r>
          </w:p>
        </w:tc>
        <w:tc>
          <w:tcPr>
            <w:tcW w:type="dxa" w:w="50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Achtung: auch Erwerbseinkommen des Partners im AUSLAND zählt für C.</w:t>
            </w:r>
          </w:p>
        </w:tc>
      </w:tr>
      <w:tr>
        <w:tc>
          <w:tcPr>
            <w:tcW w:type="dxa" w:w="10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H</w:t>
            </w:r>
          </w:p>
        </w:tc>
        <w:tc>
          <w:tcPr>
            <w:tcW w:type="dxa" w:w="33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Alleinerziehend mit Kind im gleichen Haushalt</w:t>
            </w:r>
          </w:p>
        </w:tc>
        <w:tc>
          <w:tcPr>
            <w:tcW w:type="dxa" w:w="50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Zählt nur Kinder im SELBEN Haushalt. Im Konkubinat: siehe Sonderfälle.</w:t>
            </w:r>
          </w:p>
        </w:tc>
      </w:tr>
      <w:tr>
        <w:tc>
          <w:tcPr>
            <w:tcW w:type="dxa" w:w="10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G / L–Q</w:t>
            </w:r>
          </w:p>
        </w:tc>
        <w:tc>
          <w:tcPr>
            <w:tcW w:type="dxa" w:w="33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Ersatzeinkünfte bzw. Grenzgänger (DE)</w:t>
            </w:r>
          </w:p>
        </w:tc>
        <w:tc>
          <w:tcPr>
            <w:tcW w:type="dxa" w:w="50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Selten — im Zweifel mit der Steuerbehörde klären.</w:t>
            </w:r>
          </w:p>
        </w:tc>
      </w:tr>
    </w:tbl>
    <w:p>
      <w:pPr>
        <w:spacing w:after="60" w:before="0"/>
      </w:pPr>
      <w:r>
        <w:rPr>
          <w:color w:val="3f3f3f"/>
          <w:sz w:val="21"/>
          <w:szCs w:val="21"/>
        </w:rPr>
        <w:t xml:space="preserve"/>
      </w:r>
    </w:p>
    <w:p>
      <w:pPr>
        <w:spacing w:after="120" w:before="0"/>
      </w:pPr>
      <w:r>
        <w:rPr>
          <w:b/>
          <w:bCs/>
          <w:color w:val="3f3f3f"/>
          <w:sz w:val="21"/>
          <w:szCs w:val="21"/>
        </w:rPr>
        <w:t xml:space="preserve">Kirchensteuer (Y/N): </w:t>
      </w:r>
      <w:r>
        <w:rPr>
          <w:color w:val="3f3f3f"/>
          <w:sz w:val="21"/>
          <w:szCs w:val="21"/>
        </w:rPr>
        <w:t xml:space="preserve">kommt automatisch aus der Konfession des MA — evangelisch-reformiert, römisch-katholisch und christ-katholisch = Y, alles andere (keine, andere, …) = N. Nie von Hand setzen.</w:t>
      </w:r>
    </w:p>
    <w:p>
      <w:pPr>
        <w:spacing w:after="200" w:before="0"/>
      </w:pPr>
      <w:r>
        <w:rPr>
          <w:b/>
          <w:bCs/>
          <w:color w:val="3f3f3f"/>
          <w:sz w:val="21"/>
          <w:szCs w:val="21"/>
        </w:rPr>
        <w:t xml:space="preserve">Kinderziffer: </w:t>
      </w:r>
      <w:r>
        <w:rPr>
          <w:color w:val="3f3f3f"/>
          <w:sz w:val="21"/>
          <w:szCs w:val="21"/>
        </w:rPr>
        <w:t xml:space="preserve">Kinder zählen grundsätzlich bis zum 18. Geburtstag; darüber hinaus nur, wenn sie in Erstausbildung stehen (Lehre/Studium — Flag beim Kind, Beleg hinterlegen). OneCrew überwacht das und meldet, wenn ein Kind 18 wird.</w:t>
      </w:r>
    </w:p>
    <w:p>
      <w:pPr>
        <w:pStyle w:val="Heading1"/>
        <w:spacing w:after="140" w:before="300"/>
      </w:pPr>
      <w:r>
        <w:rPr>
          <w:b/>
          <w:bCs/>
          <w:color w:val="1a1a1a"/>
          <w:sz w:val="28"/>
          <w:szCs w:val="28"/>
        </w:rPr>
        <w:t xml:space="preserve">4 · Sonderfall Konkubinat (unverheiratetes Paar)</w:t>
      </w:r>
    </w:p>
    <w:p>
      <w:pPr>
        <w:spacing w:after="120" w:before="0"/>
      </w:pPr>
      <w:r>
        <w:rPr>
          <w:color w:val="3f3f3f"/>
          <w:sz w:val="21"/>
          <w:szCs w:val="21"/>
        </w:rPr>
        <w:t xml:space="preserve">Das Konkubinat interessiert die QST nur über das GEMEINSAME Kind. Es gilt: Der Elternteil, der hauptsächlich für den Unterhalt aufkommt (= höheres Bruttoeinkommen), erhält H1 — der andere A0. Nie beide H1. OneCrew entscheidet automatisch aus dem Familie-Tab: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560"/>
      </w:tblGrid>
      <w:tr>
        <w:tc>
          <w:tcPr>
            <w:tcW w:type="dxa" w:w="46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shd w:fill="f1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Situation (K-Partner erfasst)</w:t>
            </w:r>
          </w:p>
        </w:tc>
        <w:tc>
          <w:tcPr>
            <w:tcW w:type="dxa" w:w="22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shd w:fill="f1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Tarif MA</w:t>
            </w:r>
          </w:p>
        </w:tc>
        <w:tc>
          <w:tcPr>
            <w:tcW w:type="dxa" w:w="25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shd w:fill="f1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Erfassung</w:t>
            </w:r>
          </w:p>
        </w:tc>
      </w:tr>
      <w:tr>
        <w:tc>
          <w:tcPr>
            <w:tcW w:type="dxa" w:w="46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Kein Kind im Haushalt</w:t>
            </w:r>
          </w:p>
        </w:tc>
        <w:tc>
          <w:tcPr>
            <w:tcW w:type="dxa" w:w="22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A0 (wie ledig)</w:t>
            </w:r>
          </w:p>
        </w:tc>
        <w:tc>
          <w:tcPr>
            <w:tcW w:type="dxa" w:w="25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nichts weiter nötig</w:t>
            </w:r>
          </w:p>
        </w:tc>
      </w:tr>
      <w:tr>
        <w:tc>
          <w:tcPr>
            <w:tcW w:type="dxa" w:w="46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Kind im Haushalt, NICHT vom K-Partner</w:t>
            </w:r>
          </w:p>
        </w:tc>
        <w:tc>
          <w:tcPr>
            <w:tcW w:type="dxa" w:w="22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H (alleinerziehend)</w:t>
            </w:r>
          </w:p>
        </w:tc>
        <w:tc>
          <w:tcPr>
            <w:tcW w:type="dxa" w:w="25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beim Kind «gemeinsam = Nein»</w:t>
            </w:r>
          </w:p>
        </w:tc>
      </w:tr>
      <w:tr>
        <w:tc>
          <w:tcPr>
            <w:tcW w:type="dxa" w:w="46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Gemeinsames Kind, K-Partner verdient MEHR als MA</w:t>
            </w:r>
          </w:p>
        </w:tc>
        <w:tc>
          <w:tcPr>
            <w:tcW w:type="dxa" w:w="22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A0 — H1 gehört dem Partner</w:t>
            </w:r>
          </w:p>
        </w:tc>
        <w:tc>
          <w:tcPr>
            <w:tcW w:type="dxa" w:w="25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Einkommensfrage «Ja»</w:t>
            </w:r>
          </w:p>
        </w:tc>
      </w:tr>
      <w:tr>
        <w:tc>
          <w:tcPr>
            <w:tcW w:type="dxa" w:w="46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Gemeinsames Kind, K-Partner verdient WENIGER</w:t>
            </w:r>
          </w:p>
        </w:tc>
        <w:tc>
          <w:tcPr>
            <w:tcW w:type="dxa" w:w="22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H1</w:t>
            </w:r>
          </w:p>
        </w:tc>
        <w:tc>
          <w:tcPr>
            <w:tcW w:type="dxa" w:w="25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Einkommensfrage «Nein»</w:t>
            </w:r>
          </w:p>
        </w:tc>
      </w:tr>
      <w:tr>
        <w:tc>
          <w:tcPr>
            <w:tcW w:type="dxa" w:w="46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Gemeinsames Kind, K-Partner nicht erwerbstätig</w:t>
            </w:r>
          </w:p>
        </w:tc>
        <w:tc>
          <w:tcPr>
            <w:tcW w:type="dxa" w:w="22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H1 (automatisch)</w:t>
            </w:r>
          </w:p>
        </w:tc>
        <w:tc>
          <w:tcPr>
            <w:tcW w:type="dxa" w:w="25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Erwerbstätig «Nein» genügt</w:t>
            </w:r>
          </w:p>
        </w:tc>
      </w:tr>
      <w:tr>
        <w:tc>
          <w:tcPr>
            <w:tcW w:type="dxa" w:w="46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Gemeinsame UND nicht-gemeinsame Kinder gemischt</w:t>
            </w:r>
          </w:p>
        </w:tc>
        <w:tc>
          <w:tcPr>
            <w:tcW w:type="dxa" w:w="220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mit QST-Behörde abklären</w:t>
            </w:r>
          </w:p>
        </w:tc>
        <w:tc>
          <w:tcPr>
            <w:tcW w:type="dxa" w:w="2560"/>
            <w:tcBorders>
              <w:top w:val="single" w:color="d8d1c4" w:sz="4"/>
              <w:left w:val="single" w:color="d8d1c4" w:sz="4"/>
              <w:bottom w:val="single" w:color="d8d1c4" w:sz="4"/>
              <w:right w:val="single" w:color="d8d1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3f3f3f"/>
                <w:sz w:val="19"/>
                <w:szCs w:val="19"/>
              </w:rPr>
              <w:t xml:space="preserve">kein Automatismus</w:t>
            </w:r>
          </w:p>
        </w:tc>
      </w:tr>
    </w:tbl>
    <w:p>
      <w:pPr>
        <w:spacing w:after="200" w:before="0"/>
      </w:pPr>
      <w:r>
        <w:rPr>
          <w:color w:val="3f3f3f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b/>
          <w:bCs/>
          <w:color w:val="1a1a1a"/>
          <w:sz w:val="28"/>
          <w:szCs w:val="28"/>
        </w:rPr>
        <w:t xml:space="preserve">5 · Weitere Sonderfälle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Partner lebt im Ausland </w:t>
      </w:r>
      <w:r>
        <w:rPr>
          <w:color w:val="3f3f3f"/>
          <w:sz w:val="21"/>
          <w:szCs w:val="21"/>
        </w:rPr>
        <w:t xml:space="preserve">(z.B. Flüchtlingsfamilien): keine Schweizer Bewilligung nötig — im Familie-Tab «in der Schweiz lebend» leer lassen und die Auslandsadresse erfassen. Aber: Erwerbstätigkeit im Ausland zählt trotzdem für Tarif C.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Mehrere Arbeitgeber: </w:t>
      </w:r>
      <w:r>
        <w:rPr>
          <w:color w:val="3f3f3f"/>
          <w:sz w:val="21"/>
          <w:szCs w:val="21"/>
        </w:rPr>
        <w:t xml:space="preserve">«Weitere Beschäftigungen des MA» in der QST-Erfassung ankreuzen und die VOLLE Adresse des anderen Arbeitgebers plus das Pensum erfassen (steht so auf dem Anmeldeformular). Der satzbestimmende Lohn wird dann hochgerechnet — der MA zahlt den korrekten, höheren Satz.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Ein-/Austritt mitten im Monat: </w:t>
      </w:r>
      <w:r>
        <w:rPr>
          <w:color w:val="3f3f3f"/>
          <w:sz w:val="21"/>
          <w:szCs w:val="21"/>
        </w:rPr>
        <w:t xml:space="preserve">OneCrew rechnet den satzbestimmenden Lohn automatisch auf den vollen Monat hoch — keine manuelle Arbeit nötig.</w:t>
      </w:r>
    </w:p>
    <w:p>
      <w:pPr>
        <w:pStyle w:val="ListParagraph"/>
        <w:numPr>
          <w:ilvl w:val="0"/>
          <w:numId w:val="2"/>
        </w:numPr>
        <w:spacing w:after="200" w:before="0"/>
      </w:pPr>
      <w:r>
        <w:rPr>
          <w:b/>
          <w:bCs/>
          <w:color w:val="3f3f3f"/>
          <w:sz w:val="21"/>
          <w:szCs w:val="21"/>
        </w:rPr>
        <w:t xml:space="preserve">Umzug/Kantonswechsel: </w:t>
      </w:r>
      <w:r>
        <w:rPr>
          <w:color w:val="3f3f3f"/>
          <w:sz w:val="21"/>
          <w:szCs w:val="21"/>
        </w:rPr>
        <w:t xml:space="preserve">Adressänderung in OneCrew erfassen — das System meldet Austritt im alten und Eintritt im neuen Kanton und stellt den Tarif um.</w:t>
      </w:r>
    </w:p>
    <w:p>
      <w:pPr>
        <w:pStyle w:val="Heading1"/>
        <w:spacing w:after="140" w:before="300"/>
      </w:pPr>
      <w:r>
        <w:rPr>
          <w:b/>
          <w:bCs/>
          <w:color w:val="1a1a1a"/>
          <w:sz w:val="28"/>
          <w:szCs w:val="28"/>
        </w:rPr>
        <w:t xml:space="preserve">6 · Goldene Regeln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Im Zweifel den höchsten Tarif erfassen </w:t>
      </w:r>
      <w:r>
        <w:rPr>
          <w:color w:val="3f3f3f"/>
          <w:sz w:val="21"/>
          <w:szCs w:val="21"/>
        </w:rPr>
        <w:t xml:space="preserve">(Knopf «Höchsten Tarif erfassen» im QST-Tab: A0Y bzw. C0Y). Zu viel Abgezogenes erhält der MA von der Steuerbehörde zurück — zu wenig wird für den Betrieb zum Problem.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Ohne Tarif kein Lohn: </w:t>
      </w:r>
      <w:r>
        <w:rPr>
          <w:color w:val="3f3f3f"/>
          <w:sz w:val="21"/>
          <w:szCs w:val="21"/>
        </w:rPr>
        <w:t xml:space="preserve">OneCrew sperrt den Lohnabschluss, solange bei einem QST-pflichtigen MA der Tarif oder die Partner-Angaben fehlen. Das ist Absicht — nicht umgehen, sondern erfassen.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Änderungen sofort nachführen: </w:t>
      </w:r>
      <w:r>
        <w:rPr>
          <w:color w:val="3f3f3f"/>
          <w:sz w:val="21"/>
          <w:szCs w:val="21"/>
        </w:rPr>
        <w:t xml:space="preserve">Heirat, Scheidung, Geburt, Kind wird 18, Partner nimmt Stelle an/auf, Umzug — immer im Familie-Tab bzw. den Stammdaten erfassen und danach eine NEUE QST-Erfassung speichern (alte Erfassungen bleiben als Historie stehen). Der MA ist verpflichtet, solche Änderungen zu melden.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Rote Hinweise ernst nehmen: </w:t>
      </w:r>
      <w:r>
        <w:rPr>
          <w:color w:val="3f3f3f"/>
          <w:sz w:val="21"/>
          <w:szCs w:val="21"/>
        </w:rPr>
        <w:t xml:space="preserve">OneCrew prüft laufend (Konfession vs. Y/N, Kinderziffer, B vs. C, Konkubinat, Ehepartner-Typ …) und zeigt Warnungen direkt in der QST-Zeile und im To-do. Grüne Hinweise bestätigen, dass ein ungewöhnlicher Tarif korrekt ist.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color w:val="3f3f3f"/>
          <w:sz w:val="21"/>
          <w:szCs w:val="21"/>
        </w:rPr>
        <w:t xml:space="preserve">Belege verknüpfen: </w:t>
      </w:r>
      <w:r>
        <w:rPr>
          <w:color w:val="3f3f3f"/>
          <w:sz w:val="21"/>
          <w:szCs w:val="21"/>
        </w:rPr>
        <w:t xml:space="preserve">Ausweise, Befreiungsschreiben, Behörden-Bewilligungen (z.B. für A1–A9), Lehrverträge — immer als Dokument beim MA ablegen und beim Eintrag verknüpfen.</w:t>
      </w:r>
    </w:p>
    <w:p>
      <w:pPr>
        <w:pStyle w:val="ListParagraph"/>
        <w:numPr>
          <w:ilvl w:val="0"/>
          <w:numId w:val="2"/>
        </w:numPr>
        <w:spacing w:after="200" w:before="0"/>
      </w:pPr>
      <w:r>
        <w:rPr>
          <w:b/>
          <w:bCs/>
          <w:color w:val="3f3f3f"/>
          <w:sz w:val="21"/>
          <w:szCs w:val="21"/>
        </w:rPr>
        <w:t xml:space="preserve">«Mit QST-Behörde abklären»: </w:t>
      </w:r>
      <w:r>
        <w:rPr>
          <w:color w:val="3f3f3f"/>
          <w:sz w:val="21"/>
          <w:szCs w:val="21"/>
        </w:rPr>
        <w:t xml:space="preserve">Erscheint diese Meldung (z.B. gemischte Kinder im Konkubinat), entscheidet nicht OneCrew und nicht ihr — kurz das kantonale Steueramt anfragen und die Antwort als Dokument ablegen.</w:t>
      </w:r>
    </w:p>
    <w:p>
      <w:pPr>
        <w:pBdr>
          <w:top w:val="single" w:color="d8d1c4" w:sz="6"/>
        </w:pBdr>
        <w:spacing w:before="200"/>
      </w:pPr>
      <w:r>
        <w:rPr>
          <w:i/>
          <w:iCs/>
          <w:color w:val="6b6b6b"/>
          <w:sz w:val="18"/>
          <w:szCs w:val="18"/>
        </w:rPr>
        <w:t xml:space="preserve">Fragen? Der Tarifvorschlag in OneCrew zeigt zu jedem Code die vollständige Begründung. Grundlage: ESTV-Kreisschreiben 45 und die kantonalen Tariftabellen (in OneCrew hinterlegt).</w:t>
      </w:r>
    </w:p>
    <w:sectPr>
      <w:pgSz w:w="11906" w:h="16838" w:orient="portrait"/>
      <w:pgMar w:top="1133" w:right="124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f3f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2026-08-26T07:46:37.399Z</dcterms:created>
  <dcterms:modified xsi:type="dcterms:W3CDTF">2026-08-26T07:46:37.399Z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