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3F3F3F"/>
          <w:sz w:val="36"/>
          <w:szCs w:val="36"/>
        </w:rPr>
        <w:t xml:space="preserve">Swissdec-Erstberatung — Unterlagen</w:t>
      </w:r>
    </w:p>
    <w:p>
      <w:pPr>
        <w:spacing w:after="240"/>
      </w:pPr>
      <w:r>
        <w:rPr>
          <w:color w:val="646464"/>
          <w:sz w:val="22"/>
          <w:szCs w:val="22"/>
        </w:rPr>
        <w:t xml:space="preserve">OneCrew · Lohnstandard-CH (ELM) 6.0 · Stand 27.08.2026</w:t>
      </w:r>
    </w:p>
    <w:p>
      <w:pPr>
        <w:pStyle w:val="Heading1"/>
        <w:spacing w:after="120" w:before="260"/>
      </w:pPr>
      <w:r>
        <w:rPr>
          <w:b/>
          <w:bCs/>
          <w:color w:val="3F3F3F"/>
          <w:sz w:val="28"/>
          <w:szCs w:val="28"/>
        </w:rPr>
        <w:t xml:space="preserve">1. Wer wir sind / Ausgangslage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F3F3F"/>
          <w:sz w:val="21"/>
          <w:szCs w:val="21"/>
        </w:rPr>
        <w:t xml:space="preserve">OneCrew</w:t>
      </w:r>
      <w:r>
        <w:rPr>
          <w:color w:val="3F3F3F"/>
          <w:sz w:val="21"/>
          <w:szCs w:val="21"/>
        </w:rPr>
        <w:t xml:space="preserve"> ist das selbst entwickelte HR- und Lohnsystem der </w:t>
      </w:r>
      <w:r>
        <w:rPr>
          <w:b/>
          <w:bCs/>
          <w:color w:val="3F3F3F"/>
          <w:sz w:val="21"/>
          <w:szCs w:val="21"/>
        </w:rPr>
        <w:t xml:space="preserve">Schaub Restaurants GmbH</w:t>
      </w:r>
      <w:r>
        <w:rPr>
          <w:color w:val="3F3F3F"/>
          <w:sz w:val="21"/>
          <w:szCs w:val="21"/>
        </w:rPr>
        <w:t xml:space="preserve"> (McDonald’s-Franchise, 7 Restaurants, eine Rechtseinheit/UID).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F3F3F"/>
          <w:sz w:val="21"/>
          <w:szCs w:val="21"/>
        </w:rPr>
        <w:t xml:space="preserve">Grösse: </w:t>
      </w:r>
      <w:r>
        <w:rPr>
          <w:color w:val="3F3F3F"/>
          <w:sz w:val="21"/>
          <w:szCs w:val="21"/>
        </w:rPr>
        <w:t xml:space="preserve">rund 280 Lohnabrechnungen pro Monat; über das Jahr ca. 350 abgerechnete Mitarbeitende (Fluktuation rund 20 %).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3F"/>
          <w:sz w:val="21"/>
          <w:szCs w:val="21"/>
        </w:rPr>
        <w:t xml:space="preserve">Technik: ASP.NET Core 8 / PostgreSQL, Betrieb auf eigenem Server in der Schweiz (Infomaniak).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F3F3F"/>
          <w:sz w:val="21"/>
          <w:szCs w:val="21"/>
        </w:rPr>
        <w:t xml:space="preserve">Eigenentwicklung — zunächst für den Eigengebrauch.</w:t>
      </w:r>
      <w:r>
        <w:rPr>
          <w:color w:val="3F3F3F"/>
          <w:sz w:val="21"/>
          <w:szCs w:val="21"/>
        </w:rPr>
        <w:t xml:space="preserve"> Mittelfristig ist die Lizenzierung an weitere McDonald’s-Franchisenehmer geplant (Potenzial rund 100 Restaurants mit identischem Geschäftsmodell). Der Lohn läuft aktuell im Testbetrieb parallel zum bisherigen Lohnsystem (Mirus); scharfer Betrieb ab 1.1.2027.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F3F3F"/>
          <w:sz w:val="21"/>
          <w:szCs w:val="21"/>
        </w:rPr>
        <w:t xml:space="preserve">Ziel:</w:t>
      </w:r>
      <w:r>
        <w:rPr>
          <w:color w:val="3F3F3F"/>
          <w:sz w:val="21"/>
          <w:szCs w:val="21"/>
        </w:rPr>
        <w:t xml:space="preserve"> Zertifizierung auf Basis ELM 6.0; erste scharfe Jahresmeldung fürs Lohnjahr 2027 (Übermittlung Anfang 2028). Meldeeinheit = Rechtseinheit, Filialen als Workplaces.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3F"/>
          <w:sz w:val="21"/>
          <w:szCs w:val="21"/>
        </w:rPr>
        <w:t xml:space="preserve">Zugang zur Swissdec-Testinfrastruktur ist eingerichtet (Benutzer «schaub»: Infopoint, Quality Tool, Refapps Receiver/Transmitter).</w:t>
      </w:r>
    </w:p>
    <w:p>
      <w:pPr>
        <w:pStyle w:val="Heading1"/>
        <w:spacing w:after="120" w:before="260"/>
      </w:pPr>
      <w:r>
        <w:rPr>
          <w:b/>
          <w:bCs/>
          <w:color w:val="3F3F3F"/>
          <w:sz w:val="28"/>
          <w:szCs w:val="28"/>
        </w:rPr>
        <w:t xml:space="preserve">2. Was wir bereits realisiert haben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F3F3F"/>
          <w:sz w:val="21"/>
          <w:szCs w:val="21"/>
        </w:rPr>
        <w:t xml:space="preserve">Lohnarten-Katalog auf dem ELM-Lohnraster:</w:t>
      </w:r>
      <w:r>
        <w:rPr>
          <w:color w:val="3F3F3F"/>
          <w:sz w:val="21"/>
          <w:szCs w:val="21"/>
        </w:rPr>
        <w:t xml:space="preserve"> alle Lohnpositionen folgen den ELM-Codes (10.1 ff.); die SV-Basen (AHV/ALV/NBU/BVG/UVG/QST) werden produktiv aus den Katalog-Flags gerechnet, mit laufender Kontrollrechnung (55/55 Positionen grün).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F3F3F"/>
          <w:sz w:val="21"/>
          <w:szCs w:val="21"/>
        </w:rPr>
        <w:t xml:space="preserve">Quellensteuer nach Kreisschreiben 45:</w:t>
      </w:r>
      <w:r>
        <w:rPr>
          <w:color w:val="3F3F3F"/>
          <w:sz w:val="21"/>
          <w:szCs w:val="21"/>
        </w:rPr>
        <w:t xml:space="preserve"> Tarifautomatik (inkl. Halbfamilien/Konkubinat), monatliche Abrechnung pro Kanton, SSL-Nummern, Kantonswechsel, Ein-/Austritte.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F3F3F"/>
          <w:sz w:val="21"/>
          <w:szCs w:val="21"/>
        </w:rPr>
        <w:t xml:space="preserve">Lohnprozesse komplett:</w:t>
      </w:r>
      <w:r>
        <w:rPr>
          <w:color w:val="3F3F3F"/>
          <w:sz w:val="21"/>
          <w:szCs w:val="21"/>
        </w:rPr>
        <w:t xml:space="preserve"> Kalendermonatsperioden, kaufmännische 5er-Rundung, Dezember-Jahresausgleich ALV/NBU, 13. Monatslohn, EO Mutterschaft/Vaterschaft, Militär/Zivildienst (L-GAV Art. 28), KTG/UVG-Taggelder, Lohnausweis (Form 11).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F3F3F"/>
          <w:sz w:val="21"/>
          <w:szCs w:val="21"/>
        </w:rPr>
        <w:t xml:space="preserve">Eingefrorene Lohnläufe:</w:t>
      </w:r>
      <w:r>
        <w:rPr>
          <w:color w:val="3F3F3F"/>
          <w:sz w:val="21"/>
          <w:szCs w:val="21"/>
        </w:rPr>
        <w:t xml:space="preserve"> jede abgeschlossene Periode liegt als unveränderbarer Snapshot vor (Audit-Basis für Meldungen).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F3F3F"/>
          <w:sz w:val="21"/>
          <w:szCs w:val="21"/>
        </w:rPr>
        <w:t xml:space="preserve">Isolierte Testinstanz mit Kunstdaten</w:t>
      </w:r>
      <w:r>
        <w:rPr>
          <w:color w:val="3F3F3F"/>
          <w:sz w:val="21"/>
          <w:szCs w:val="21"/>
        </w:rPr>
        <w:t xml:space="preserve"> als gefahrlose Übungs- und Zertifizierungsumgebung (komplett getrennt von den Echtdaten).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F3F3F"/>
          <w:sz w:val="21"/>
          <w:szCs w:val="21"/>
        </w:rPr>
        <w:t xml:space="preserve">ELM-6.0-Dokumentation studiert:</w:t>
      </w:r>
      <w:r>
        <w:rPr>
          <w:color w:val="3F3F3F"/>
          <w:sz w:val="21"/>
          <w:szCs w:val="21"/>
        </w:rPr>
        <w:t xml:space="preserve"> Richtlinien Lohndatenverarbeitung (Ausgabe 06.03.2026), Transmitter-Richtlinien, Security (Transmitter), RefApps-Schnelleinstieg, WSDL/XSD und Beispiel-XMLs.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F3F3F"/>
          <w:sz w:val="21"/>
          <w:szCs w:val="21"/>
        </w:rPr>
        <w:t xml:space="preserve">SOAP-Transmitter-Grundgerüst gebaut und live getestet:</w:t>
      </w:r>
      <w:r>
        <w:rPr>
          <w:color w:val="3F3F3F"/>
          <w:sz w:val="21"/>
          <w:szCs w:val="21"/>
        </w:rPr>
        <w:t xml:space="preserve"> Ping erfolgreich gegen den produktiven Distributor UND den Refapps Receiver (ELMv6-Endpoint). CheckInteroperability wird erwartungsgemäss mit «Client.security» abgewiesen — uns fehlt das Transmitter-Zertifikat für Signatur/Verschlüsselung.</w:t>
      </w:r>
    </w:p>
    <w:p>
      <w:pPr>
        <w:pStyle w:val="Heading1"/>
        <w:spacing w:after="120" w:before="260"/>
      </w:pPr>
      <w:r>
        <w:rPr>
          <w:b/>
          <w:bCs/>
          <w:color w:val="3F3F3F"/>
          <w:sz w:val="28"/>
          <w:szCs w:val="28"/>
        </w:rPr>
        <w:t xml:space="preserve">3. Was wir als Nächstes machen (Etappenplan)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F3F3F"/>
          <w:sz w:val="21"/>
          <w:szCs w:val="21"/>
        </w:rPr>
        <w:t xml:space="preserve">E2 — XML-Generator Jahresmeldung AHV</w:t>
      </w:r>
      <w:r>
        <w:rPr>
          <w:color w:val="3F3F3F"/>
          <w:sz w:val="21"/>
          <w:szCs w:val="21"/>
        </w:rPr>
        <w:t xml:space="preserve"> aus den Kunstdaten der Testinstanz, XSD-valid; Test über die Refapps-Transmitter-Webapp (signiert selbst).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F3F3F"/>
          <w:sz w:val="21"/>
          <w:szCs w:val="21"/>
        </w:rPr>
        <w:t xml:space="preserve">E3 — Stammdaten Rechtseinheit:</w:t>
      </w:r>
      <w:r>
        <w:rPr>
          <w:color w:val="3F3F3F"/>
          <w:sz w:val="21"/>
          <w:szCs w:val="21"/>
        </w:rPr>
        <w:t xml:space="preserve"> UID-BFS, Ausgleichskassen-/Versicherer-/Vertragsnummern, Abgleich mit der Liste der Lohndatenempfänger.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F3F3F"/>
          <w:sz w:val="21"/>
          <w:szCs w:val="21"/>
        </w:rPr>
        <w:t xml:space="preserve">E4 — Erste Ende-zu-Ende-Übermittlung</w:t>
      </w:r>
      <w:r>
        <w:rPr>
          <w:color w:val="3F3F3F"/>
          <w:sz w:val="21"/>
          <w:szCs w:val="21"/>
        </w:rPr>
        <w:t xml:space="preserve"> an den Refapps Receiver (Declare → GetStatus → Synchronize, Quittungen/DialogMessages im UI).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F3F3F"/>
          <w:sz w:val="21"/>
          <w:szCs w:val="21"/>
        </w:rPr>
        <w:t xml:space="preserve">E5 — Alle Jahres-Domänen:</w:t>
      </w:r>
      <w:r>
        <w:rPr>
          <w:color w:val="3F3F3F"/>
          <w:sz w:val="21"/>
          <w:szCs w:val="21"/>
        </w:rPr>
        <w:t xml:space="preserve"> AHV, FAK, UVG, UVGZ, KTG, BVG, Lohnausweis (Tax).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F3F3F"/>
          <w:sz w:val="21"/>
          <w:szCs w:val="21"/>
        </w:rPr>
        <w:t xml:space="preserve">E6/E7 — QST-Monatsmeldung inkl. EMA</w:t>
      </w:r>
      <w:r>
        <w:rPr>
          <w:color w:val="3F3F3F"/>
          <w:sz w:val="21"/>
          <w:szCs w:val="21"/>
        </w:rPr>
        <w:t xml:space="preserve"> sowie NotifyChanges und Statistik (BFS).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F3F3F"/>
          <w:sz w:val="21"/>
          <w:szCs w:val="21"/>
        </w:rPr>
        <w:t xml:space="preserve">E8 — Swissdec-Musterfälle + Quality Tool</w:t>
      </w:r>
      <w:r>
        <w:rPr>
          <w:color w:val="3F3F3F"/>
          <w:sz w:val="21"/>
          <w:szCs w:val="21"/>
        </w:rPr>
        <w:t xml:space="preserve"> auf der Testinstanz.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F3F3F"/>
          <w:sz w:val="21"/>
          <w:szCs w:val="21"/>
        </w:rPr>
        <w:t xml:space="preserve">E9 — Zertifizierung und produktiver Betrieb.</w:t>
      </w:r>
    </w:p>
    <w:p>
      <w:pPr>
        <w:spacing w:after="100"/>
      </w:pPr>
      <w:r>
        <w:rPr>
          <w:color w:val="646464"/>
          <w:sz w:val="21"/>
          <w:szCs w:val="21"/>
        </w:rPr>
        <w:t xml:space="preserve">Zeithorizont (neben dem Tagesgeschäft): E2–E4 Herbst 2026, E5–E8 Winter 2026/Frühjahr 2027, Zertifizierung im Lauf von 2027.</w:t>
      </w:r>
    </w:p>
    <w:p>
      <w:pPr>
        <w:pStyle w:val="Heading1"/>
        <w:spacing w:after="120" w:before="260"/>
      </w:pPr>
      <w:r>
        <w:rPr>
          <w:b/>
          <w:bCs/>
          <w:color w:val="3F3F3F"/>
          <w:sz w:val="28"/>
          <w:szCs w:val="28"/>
        </w:rPr>
        <w:t xml:space="preserve">4. Was wir brauchen — unsere Fragen an Swissdec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3F3F3F"/>
          <w:sz w:val="21"/>
          <w:szCs w:val="21"/>
        </w:rPr>
        <w:t xml:space="preserve">Transmitter-/Entwicklungszertifikat: </w:t>
      </w:r>
      <w:r>
        <w:rPr>
          <w:color w:val="3F3F3F"/>
          <w:sz w:val="21"/>
          <w:szCs w:val="21"/>
        </w:rPr>
        <w:t xml:space="preserve">Wie erhalten wir ein Zertifikat für die Testumgebung, damit wir Signatur + Verschlüsselung (WS-Security) direkt aus OneCrew testen können (CheckInteroperability, später Declare-Operationen)? Ablauf, Voraussetzungen, Zeitrahmen?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3F3F3F"/>
          <w:sz w:val="21"/>
          <w:szCs w:val="21"/>
        </w:rPr>
        <w:t xml:space="preserve">Zertifizierungsvereinbarung: </w:t>
      </w:r>
      <w:r>
        <w:rPr>
          <w:color w:val="3F3F3F"/>
          <w:sz w:val="21"/>
          <w:szCs w:val="21"/>
        </w:rPr>
        <w:t xml:space="preserve">Was umfasst sie konkret? Kosten der Erstzertifizierung und jährliche Folgekosten? Was müssen wir dafür einreichen?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3F3F3F"/>
          <w:sz w:val="21"/>
          <w:szCs w:val="21"/>
        </w:rPr>
        <w:t xml:space="preserve">Umfang «volles Programm»: </w:t>
      </w:r>
      <w:r>
        <w:rPr>
          <w:color w:val="3F3F3F"/>
          <w:sz w:val="21"/>
          <w:szCs w:val="21"/>
        </w:rPr>
        <w:t xml:space="preserve">Uns ist bekannt, dass es nur EIN Zertifizierungsverfahren gibt. Was heisst das konkret — sind auch Domänen zwingend, die wir nicht nutzen (z.B. Grenzgänger-Meldungen FR)? Wie läuft die Prüfung ab (Slots, Dauer, Nachprüfung bei Beanstandungen)? Zudem: jede unserer Filialen hat bei AK und Versicherern eine EIGENE Mitgliednummer — meldet man pro Mitgliednummer (mehrere Addressees) oder konsolidiert pro UID?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3F3F3F"/>
          <w:sz w:val="21"/>
          <w:szCs w:val="21"/>
        </w:rPr>
        <w:t xml:space="preserve">Perspektive Lizenzierung: </w:t>
      </w:r>
      <w:r>
        <w:rPr>
          <w:color w:val="3F3F3F"/>
          <w:sz w:val="21"/>
          <w:szCs w:val="21"/>
        </w:rPr>
        <w:t xml:space="preserve">OneCrew startet im Eigengebrauch (eine UID); mittelfristig ist die Lizenzierung an weitere McDonald’s-Franchisenehmer geplant (~100 Restaurants). Was bedeutet das für Vereinbarung und Zertifikat — Hersteller-Status, mehrere UIDs/Mandanten über denselben zertifizierten Transmitter, separate Instanzen pro Kunde?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3F3F3F"/>
          <w:sz w:val="21"/>
          <w:szCs w:val="21"/>
        </w:rPr>
        <w:t xml:space="preserve">Zeitplan: </w:t>
      </w:r>
      <w:r>
        <w:rPr>
          <w:color w:val="3F3F3F"/>
          <w:sz w:val="21"/>
          <w:szCs w:val="21"/>
        </w:rPr>
        <w:t xml:space="preserve">Ist eine Zertifizierung im Lauf von 2027 realistisch (Ziel: erste scharfe Jahresmeldung Lohnjahr 2027, Übermittlung Anfang 2028)? Gibt es Wartezeiten/Slots bei der Prüfung (Suva)?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3F3F3F"/>
          <w:sz w:val="21"/>
          <w:szCs w:val="21"/>
        </w:rPr>
        <w:t xml:space="preserve">Quality Tool: </w:t>
      </w:r>
      <w:r>
        <w:rPr>
          <w:color w:val="3F3F3F"/>
          <w:sz w:val="21"/>
          <w:szCs w:val="21"/>
        </w:rPr>
        <w:t xml:space="preserve">Ab welcher Etappe ist das Quality Tool sinnvoll nutzbar? Braucht es dafür bereits das Zertifikat oder genügt der API-Schlüssel aus der Testinfrastruktur?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3F3F3F"/>
          <w:sz w:val="21"/>
          <w:szCs w:val="21"/>
        </w:rPr>
        <w:t xml:space="preserve">Anhänge 3/4/6 der ELM-6.0-Richtlinien: </w:t>
      </w:r>
      <w:r>
        <w:rPr>
          <w:color w:val="3F3F3F"/>
          <w:sz w:val="21"/>
          <w:szCs w:val="21"/>
        </w:rPr>
        <w:t xml:space="preserve">Wann erscheinen sie? Aufnahme in den Infomail-Verteiler für ERP-Hersteller (Release-Watch).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3F3F3F"/>
          <w:sz w:val="21"/>
          <w:szCs w:val="21"/>
        </w:rPr>
        <w:t xml:space="preserve">SUA: </w:t>
      </w:r>
      <w:r>
        <w:rPr>
          <w:color w:val="3F3F3F"/>
          <w:sz w:val="21"/>
          <w:szCs w:val="21"/>
        </w:rPr>
        <w:t xml:space="preserve">Bestätigung, dass SUA für den Einstieg optional ist — und Empfehlung, ab wann sich die Einführung lohnt.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3F3F3F"/>
          <w:sz w:val="21"/>
          <w:szCs w:val="21"/>
        </w:rPr>
        <w:t xml:space="preserve">Ansprechpartner: </w:t>
      </w:r>
      <w:r>
        <w:rPr>
          <w:color w:val="3F3F3F"/>
          <w:sz w:val="21"/>
          <w:szCs w:val="21"/>
        </w:rPr>
        <w:t xml:space="preserve">Wer begleitet uns fachlich/technisch während der Entwicklung? Bevorzugter Support-Kanal bei Fragen zu Schemas/Testfällen?</w:t>
      </w:r>
    </w:p>
    <w:p>
      <w:pPr>
        <w:pStyle w:val="Heading1"/>
        <w:spacing w:after="120" w:before="260"/>
      </w:pPr>
      <w:r>
        <w:rPr>
          <w:b/>
          <w:bCs/>
          <w:color w:val="3F3F3F"/>
          <w:sz w:val="28"/>
          <w:szCs w:val="28"/>
        </w:rPr>
        <w:t xml:space="preserve">5. Unsere Eckdaten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F3F3F"/>
          <w:sz w:val="21"/>
          <w:szCs w:val="21"/>
        </w:rPr>
        <w:t xml:space="preserve">Firma: </w:t>
      </w:r>
      <w:r>
        <w:rPr>
          <w:color w:val="3F3F3F"/>
          <w:sz w:val="21"/>
          <w:szCs w:val="21"/>
        </w:rPr>
        <w:t xml:space="preserve">Schaub Restaurants GmbH, Rechtseinheit mit 7 Restaurants (McDonald’s-Franchise), UID: CHE-…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F3F3F"/>
          <w:sz w:val="21"/>
          <w:szCs w:val="21"/>
        </w:rPr>
        <w:t xml:space="preserve">Grösse: </w:t>
      </w:r>
      <w:r>
        <w:rPr>
          <w:color w:val="3F3F3F"/>
          <w:sz w:val="21"/>
          <w:szCs w:val="21"/>
        </w:rPr>
        <w:t xml:space="preserve">ca. 280 Löhne/Monat, ca. 350 Mitarbeitende/Jahr (Turnover ~20 %)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F3F3F"/>
          <w:sz w:val="21"/>
          <w:szCs w:val="21"/>
        </w:rPr>
        <w:t xml:space="preserve">Produkt: </w:t>
      </w:r>
      <w:r>
        <w:rPr>
          <w:color w:val="3F3F3F"/>
          <w:sz w:val="21"/>
          <w:szCs w:val="21"/>
        </w:rPr>
        <w:t xml:space="preserve">OneCrew — Eigenentwicklung; zunächst eigene Rechtseinheit, mittelfristig Lizenzierung an weitere Franchisenehmer geplant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F3F3F"/>
          <w:sz w:val="21"/>
          <w:szCs w:val="21"/>
        </w:rPr>
        <w:t xml:space="preserve">Technik: </w:t>
      </w:r>
      <w:r>
        <w:rPr>
          <w:color w:val="3F3F3F"/>
          <w:sz w:val="21"/>
          <w:szCs w:val="21"/>
        </w:rPr>
        <w:t xml:space="preserve">ASP.NET Core 8, PostgreSQL, Server Schweiz; SOAP-Transmitter in Entwicklung (Ping produktiv getestet)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F3F3F"/>
          <w:sz w:val="21"/>
          <w:szCs w:val="21"/>
        </w:rPr>
        <w:t xml:space="preserve">Zertifizierungsbasis: </w:t>
      </w:r>
      <w:r>
        <w:rPr>
          <w:color w:val="3F3F3F"/>
          <w:sz w:val="21"/>
          <w:szCs w:val="21"/>
        </w:rPr>
        <w:t xml:space="preserve">ELM 6.0 (Ausgabe 06.03.2026)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F3F3F"/>
          <w:sz w:val="21"/>
          <w:szCs w:val="21"/>
        </w:rPr>
        <w:t xml:space="preserve">Kontakt: </w:t>
      </w:r>
      <w:r>
        <w:rPr>
          <w:color w:val="3F3F3F"/>
          <w:sz w:val="21"/>
          <w:szCs w:val="21"/>
        </w:rPr>
        <w:t xml:space="preserve">Walter Schaub, walter.schaub@gmail.com</w:t>
      </w:r>
    </w:p>
    <w:sectPr>
      <w:headerReference w:type="default" r:id="rId7"/>
      <w:footerReference w:type="default" r:id="rId8"/>
      <w:pgSz w:w="11906" w:h="16838" w:orient="portrait"/>
      <w:pgMar w:top="1100" w:right="1250" w:bottom="9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B8B8B"/>
        <w:sz w:val="16"/>
        <w:szCs w:val="16"/>
      </w:rPr>
      <w:t xml:space="preserve">Schaub Restaurants GmbH · OneCrew · Swissdec-Erstberatung · Seite </w:t>
    </w:r>
    <w:r>
      <w:rPr>
        <w:color w:val="8B8B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right"/>
    </w:pPr>
    <w:r>
      <w:drawing>
        <wp:inline distT="0" distB="0" distL="0" distR="0">
          <wp:extent cx="1428750" cy="3714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71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F3F3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20708f4bf7d1564bc39e99a19eb6169bd52403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2026-08-27T21:40:14.016Z</dcterms:created>
  <dcterms:modified xsi:type="dcterms:W3CDTF">2026-08-27T21:40:14.016Z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