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4F71"/>
          <w:sz w:val="48"/>
        </w:rPr>
        <w:t>AI Guardrails — Local-First Delivery Plan</w:t>
      </w:r>
    </w:p>
    <w:p>
      <w:pPr>
        <w:spacing w:after="200"/>
      </w:pPr>
      <w:r>
        <w:rPr>
          <w:color w:val="5A636E"/>
          <w:sz w:val="24"/>
        </w:rPr>
        <w:t>Building the first release with no cloud account, and landing on AWS last</w:t>
      </w:r>
    </w:p>
    <w:p>
      <w:pPr>
        <w:spacing w:after="20"/>
      </w:pPr>
      <w:r>
        <w:rPr>
          <w:b w:val="0"/>
          <w:i w:val="0"/>
          <w:color w:val="5A636E"/>
          <w:sz w:val="18"/>
        </w:rPr>
        <w:t>Status: draft for approval. Nothing built or piloted.</w:t>
      </w:r>
    </w:p>
    <w:p>
      <w:pPr>
        <w:spacing w:after="20"/>
      </w:pPr>
      <w:r>
        <w:rPr>
          <w:b w:val="0"/>
          <w:i w:val="0"/>
          <w:color w:val="5A636E"/>
          <w:sz w:val="18"/>
        </w:rPr>
        <w:t>Decision requested: approve the build sequence in section 2 and the two records in section 1.</w:t>
      </w:r>
    </w:p>
    <w:p>
      <w:pPr>
        <w:spacing w:after="80"/>
      </w:pPr>
    </w:p>
    <w:p>
      <w:pPr>
        <w:pStyle w:val="Heading1"/>
      </w:pPr>
      <w:r>
        <w:t>1. Executive summary</w:t>
      </w:r>
    </w:p>
    <w:p>
      <w:pPr>
        <w:pStyle w:val="Heading2"/>
      </w:pPr>
      <w:r>
        <w:t>What we are building</w:t>
      </w:r>
    </w:p>
    <w:p>
      <w:pPr>
        <w:spacing w:after="120"/>
      </w:pPr>
      <w:r>
        <w:rPr>
          <w:b w:val="0"/>
          <w:i w:val="0"/>
          <w:color w:val="1A1A1A"/>
          <w:sz w:val="21"/>
        </w:rPr>
        <w:t>Teams across the organisation each run their own LLM gateway. Today every team writes its own safety checks, so the same organisational rule is implemented differently in every place it applies, and nobody can say with evidence which rule is in force where.</w:t>
      </w:r>
    </w:p>
    <w:p>
      <w:pPr>
        <w:spacing w:after="120"/>
      </w:pPr>
      <w:r>
        <w:rPr>
          <w:b w:val="0"/>
          <w:i w:val="0"/>
          <w:color w:val="1A1A1A"/>
          <w:sz w:val="21"/>
        </w:rPr>
        <w:t>AI Guardrails makes the safety policy a separate, versioned, reusable thing. A team keeps its own gateway, its own model provider and its own request path, and calls out to a shared evaluation service that answers one question: may this content proceed, and why. The policy, the evaluation and the audited decision are the product. The gateway is not.</w:t>
      </w:r>
    </w:p>
    <w:tbl>
      <w:tblPr>
        <w:tblW w:type="auto" w:w="0"/>
        <w:jc w:val="center"/>
        <w:tblLayout w:type="fixed"/>
        <w:tblLook w:firstColumn="1" w:firstRow="1" w:lastColumn="0" w:lastRow="0" w:noHBand="0" w:noVBand="1" w:val="04A0"/>
        <w:tblLayout w:type="fixed"/>
        <w:tblW w:w="9602" w:type="dxa"/>
      </w:tblPr>
      <w:tblGrid>
        <w:gridCol w:w="1372"/>
        <w:gridCol w:w="274"/>
        <w:gridCol w:w="1372"/>
        <w:gridCol w:w="274"/>
        <w:gridCol w:w="1372"/>
        <w:gridCol w:w="274"/>
        <w:gridCol w:w="1372"/>
        <w:gridCol w:w="274"/>
        <w:gridCol w:w="1372"/>
        <w:gridCol w:w="274"/>
        <w:gridCol w:w="1372"/>
      </w:tblGrid>
      <w:tr>
        <w:tc>
          <w:tcPr>
            <w:tcW w:type="dxa" w:w="1372"/>
            <w:vAlign w:val="center"/>
            <w:shd w:val="clear" w:color="auto" w:fill="E8EEF2"/>
          </w:tcPr>
          <w:p>
            <w:pPr>
              <w:spacing w:before="80" w:after="80"/>
              <w:jc w:val="center"/>
            </w:pPr>
            <w:r/>
            <w:r>
              <w:rPr>
                <w:b/>
                <w:color w:val="1A1A1A"/>
                <w:sz w:val="17"/>
              </w:rPr>
              <w:t>Application</w:t>
            </w:r>
          </w:p>
        </w:tc>
        <w:tc>
          <w:tcPr>
            <w:tcW w:type="dxa" w:w="274"/>
            <w:vAlign w:val="center"/>
          </w:tcPr>
          <w:p>
            <w:pPr>
              <w:spacing w:before="80" w:after="80"/>
              <w:jc w:val="center"/>
            </w:pPr>
            <w:r/>
            <w:r>
              <w:rPr>
                <w:b w:val="0"/>
                <w:color w:val="0B4F71"/>
                <w:sz w:val="18"/>
              </w:rPr>
              <w:t>▶</w:t>
            </w:r>
          </w:p>
        </w:tc>
        <w:tc>
          <w:tcPr>
            <w:tcW w:type="dxa" w:w="1372"/>
            <w:vAlign w:val="center"/>
            <w:shd w:val="clear" w:color="auto" w:fill="E8EEF2"/>
          </w:tcPr>
          <w:p>
            <w:pPr>
              <w:spacing w:before="80" w:after="80"/>
              <w:jc w:val="center"/>
            </w:pPr>
            <w:r/>
            <w:r>
              <w:rPr>
                <w:b/>
                <w:color w:val="1A1A1A"/>
                <w:sz w:val="17"/>
              </w:rPr>
              <w:t>Team's own</w:t>
              <w:br/>
              <w:t>gateway</w:t>
            </w:r>
          </w:p>
        </w:tc>
        <w:tc>
          <w:tcPr>
            <w:tcW w:type="dxa" w:w="274"/>
            <w:vAlign w:val="center"/>
          </w:tcPr>
          <w:p>
            <w:pPr>
              <w:spacing w:before="80" w:after="80"/>
              <w:jc w:val="center"/>
            </w:pPr>
            <w:r/>
            <w:r>
              <w:rPr>
                <w:b w:val="0"/>
                <w:color w:val="0B4F71"/>
                <w:sz w:val="18"/>
              </w:rPr>
              <w:t>▶</w:t>
            </w:r>
          </w:p>
        </w:tc>
        <w:tc>
          <w:tcPr>
            <w:tcW w:type="dxa" w:w="1372"/>
            <w:vAlign w:val="center"/>
            <w:shd w:val="clear" w:color="auto" w:fill="E8EEF2"/>
          </w:tcPr>
          <w:p>
            <w:pPr>
              <w:spacing w:before="80" w:after="80"/>
              <w:jc w:val="center"/>
            </w:pPr>
            <w:r/>
            <w:r>
              <w:rPr>
                <w:b/>
                <w:color w:val="1A1A1A"/>
                <w:sz w:val="17"/>
              </w:rPr>
              <w:t>Check the</w:t>
              <w:br/>
              <w:t>prompt</w:t>
            </w:r>
          </w:p>
        </w:tc>
        <w:tc>
          <w:tcPr>
            <w:tcW w:type="dxa" w:w="274"/>
            <w:vAlign w:val="center"/>
          </w:tcPr>
          <w:p>
            <w:pPr>
              <w:spacing w:before="80" w:after="80"/>
              <w:jc w:val="center"/>
            </w:pPr>
            <w:r/>
            <w:r>
              <w:rPr>
                <w:b w:val="0"/>
                <w:color w:val="0B4F71"/>
                <w:sz w:val="18"/>
              </w:rPr>
              <w:t>▶</w:t>
            </w:r>
          </w:p>
        </w:tc>
        <w:tc>
          <w:tcPr>
            <w:tcW w:type="dxa" w:w="1372"/>
            <w:vAlign w:val="center"/>
            <w:shd w:val="clear" w:color="auto" w:fill="E8EEF2"/>
          </w:tcPr>
          <w:p>
            <w:pPr>
              <w:spacing w:before="80" w:after="80"/>
              <w:jc w:val="center"/>
            </w:pPr>
            <w:r/>
            <w:r>
              <w:rPr>
                <w:b/>
                <w:color w:val="1A1A1A"/>
                <w:sz w:val="17"/>
              </w:rPr>
              <w:t>Model</w:t>
            </w:r>
          </w:p>
        </w:tc>
        <w:tc>
          <w:tcPr>
            <w:tcW w:type="dxa" w:w="274"/>
            <w:vAlign w:val="center"/>
          </w:tcPr>
          <w:p>
            <w:pPr>
              <w:spacing w:before="80" w:after="80"/>
              <w:jc w:val="center"/>
            </w:pPr>
            <w:r/>
            <w:r>
              <w:rPr>
                <w:b w:val="0"/>
                <w:color w:val="0B4F71"/>
                <w:sz w:val="18"/>
              </w:rPr>
              <w:t>▶</w:t>
            </w:r>
          </w:p>
        </w:tc>
        <w:tc>
          <w:tcPr>
            <w:tcW w:type="dxa" w:w="1372"/>
            <w:vAlign w:val="center"/>
            <w:shd w:val="clear" w:color="auto" w:fill="E8EEF2"/>
          </w:tcPr>
          <w:p>
            <w:pPr>
              <w:spacing w:before="80" w:after="80"/>
              <w:jc w:val="center"/>
            </w:pPr>
            <w:r/>
            <w:r>
              <w:rPr>
                <w:b/>
                <w:color w:val="1A1A1A"/>
                <w:sz w:val="17"/>
              </w:rPr>
              <w:t>Check the</w:t>
              <w:br/>
              <w:t>response</w:t>
            </w:r>
          </w:p>
        </w:tc>
        <w:tc>
          <w:tcPr>
            <w:tcW w:type="dxa" w:w="274"/>
            <w:vAlign w:val="center"/>
          </w:tcPr>
          <w:p>
            <w:pPr>
              <w:spacing w:before="80" w:after="80"/>
              <w:jc w:val="center"/>
            </w:pPr>
            <w:r/>
            <w:r>
              <w:rPr>
                <w:b w:val="0"/>
                <w:color w:val="0B4F71"/>
                <w:sz w:val="18"/>
              </w:rPr>
              <w:t>▶</w:t>
            </w:r>
          </w:p>
        </w:tc>
        <w:tc>
          <w:tcPr>
            <w:tcW w:type="dxa" w:w="1372"/>
            <w:vAlign w:val="center"/>
            <w:shd w:val="clear" w:color="auto" w:fill="E8EEF2"/>
          </w:tcPr>
          <w:p>
            <w:pPr>
              <w:spacing w:before="80" w:after="80"/>
              <w:jc w:val="center"/>
            </w:pPr>
            <w:r/>
            <w:r>
              <w:rPr>
                <w:b/>
                <w:color w:val="1A1A1A"/>
                <w:sz w:val="17"/>
              </w:rPr>
              <w:t>Response</w:t>
            </w:r>
          </w:p>
        </w:tc>
      </w:tr>
    </w:tbl>
    <w:p>
      <w:pPr>
        <w:spacing w:after="160"/>
        <w:jc w:val="center"/>
      </w:pPr>
      <w:r>
        <w:rPr>
          <w:b w:val="0"/>
          <w:i w:val="0"/>
          <w:color w:val="5A636E"/>
          <w:sz w:val="17"/>
        </w:rPr>
        <w:t>The two checks call the shared service. Everything else stays where it already is.</w:t>
      </w:r>
    </w:p>
    <w:p>
      <w:pPr>
        <w:spacing w:after="120"/>
      </w:pPr>
      <w:r>
        <w:rPr>
          <w:b w:val="0"/>
          <w:i w:val="0"/>
          <w:color w:val="1A1A1A"/>
          <w:sz w:val="21"/>
        </w:rPr>
        <w:t>The first release exists to prove one claim: that a single policy can govern two independently operated gateways and produce the same decision in both. If that holds, the approach scales to every team. If it does not, nothing built afterwards matters.</w:t>
      </w:r>
    </w:p>
    <w:p>
      <w:pPr>
        <w:pStyle w:val="Heading2"/>
      </w:pPr>
      <w:r>
        <w:t>The constraint: no cloud account</w:t>
      </w:r>
    </w:p>
    <w:p>
      <w:pPr>
        <w:spacing w:after="120"/>
      </w:pPr>
      <w:r>
        <w:rPr>
          <w:b w:val="0"/>
          <w:i w:val="0"/>
          <w:color w:val="1A1A1A"/>
          <w:sz w:val="21"/>
        </w:rPr>
        <w:t>We have no AWS account, and getting one is not on a date we control. The question this plan answers is whether that blocks the work.</w:t>
      </w:r>
    </w:p>
    <w:p>
      <w:pPr>
        <w:spacing w:after="120"/>
      </w:pPr>
      <w:r>
        <w:rPr>
          <w:b w:val="0"/>
          <w:i w:val="0"/>
          <w:color w:val="1A1A1A"/>
          <w:sz w:val="21"/>
        </w:rPr>
        <w:t>It largely does not. The first release depends on twelve platform services. Eleven are infrastructure choices — compute, storage, queues, secrets, metrics — and each has a local stand-in that meets the actual requirement. Policy storage needs immutable versioning, not a specific cloud product. Audit needs a durable append-only record, not a specific queue.</w:t>
      </w:r>
    </w:p>
    <w:p>
      <w:pPr>
        <w:spacing w:after="120"/>
      </w:pPr>
      <w:r>
        <w:rPr>
          <w:b w:val="0"/>
          <w:i w:val="0"/>
          <w:color w:val="1A1A1A"/>
          <w:sz w:val="21"/>
        </w:rPr>
        <w:t>One dependency has no local substitute: Amazon Bedrock Guardrails, the hosted detection engine we intend to buy rather than build. It exists only as a cloud service. That is the honest gap — and a narrower one than it sounds, because detection itself does not wait for it. Four detectors are built and tested locally from the start.</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4" w:type="dxa"/>
      </w:tblPr>
      <w:tblGrid>
        <w:gridCol w:w="9604"/>
      </w:tblGrid>
      <w:tr>
        <w:tc>
          <w:tcPr>
            <w:tcW w:type="dxa" w:w="9604"/>
            <w:shd w:val="clear" w:color="auto" w:fill="E8EEF2"/>
          </w:tcPr>
          <w:p>
            <w:pPr>
              <w:spacing w:before="120" w:after="120"/>
            </w:pPr>
            <w:r/>
            <w:r>
              <w:rPr>
                <w:b/>
                <w:sz w:val="21"/>
              </w:rPr>
              <w:t>Bottom line.</w:t>
            </w:r>
            <w:r>
              <w:rPr>
                <w:b w:val="0"/>
                <w:sz w:val="21"/>
              </w:rPr>
              <w:t xml:space="preserve"> Fourteen of the seventeen capabilities in the first release can be built and demonstrated locally. Three need a cloud account: the managed detection engine, hosted deployment, and multi-region availability. All three are grouped into the final stage.</w:t>
            </w:r>
          </w:p>
        </w:tc>
      </w:tr>
    </w:tbl>
    <w:p>
      <w:pPr>
        <w:spacing w:after="40"/>
      </w:pPr>
    </w:p>
    <w:p>
      <w:pPr>
        <w:pStyle w:val="Heading2"/>
      </w:pPr>
      <w:r>
        <w:t>What building locally first buys us</w:t>
      </w:r>
    </w:p>
    <w:p>
      <w:pPr>
        <w:pStyle w:val="ListBullet"/>
        <w:spacing w:after="60"/>
      </w:pPr>
      <w:r>
        <w:rPr>
          <w:b/>
          <w:sz w:val="21"/>
        </w:rPr>
        <w:t>No spend and no account dependency until the last stage.</w:t>
      </w:r>
      <w:r>
        <w:rPr>
          <w:b w:val="0"/>
          <w:sz w:val="21"/>
        </w:rPr>
        <w:t xml:space="preserve"> Funding confirmation and account provisioning stop gating the start of work.</w:t>
      </w:r>
    </w:p>
    <w:p>
      <w:pPr>
        <w:pStyle w:val="ListBullet"/>
        <w:spacing w:after="60"/>
      </w:pPr>
      <w:r>
        <w:rPr>
          <w:b/>
          <w:sz w:val="21"/>
        </w:rPr>
        <w:t>A later phase gets de-risked for free.</w:t>
      </w:r>
      <w:r>
        <w:rPr>
          <w:b w:val="0"/>
          <w:sz w:val="21"/>
        </w:rPr>
        <w:t xml:space="preserve"> Some teams will eventually require the evaluation runtime to sit inside their own network and keep working when it cannot reach our control plane. Building while no control plane exists forces that independence from the first commit, instead of discovering the coupling months later.</w:t>
      </w:r>
    </w:p>
    <w:p>
      <w:pPr>
        <w:pStyle w:val="ListBullet"/>
        <w:spacing w:after="60"/>
      </w:pPr>
      <w:r>
        <w:rPr>
          <w:b/>
          <w:sz w:val="21"/>
        </w:rPr>
        <w:t>Vendor independence is proven, not asserted.</w:t>
      </w:r>
      <w:r>
        <w:rPr>
          <w:b w:val="0"/>
          <w:sz w:val="21"/>
        </w:rPr>
        <w:t xml:space="preserve"> We have committed that no detection vendor's data shapes leak into our own contract. Standing up two non-vendor engines first makes that boundary structural rather than a rule someone has to remember.</w:t>
      </w:r>
    </w:p>
    <w:p>
      <w:pPr>
        <w:pStyle w:val="ListBullet"/>
        <w:spacing w:after="60"/>
      </w:pPr>
      <w:r>
        <w:rPr>
          <w:b/>
          <w:sz w:val="21"/>
        </w:rPr>
        <w:t>Failure behaviour gets tested properly.</w:t>
      </w:r>
      <w:r>
        <w:rPr>
          <w:b w:val="0"/>
          <w:sz w:val="21"/>
        </w:rPr>
        <w:t xml:space="preserve"> What happens when a detector is down or slow is part of policy, not a hardcoded fallback. Locally that is tested by stopping a container — cheaper and more repeatable than provoking the same conditions against a managed service.</w:t>
      </w:r>
    </w:p>
    <w:p>
      <w:pPr>
        <w:pStyle w:val="Heading2"/>
      </w:pPr>
      <w:r>
        <w:t>What building locally first costs us</w:t>
      </w:r>
    </w:p>
    <w:p>
      <w:pPr>
        <w:pStyle w:val="ListBullet"/>
        <w:spacing w:after="60"/>
      </w:pPr>
      <w:r>
        <w:rPr>
          <w:b/>
          <w:sz w:val="21"/>
        </w:rPr>
        <w:t>The first release cannot be signed off before the final stage.</w:t>
      </w:r>
      <w:r>
        <w:rPr>
          <w:b w:val="0"/>
          <w:sz w:val="21"/>
        </w:rPr>
        <w:t xml:space="preserve"> The managed detection engine is part of it, and deferring a committed deliverable is a change that must be recorded rather than absorbed quietly.</w:t>
      </w:r>
    </w:p>
    <w:p>
      <w:pPr>
        <w:pStyle w:val="ListBullet"/>
        <w:spacing w:after="60"/>
      </w:pPr>
      <w:r>
        <w:rPr>
          <w:b/>
          <w:sz w:val="21"/>
        </w:rPr>
        <w:t>One proof stays open.</w:t>
      </w:r>
      <w:r>
        <w:rPr>
          <w:b w:val="0"/>
          <w:sz w:val="21"/>
        </w:rPr>
        <w:t xml:space="preserve"> Confirming that the managed engine's output maps cleanly onto our own decision format cannot be done without the service. Until then the contract is treated as settled in every respect except engine-neutrality.</w:t>
      </w:r>
    </w:p>
    <w:p>
      <w:pPr>
        <w:pStyle w:val="ListBullet"/>
        <w:spacing w:after="60"/>
      </w:pPr>
      <w:r>
        <w:rPr>
          <w:b/>
          <w:sz w:val="21"/>
        </w:rPr>
        <w:t>Two security controls stay unproven.</w:t>
      </w:r>
      <w:r>
        <w:rPr>
          <w:b w:val="0"/>
          <w:sz w:val="21"/>
        </w:rPr>
        <w:t xml:space="preserve"> Encryption at rest and cloud-native workload identity are properties of the target platform. Local substitutes demonstrate the design, not the control. Both are proven in the final stage.</w:t>
      </w:r>
    </w:p>
    <w:p>
      <w:pPr>
        <w:pStyle w:val="ListBullet"/>
        <w:spacing w:after="60"/>
      </w:pPr>
      <w:r>
        <w:rPr>
          <w:b/>
          <w:sz w:val="21"/>
        </w:rPr>
        <w:t>Local performance numbers are indicative only.</w:t>
      </w:r>
      <w:r>
        <w:rPr>
          <w:b w:val="0"/>
          <w:sz w:val="21"/>
        </w:rPr>
        <w:t xml:space="preserve"> Measurements taken on developer hardware, with no network hop to a managed detector, rank the checks by cost. They do not set a latency budget.</w:t>
      </w:r>
    </w:p>
    <w:p>
      <w:pPr>
        <w:pStyle w:val="Heading2"/>
      </w:pPr>
      <w:r>
        <w:t>The decision requested</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3" w:type="dxa"/>
      </w:tblPr>
      <w:tblGrid>
        <w:gridCol w:w="426"/>
        <w:gridCol w:w="6616"/>
        <w:gridCol w:w="2561"/>
      </w:tblGrid>
      <w:tr>
        <w:trPr>
          <w:tblHeader w:val="true"/>
        </w:trPr>
        <w:tc>
          <w:tcPr>
            <w:tcW w:type="dxa" w:w="426"/>
            <w:shd w:val="clear" w:color="auto" w:fill="E8EEF2"/>
          </w:tcPr>
          <w:p>
            <w:pPr>
              <w:spacing w:before="60" w:after="60"/>
            </w:pPr>
            <w:r/>
            <w:r>
              <w:rPr>
                <w:b/>
                <w:color w:val="0B4F71"/>
                <w:sz w:val="19"/>
              </w:rPr>
              <w:t>#</w:t>
            </w:r>
          </w:p>
        </w:tc>
        <w:tc>
          <w:tcPr>
            <w:tcW w:type="dxa" w:w="6616"/>
            <w:shd w:val="clear" w:color="auto" w:fill="E8EEF2"/>
          </w:tcPr>
          <w:p>
            <w:pPr>
              <w:spacing w:before="60" w:after="60"/>
            </w:pPr>
            <w:r/>
            <w:r>
              <w:rPr>
                <w:b/>
                <w:color w:val="0B4F71"/>
                <w:sz w:val="19"/>
              </w:rPr>
              <w:t>Decision</w:t>
            </w:r>
          </w:p>
        </w:tc>
        <w:tc>
          <w:tcPr>
            <w:tcW w:type="dxa" w:w="2561"/>
            <w:shd w:val="clear" w:color="auto" w:fill="E8EEF2"/>
          </w:tcPr>
          <w:p>
            <w:pPr>
              <w:spacing w:before="60" w:after="60"/>
            </w:pPr>
            <w:r/>
            <w:r>
              <w:rPr>
                <w:b/>
                <w:color w:val="0B4F71"/>
                <w:sz w:val="19"/>
              </w:rPr>
              <w:t>Owner</w:t>
            </w:r>
          </w:p>
        </w:tc>
      </w:tr>
      <w:tr>
        <w:trPr>
          <w:cantSplit w:val="true"/>
        </w:trPr>
        <w:tc>
          <w:tcPr>
            <w:tcW w:type="dxa" w:w="426"/>
          </w:tcPr>
          <w:p>
            <w:pPr>
              <w:spacing w:before="50" w:after="50"/>
            </w:pPr>
            <w:r>
              <w:rPr>
                <w:sz w:val="19"/>
              </w:rPr>
            </w:r>
            <w:r>
              <w:rPr>
                <w:b w:val="0"/>
                <w:sz w:val="19"/>
              </w:rPr>
              <w:t>1</w:t>
            </w:r>
          </w:p>
        </w:tc>
        <w:tc>
          <w:tcPr>
            <w:tcW w:type="dxa" w:w="6616"/>
          </w:tcPr>
          <w:p>
            <w:pPr>
              <w:spacing w:before="50" w:after="50"/>
            </w:pPr>
            <w:r>
              <w:rPr>
                <w:sz w:val="19"/>
              </w:rPr>
            </w:r>
            <w:r>
              <w:rPr>
                <w:b w:val="0"/>
                <w:sz w:val="19"/>
              </w:rPr>
              <w:t>Approve the eight-stage sequence in section 2 as the build order for the first release.</w:t>
            </w:r>
          </w:p>
        </w:tc>
        <w:tc>
          <w:tcPr>
            <w:tcW w:type="dxa" w:w="2561"/>
          </w:tcPr>
          <w:p>
            <w:pPr>
              <w:spacing w:before="50" w:after="50"/>
            </w:pPr>
            <w:r>
              <w:rPr>
                <w:sz w:val="19"/>
              </w:rPr>
            </w:r>
            <w:r>
              <w:rPr>
                <w:b w:val="0"/>
                <w:sz w:val="19"/>
              </w:rPr>
              <w:t>Delivery lead, technical lead</w:t>
            </w:r>
          </w:p>
        </w:tc>
      </w:tr>
      <w:tr>
        <w:trPr>
          <w:cantSplit w:val="true"/>
        </w:trPr>
        <w:tc>
          <w:tcPr>
            <w:tcW w:type="dxa" w:w="426"/>
            <w:shd w:val="clear" w:color="auto" w:fill="F5F8FA"/>
          </w:tcPr>
          <w:p>
            <w:pPr>
              <w:spacing w:before="50" w:after="50"/>
            </w:pPr>
            <w:r>
              <w:rPr>
                <w:sz w:val="19"/>
              </w:rPr>
            </w:r>
            <w:r>
              <w:rPr>
                <w:b w:val="0"/>
                <w:sz w:val="19"/>
              </w:rPr>
              <w:t>2</w:t>
            </w:r>
          </w:p>
        </w:tc>
        <w:tc>
          <w:tcPr>
            <w:tcW w:type="dxa" w:w="6616"/>
            <w:shd w:val="clear" w:color="auto" w:fill="F5F8FA"/>
          </w:tcPr>
          <w:p>
            <w:pPr>
              <w:spacing w:before="50" w:after="50"/>
            </w:pPr>
            <w:r>
              <w:rPr>
                <w:sz w:val="19"/>
              </w:rPr>
            </w:r>
            <w:r>
              <w:rPr>
                <w:b w:val="0"/>
                <w:sz w:val="19"/>
              </w:rPr>
              <w:t>Approve recording two entries in the decision log: that development runs locally, and that the managed detection engine is deferred to the final stage with sign-off conditioned on it.</w:t>
            </w:r>
          </w:p>
        </w:tc>
        <w:tc>
          <w:tcPr>
            <w:tcW w:type="dxa" w:w="2561"/>
            <w:shd w:val="clear" w:color="auto" w:fill="F5F8FA"/>
          </w:tcPr>
          <w:p>
            <w:pPr>
              <w:spacing w:before="50" w:after="50"/>
            </w:pPr>
            <w:r>
              <w:rPr>
                <w:sz w:val="19"/>
              </w:rPr>
            </w:r>
            <w:r>
              <w:rPr>
                <w:b w:val="0"/>
                <w:sz w:val="19"/>
              </w:rPr>
              <w:t>Product lead, security lead</w:t>
            </w:r>
          </w:p>
        </w:tc>
      </w:tr>
      <w:tr>
        <w:trPr>
          <w:cantSplit w:val="true"/>
        </w:trPr>
        <w:tc>
          <w:tcPr>
            <w:tcW w:type="dxa" w:w="426"/>
          </w:tcPr>
          <w:p>
            <w:pPr>
              <w:spacing w:before="50" w:after="50"/>
            </w:pPr>
            <w:r>
              <w:rPr>
                <w:sz w:val="19"/>
              </w:rPr>
            </w:r>
            <w:r>
              <w:rPr>
                <w:b w:val="0"/>
                <w:sz w:val="19"/>
              </w:rPr>
              <w:t>3</w:t>
            </w:r>
          </w:p>
        </w:tc>
        <w:tc>
          <w:tcPr>
            <w:tcW w:type="dxa" w:w="6616"/>
          </w:tcPr>
          <w:p>
            <w:pPr>
              <w:spacing w:before="50" w:after="50"/>
            </w:pPr>
            <w:r>
              <w:rPr>
                <w:sz w:val="19"/>
              </w:rPr>
            </w:r>
            <w:r>
              <w:rPr>
                <w:b w:val="0"/>
                <w:sz w:val="19"/>
              </w:rPr>
              <w:t>Set a target date for the cloud account request, so the final stage is not the point at which we discover provisioning takes longer than the build did.</w:t>
            </w:r>
          </w:p>
        </w:tc>
        <w:tc>
          <w:tcPr>
            <w:tcW w:type="dxa" w:w="2561"/>
          </w:tcPr>
          <w:p>
            <w:pPr>
              <w:spacing w:before="50" w:after="50"/>
            </w:pPr>
            <w:r>
              <w:rPr>
                <w:sz w:val="19"/>
              </w:rPr>
            </w:r>
            <w:r>
              <w:rPr>
                <w:b w:val="0"/>
                <w:sz w:val="19"/>
              </w:rPr>
              <w:t>Platform operations lead</w:t>
            </w:r>
          </w:p>
        </w:tc>
      </w:tr>
      <w:tr>
        <w:trPr>
          <w:cantSplit w:val="true"/>
        </w:trPr>
        <w:tc>
          <w:tcPr>
            <w:tcW w:type="dxa" w:w="426"/>
            <w:shd w:val="clear" w:color="auto" w:fill="F5F8FA"/>
          </w:tcPr>
          <w:p>
            <w:pPr>
              <w:spacing w:before="50" w:after="50"/>
            </w:pPr>
            <w:r>
              <w:rPr>
                <w:sz w:val="19"/>
              </w:rPr>
            </w:r>
            <w:r>
              <w:rPr>
                <w:b w:val="0"/>
                <w:sz w:val="19"/>
              </w:rPr>
              <w:t>4</w:t>
            </w:r>
          </w:p>
        </w:tc>
        <w:tc>
          <w:tcPr>
            <w:tcW w:type="dxa" w:w="6616"/>
            <w:shd w:val="clear" w:color="auto" w:fill="F5F8FA"/>
          </w:tcPr>
          <w:p>
            <w:pPr>
              <w:spacing w:before="50" w:after="50"/>
            </w:pPr>
            <w:r>
              <w:rPr>
                <w:sz w:val="19"/>
              </w:rPr>
            </w:r>
            <w:r>
              <w:rPr>
                <w:b w:val="0"/>
                <w:sz w:val="19"/>
              </w:rPr>
              <w:t>Confirm that two separately configured gateways satisfy the reuse proof, and that recruiting two real adopting teams remains a separate open commitment.</w:t>
            </w:r>
          </w:p>
        </w:tc>
        <w:tc>
          <w:tcPr>
            <w:tcW w:type="dxa" w:w="2561"/>
            <w:shd w:val="clear" w:color="auto" w:fill="F5F8FA"/>
          </w:tcPr>
          <w:p>
            <w:pPr>
              <w:spacing w:before="50" w:after="50"/>
            </w:pPr>
            <w:r>
              <w:rPr>
                <w:sz w:val="19"/>
              </w:rPr>
            </w:r>
            <w:r>
              <w:rPr>
                <w:b w:val="0"/>
                <w:sz w:val="19"/>
              </w:rPr>
              <w:t>Delivery lead</w:t>
            </w:r>
          </w:p>
        </w:tc>
      </w:tr>
    </w:tbl>
    <w:p>
      <w:pPr>
        <w:spacing w:after="40"/>
      </w:pPr>
    </w:p>
    <w:p>
      <w:r>
        <w:br w:type="page"/>
      </w:r>
    </w:p>
    <w:p>
      <w:pPr>
        <w:pStyle w:val="Heading1"/>
      </w:pPr>
      <w:r>
        <w:t>2. Delivery roadmap by stage</w:t>
      </w:r>
    </w:p>
    <w:p>
      <w:pPr>
        <w:spacing w:after="120"/>
      </w:pPr>
      <w:r>
        <w:rPr>
          <w:b w:val="0"/>
          <w:i w:val="0"/>
          <w:color w:val="1A1A1A"/>
          <w:sz w:val="21"/>
        </w:rPr>
        <w:t>The order below is not a preference. The domain model and the evaluation contract have to exist before any gateway integration, because an integration is only a client of that contract. The single change this plan makes is to move every cloud-bound item out of its original position and into the final stage.</w:t>
      </w:r>
    </w:p>
    <w:tbl>
      <w:tblPr>
        <w:tblW w:type="auto" w:w="0"/>
        <w:jc w:val="center"/>
        <w:tblLayout w:type="fixed"/>
        <w:tblLook w:firstColumn="1" w:firstRow="1" w:lastColumn="0" w:lastRow="0" w:noHBand="0" w:noVBand="1" w:val="04A0"/>
        <w:tblLayout w:type="fixed"/>
        <w:tblW w:w="9600" w:type="dxa"/>
      </w:tblPr>
      <w:tblGrid>
        <w:gridCol w:w="1200"/>
        <w:gridCol w:w="1200"/>
        <w:gridCol w:w="1200"/>
        <w:gridCol w:w="1200"/>
        <w:gridCol w:w="1200"/>
        <w:gridCol w:w="1200"/>
        <w:gridCol w:w="1200"/>
        <w:gridCol w:w="1200"/>
      </w:tblGrid>
      <w:tr>
        <w:tc>
          <w:tcPr>
            <w:tcW w:type="dxa" w:w="1200"/>
            <w:vAlign w:val="center"/>
            <w:shd w:val="clear" w:color="auto" w:fill="E8EEF2"/>
          </w:tcPr>
          <w:p>
            <w:pPr>
              <w:spacing w:before="80" w:after="80"/>
              <w:jc w:val="center"/>
            </w:pPr>
            <w:r/>
            <w:r>
              <w:rPr>
                <w:b/>
                <w:color w:val="1A1A1A"/>
                <w:sz w:val="18"/>
              </w:rPr>
              <w:t>S0</w:t>
            </w:r>
          </w:p>
        </w:tc>
        <w:tc>
          <w:tcPr>
            <w:tcW w:type="dxa" w:w="1200"/>
            <w:vAlign w:val="center"/>
            <w:shd w:val="clear" w:color="auto" w:fill="E8EEF2"/>
          </w:tcPr>
          <w:p>
            <w:pPr>
              <w:spacing w:before="80" w:after="80"/>
              <w:jc w:val="center"/>
            </w:pPr>
            <w:r/>
            <w:r>
              <w:rPr>
                <w:b/>
                <w:color w:val="1A1A1A"/>
                <w:sz w:val="18"/>
              </w:rPr>
              <w:t>S1</w:t>
            </w:r>
          </w:p>
        </w:tc>
        <w:tc>
          <w:tcPr>
            <w:tcW w:type="dxa" w:w="1200"/>
            <w:vAlign w:val="center"/>
            <w:shd w:val="clear" w:color="auto" w:fill="E8EEF2"/>
          </w:tcPr>
          <w:p>
            <w:pPr>
              <w:spacing w:before="80" w:after="80"/>
              <w:jc w:val="center"/>
            </w:pPr>
            <w:r/>
            <w:r>
              <w:rPr>
                <w:b/>
                <w:color w:val="1A1A1A"/>
                <w:sz w:val="18"/>
              </w:rPr>
              <w:t>S2</w:t>
            </w:r>
          </w:p>
        </w:tc>
        <w:tc>
          <w:tcPr>
            <w:tcW w:type="dxa" w:w="1200"/>
            <w:vAlign w:val="center"/>
            <w:shd w:val="clear" w:color="auto" w:fill="E8EEF2"/>
          </w:tcPr>
          <w:p>
            <w:pPr>
              <w:spacing w:before="80" w:after="80"/>
              <w:jc w:val="center"/>
            </w:pPr>
            <w:r/>
            <w:r>
              <w:rPr>
                <w:b/>
                <w:color w:val="1A1A1A"/>
                <w:sz w:val="18"/>
              </w:rPr>
              <w:t>S3</w:t>
            </w:r>
          </w:p>
        </w:tc>
        <w:tc>
          <w:tcPr>
            <w:tcW w:type="dxa" w:w="1200"/>
            <w:vAlign w:val="center"/>
            <w:shd w:val="clear" w:color="auto" w:fill="E8EEF2"/>
          </w:tcPr>
          <w:p>
            <w:pPr>
              <w:spacing w:before="80" w:after="80"/>
              <w:jc w:val="center"/>
            </w:pPr>
            <w:r/>
            <w:r>
              <w:rPr>
                <w:b/>
                <w:color w:val="1A1A1A"/>
                <w:sz w:val="18"/>
              </w:rPr>
              <w:t>S4</w:t>
            </w:r>
          </w:p>
        </w:tc>
        <w:tc>
          <w:tcPr>
            <w:tcW w:type="dxa" w:w="1200"/>
            <w:vAlign w:val="center"/>
            <w:shd w:val="clear" w:color="auto" w:fill="E8EEF2"/>
          </w:tcPr>
          <w:p>
            <w:pPr>
              <w:spacing w:before="80" w:after="80"/>
              <w:jc w:val="center"/>
            </w:pPr>
            <w:r/>
            <w:r>
              <w:rPr>
                <w:b/>
                <w:color w:val="1A1A1A"/>
                <w:sz w:val="18"/>
              </w:rPr>
              <w:t>S5</w:t>
            </w:r>
          </w:p>
        </w:tc>
        <w:tc>
          <w:tcPr>
            <w:tcW w:type="dxa" w:w="1200"/>
            <w:vAlign w:val="center"/>
            <w:shd w:val="clear" w:color="auto" w:fill="E8EEF2"/>
          </w:tcPr>
          <w:p>
            <w:pPr>
              <w:spacing w:before="80" w:after="80"/>
              <w:jc w:val="center"/>
            </w:pPr>
            <w:r/>
            <w:r>
              <w:rPr>
                <w:b/>
                <w:color w:val="1A1A1A"/>
                <w:sz w:val="18"/>
              </w:rPr>
              <w:t>S6</w:t>
            </w:r>
          </w:p>
        </w:tc>
        <w:tc>
          <w:tcPr>
            <w:tcW w:type="dxa" w:w="1200"/>
            <w:vAlign w:val="center"/>
            <w:shd w:val="clear" w:color="auto" w:fill="E8EEF2"/>
          </w:tcPr>
          <w:p>
            <w:pPr>
              <w:spacing w:before="80" w:after="80"/>
              <w:jc w:val="center"/>
            </w:pPr>
            <w:r/>
            <w:r>
              <w:rPr>
                <w:b/>
                <w:color w:val="1A1A1A"/>
                <w:sz w:val="18"/>
              </w:rPr>
              <w:t>S7</w:t>
            </w:r>
          </w:p>
        </w:tc>
      </w:tr>
      <w:tr>
        <w:tc>
          <w:tcPr>
            <w:tcW w:type="dxa" w:w="8400"/>
            <w:gridSpan w:val="7"/>
            <w:vAlign w:val="center"/>
            <w:shd w:val="clear" w:color="auto" w:fill="E8EEF2"/>
          </w:tcPr>
          <w:p>
            <w:pPr>
              <w:spacing w:before="80" w:after="80"/>
              <w:jc w:val="center"/>
            </w:pPr>
            <w:r/>
            <w:r>
              <w:rPr>
                <w:b/>
                <w:color w:val="0B4F71"/>
                <w:sz w:val="17"/>
              </w:rPr>
              <w:t>Runs entirely on local infrastructure — no account, no spend</w:t>
            </w:r>
          </w:p>
        </w:tc>
        <w:tc>
          <w:tcPr>
            <w:tcW w:type="dxa" w:w="1200"/>
            <w:vAlign w:val="center"/>
            <w:shd w:val="clear" w:color="auto" w:fill="F7E9D7"/>
          </w:tcPr>
          <w:p>
            <w:pPr>
              <w:spacing w:before="80" w:after="80"/>
              <w:jc w:val="center"/>
            </w:pPr>
            <w:r/>
            <w:r>
              <w:rPr>
                <w:b/>
                <w:color w:val="0B4F71"/>
                <w:sz w:val="17"/>
              </w:rPr>
              <w:t>Cloud</w:t>
            </w:r>
          </w:p>
        </w:tc>
      </w:tr>
    </w:tbl>
    <w:p>
      <w:pPr>
        <w:spacing w:after="40"/>
      </w:pP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2" w:type="dxa"/>
      </w:tblPr>
      <w:tblGrid>
        <w:gridCol w:w="1440"/>
        <w:gridCol w:w="7106"/>
        <w:gridCol w:w="1056"/>
      </w:tblGrid>
      <w:tr>
        <w:trPr>
          <w:tblHeader w:val="true"/>
        </w:trPr>
        <w:tc>
          <w:tcPr>
            <w:tcW w:type="dxa" w:w="1440"/>
            <w:shd w:val="clear" w:color="auto" w:fill="E8EEF2"/>
          </w:tcPr>
          <w:p>
            <w:pPr>
              <w:spacing w:before="60" w:after="60"/>
            </w:pPr>
            <w:r/>
            <w:r>
              <w:rPr>
                <w:b/>
                <w:color w:val="0B4F71"/>
                <w:sz w:val="19"/>
              </w:rPr>
              <w:t>Stage</w:t>
            </w:r>
          </w:p>
        </w:tc>
        <w:tc>
          <w:tcPr>
            <w:tcW w:type="dxa" w:w="7106"/>
            <w:shd w:val="clear" w:color="auto" w:fill="E8EEF2"/>
          </w:tcPr>
          <w:p>
            <w:pPr>
              <w:spacing w:before="60" w:after="60"/>
            </w:pPr>
            <w:r/>
            <w:r>
              <w:rPr>
                <w:b/>
                <w:color w:val="0B4F71"/>
                <w:sz w:val="19"/>
              </w:rPr>
              <w:t>What it delivers</w:t>
            </w:r>
          </w:p>
        </w:tc>
        <w:tc>
          <w:tcPr>
            <w:tcW w:type="dxa" w:w="1056"/>
            <w:shd w:val="clear" w:color="auto" w:fill="E8EEF2"/>
          </w:tcPr>
          <w:p>
            <w:pPr>
              <w:spacing w:before="60" w:after="60"/>
            </w:pPr>
            <w:r/>
            <w:r>
              <w:rPr>
                <w:b/>
                <w:color w:val="0B4F71"/>
                <w:sz w:val="19"/>
              </w:rPr>
              <w:t>Cloud</w:t>
            </w:r>
          </w:p>
        </w:tc>
      </w:tr>
      <w:tr>
        <w:trPr>
          <w:cantSplit w:val="true"/>
        </w:trPr>
        <w:tc>
          <w:tcPr>
            <w:tcW w:type="dxa" w:w="1440"/>
          </w:tcPr>
          <w:p>
            <w:pPr>
              <w:spacing w:before="50" w:after="50"/>
            </w:pPr>
            <w:r>
              <w:rPr>
                <w:sz w:val="19"/>
              </w:rPr>
            </w:r>
            <w:r>
              <w:rPr>
                <w:b/>
                <w:sz w:val="19"/>
              </w:rPr>
              <w:t>S0</w:t>
            </w:r>
            <w:r>
              <w:rPr>
                <w:b w:val="0"/>
                <w:sz w:val="19"/>
              </w:rPr>
              <w:br/>
              <w:t>Foundations</w:t>
            </w:r>
          </w:p>
        </w:tc>
        <w:tc>
          <w:tcPr>
            <w:tcW w:type="dxa" w:w="7106"/>
          </w:tcPr>
          <w:p>
            <w:pPr>
              <w:spacing w:before="50" w:after="50"/>
            </w:pPr>
            <w:r>
              <w:rPr>
                <w:sz w:val="19"/>
              </w:rPr>
            </w:r>
            <w:r>
              <w:rPr>
                <w:b w:val="0"/>
                <w:sz w:val="19"/>
              </w:rPr>
              <w:t>Development environment, service skeletons, container topology, task commands.</w:t>
            </w:r>
          </w:p>
        </w:tc>
        <w:tc>
          <w:tcPr>
            <w:tcW w:type="dxa" w:w="1056"/>
          </w:tcPr>
          <w:p>
            <w:pPr>
              <w:spacing w:before="50" w:after="50"/>
            </w:pPr>
            <w:r>
              <w:rPr>
                <w:sz w:val="19"/>
              </w:rPr>
            </w:r>
            <w:r>
              <w:rPr>
                <w:b w:val="0"/>
                <w:sz w:val="19"/>
              </w:rPr>
              <w:t>No</w:t>
            </w:r>
          </w:p>
        </w:tc>
      </w:tr>
      <w:tr>
        <w:trPr>
          <w:cantSplit w:val="true"/>
        </w:trPr>
        <w:tc>
          <w:tcPr>
            <w:tcW w:type="dxa" w:w="1440"/>
            <w:shd w:val="clear" w:color="auto" w:fill="F5F8FA"/>
          </w:tcPr>
          <w:p>
            <w:pPr>
              <w:spacing w:before="50" w:after="50"/>
            </w:pPr>
            <w:r>
              <w:rPr>
                <w:sz w:val="19"/>
              </w:rPr>
            </w:r>
            <w:r>
              <w:rPr>
                <w:b/>
                <w:sz w:val="19"/>
              </w:rPr>
              <w:t>S1</w:t>
            </w:r>
            <w:r>
              <w:rPr>
                <w:b w:val="0"/>
                <w:sz w:val="19"/>
              </w:rPr>
              <w:br/>
              <w:t>Contract</w:t>
            </w:r>
          </w:p>
        </w:tc>
        <w:tc>
          <w:tcPr>
            <w:tcW w:type="dxa" w:w="7106"/>
            <w:shd w:val="clear" w:color="auto" w:fill="F5F8FA"/>
          </w:tcPr>
          <w:p>
            <w:pPr>
              <w:spacing w:before="50" w:after="50"/>
            </w:pPr>
            <w:r>
              <w:rPr>
                <w:sz w:val="19"/>
              </w:rPr>
            </w:r>
            <w:r>
              <w:rPr>
                <w:b w:val="0"/>
                <w:sz w:val="19"/>
              </w:rPr>
              <w:t>The six things the system talks about — tenant, workload, policy, binding, evaluation, decision — and the evaluation contract: what a caller sends, and the single normalised decision shape that comes back regardless of which detector produced it.</w:t>
            </w:r>
          </w:p>
        </w:tc>
        <w:tc>
          <w:tcPr>
            <w:tcW w:type="dxa" w:w="1056"/>
            <w:shd w:val="clear" w:color="auto" w:fill="F5F8FA"/>
          </w:tcPr>
          <w:p>
            <w:pPr>
              <w:spacing w:before="50" w:after="50"/>
            </w:pPr>
            <w:r>
              <w:rPr>
                <w:sz w:val="19"/>
              </w:rPr>
            </w:r>
            <w:r>
              <w:rPr>
                <w:b w:val="0"/>
                <w:sz w:val="19"/>
              </w:rPr>
              <w:t>No</w:t>
            </w:r>
          </w:p>
        </w:tc>
      </w:tr>
      <w:tr>
        <w:trPr>
          <w:cantSplit w:val="true"/>
        </w:trPr>
        <w:tc>
          <w:tcPr>
            <w:tcW w:type="dxa" w:w="1440"/>
          </w:tcPr>
          <w:p>
            <w:pPr>
              <w:spacing w:before="50" w:after="50"/>
            </w:pPr>
            <w:r>
              <w:rPr>
                <w:sz w:val="19"/>
              </w:rPr>
            </w:r>
            <w:r>
              <w:rPr>
                <w:b/>
                <w:sz w:val="19"/>
              </w:rPr>
              <w:t>S2</w:t>
            </w:r>
            <w:r>
              <w:rPr>
                <w:b w:val="0"/>
                <w:sz w:val="19"/>
              </w:rPr>
              <w:br/>
              <w:t>Policy model</w:t>
            </w:r>
          </w:p>
        </w:tc>
        <w:tc>
          <w:tcPr>
            <w:tcW w:type="dxa" w:w="7106"/>
          </w:tcPr>
          <w:p>
            <w:pPr>
              <w:spacing w:before="50" w:after="50"/>
            </w:pPr>
            <w:r>
              <w:rPr>
                <w:sz w:val="19"/>
              </w:rPr>
            </w:r>
            <w:r>
              <w:rPr>
                <w:b w:val="0"/>
                <w:sz w:val="19"/>
              </w:rPr>
              <w:t>A versioned, immutable policy format. Changing a policy always creates a new version; nothing is edited in place. Every policy must declare what happens when evaluation fails.</w:t>
            </w:r>
          </w:p>
        </w:tc>
        <w:tc>
          <w:tcPr>
            <w:tcW w:type="dxa" w:w="1056"/>
          </w:tcPr>
          <w:p>
            <w:pPr>
              <w:spacing w:before="50" w:after="50"/>
            </w:pPr>
            <w:r>
              <w:rPr>
                <w:sz w:val="19"/>
              </w:rPr>
            </w:r>
            <w:r>
              <w:rPr>
                <w:b w:val="0"/>
                <w:sz w:val="19"/>
              </w:rPr>
              <w:t>No</w:t>
            </w:r>
          </w:p>
        </w:tc>
      </w:tr>
      <w:tr>
        <w:trPr>
          <w:cantSplit w:val="true"/>
        </w:trPr>
        <w:tc>
          <w:tcPr>
            <w:tcW w:type="dxa" w:w="1440"/>
            <w:shd w:val="clear" w:color="auto" w:fill="F5F8FA"/>
          </w:tcPr>
          <w:p>
            <w:pPr>
              <w:spacing w:before="50" w:after="50"/>
            </w:pPr>
            <w:r>
              <w:rPr>
                <w:sz w:val="19"/>
              </w:rPr>
            </w:r>
            <w:r>
              <w:rPr>
                <w:b/>
                <w:sz w:val="19"/>
              </w:rPr>
              <w:t>S3</w:t>
            </w:r>
            <w:r>
              <w:rPr>
                <w:b w:val="0"/>
                <w:sz w:val="19"/>
              </w:rPr>
              <w:br/>
              <w:t>Runtime</w:t>
            </w:r>
          </w:p>
        </w:tc>
        <w:tc>
          <w:tcPr>
            <w:tcW w:type="dxa" w:w="7106"/>
            <w:shd w:val="clear" w:color="auto" w:fill="F5F8FA"/>
          </w:tcPr>
          <w:p>
            <w:pPr>
              <w:spacing w:before="50" w:after="50"/>
            </w:pPr>
            <w:r>
              <w:rPr>
                <w:sz w:val="19"/>
              </w:rPr>
            </w:r>
            <w:r>
              <w:rPr>
                <w:b w:val="0"/>
                <w:sz w:val="19"/>
              </w:rPr>
              <w:t>The service that actually evaluates: resolves which policy applies, runs the configured detectors, normalises their output into one decision, records the decision, and measures how long each detector took.</w:t>
            </w:r>
          </w:p>
        </w:tc>
        <w:tc>
          <w:tcPr>
            <w:tcW w:type="dxa" w:w="1056"/>
            <w:shd w:val="clear" w:color="auto" w:fill="F5F8FA"/>
          </w:tcPr>
          <w:p>
            <w:pPr>
              <w:spacing w:before="50" w:after="50"/>
            </w:pPr>
            <w:r>
              <w:rPr>
                <w:sz w:val="19"/>
              </w:rPr>
            </w:r>
            <w:r>
              <w:rPr>
                <w:b w:val="0"/>
                <w:sz w:val="19"/>
              </w:rPr>
              <w:t>No</w:t>
            </w:r>
          </w:p>
        </w:tc>
      </w:tr>
      <w:tr>
        <w:trPr>
          <w:cantSplit w:val="true"/>
        </w:trPr>
        <w:tc>
          <w:tcPr>
            <w:tcW w:type="dxa" w:w="1440"/>
          </w:tcPr>
          <w:p>
            <w:pPr>
              <w:spacing w:before="50" w:after="50"/>
            </w:pPr>
            <w:r>
              <w:rPr>
                <w:sz w:val="19"/>
              </w:rPr>
            </w:r>
            <w:r>
              <w:rPr>
                <w:b/>
                <w:sz w:val="19"/>
              </w:rPr>
              <w:t>S4</w:t>
            </w:r>
            <w:r>
              <w:rPr>
                <w:b w:val="0"/>
                <w:sz w:val="19"/>
              </w:rPr>
              <w:br/>
              <w:t>Integration</w:t>
            </w:r>
          </w:p>
        </w:tc>
        <w:tc>
          <w:tcPr>
            <w:tcW w:type="dxa" w:w="7106"/>
          </w:tcPr>
          <w:p>
            <w:pPr>
              <w:spacing w:before="50" w:after="50"/>
            </w:pPr>
            <w:r>
              <w:rPr>
                <w:sz w:val="19"/>
              </w:rPr>
            </w:r>
            <w:r>
              <w:rPr>
                <w:b w:val="0"/>
                <w:sz w:val="19"/>
              </w:rPr>
              <w:t>The gateway plug-in that calls the service before and after the model, enforces the answer, and reports nothing back that the policy did not ask for. Runs in observe mode: decisions are recorded, nothing is blocked.</w:t>
            </w:r>
          </w:p>
        </w:tc>
        <w:tc>
          <w:tcPr>
            <w:tcW w:type="dxa" w:w="1056"/>
          </w:tcPr>
          <w:p>
            <w:pPr>
              <w:spacing w:before="50" w:after="50"/>
            </w:pPr>
            <w:r>
              <w:rPr>
                <w:sz w:val="19"/>
              </w:rPr>
            </w:r>
            <w:r>
              <w:rPr>
                <w:b w:val="0"/>
                <w:sz w:val="19"/>
              </w:rPr>
              <w:t>No</w:t>
            </w:r>
          </w:p>
        </w:tc>
      </w:tr>
      <w:tr>
        <w:trPr>
          <w:cantSplit w:val="true"/>
        </w:trPr>
        <w:tc>
          <w:tcPr>
            <w:tcW w:type="dxa" w:w="1440"/>
            <w:shd w:val="clear" w:color="auto" w:fill="F5F8FA"/>
          </w:tcPr>
          <w:p>
            <w:pPr>
              <w:spacing w:before="50" w:after="50"/>
            </w:pPr>
            <w:r>
              <w:rPr>
                <w:sz w:val="19"/>
              </w:rPr>
            </w:r>
            <w:r>
              <w:rPr>
                <w:b/>
                <w:sz w:val="19"/>
              </w:rPr>
              <w:t>S5</w:t>
            </w:r>
            <w:r>
              <w:rPr>
                <w:b w:val="0"/>
                <w:sz w:val="19"/>
              </w:rPr>
              <w:br/>
              <w:t>Control plane</w:t>
            </w:r>
          </w:p>
        </w:tc>
        <w:tc>
          <w:tcPr>
            <w:tcW w:type="dxa" w:w="7106"/>
            <w:shd w:val="clear" w:color="auto" w:fill="F5F8FA"/>
          </w:tcPr>
          <w:p>
            <w:pPr>
              <w:spacing w:before="50" w:after="50"/>
            </w:pPr>
            <w:r>
              <w:rPr>
                <w:sz w:val="19"/>
              </w:rPr>
            </w:r>
            <w:r>
              <w:rPr>
                <w:b w:val="0"/>
                <w:sz w:val="19"/>
              </w:rPr>
              <w:t>Registering a team and a workload, binding a workload to a policy version, promoting it from observe to enforce, and rolling it back instantly.</w:t>
            </w:r>
          </w:p>
        </w:tc>
        <w:tc>
          <w:tcPr>
            <w:tcW w:type="dxa" w:w="1056"/>
            <w:shd w:val="clear" w:color="auto" w:fill="F5F8FA"/>
          </w:tcPr>
          <w:p>
            <w:pPr>
              <w:spacing w:before="50" w:after="50"/>
            </w:pPr>
            <w:r>
              <w:rPr>
                <w:sz w:val="19"/>
              </w:rPr>
            </w:r>
            <w:r>
              <w:rPr>
                <w:b w:val="0"/>
                <w:sz w:val="19"/>
              </w:rPr>
              <w:t>No</w:t>
            </w:r>
          </w:p>
        </w:tc>
      </w:tr>
      <w:tr>
        <w:trPr>
          <w:cantSplit w:val="true"/>
        </w:trPr>
        <w:tc>
          <w:tcPr>
            <w:tcW w:type="dxa" w:w="1440"/>
          </w:tcPr>
          <w:p>
            <w:pPr>
              <w:spacing w:before="50" w:after="50"/>
            </w:pPr>
            <w:r>
              <w:rPr>
                <w:sz w:val="19"/>
              </w:rPr>
            </w:r>
            <w:r>
              <w:rPr>
                <w:b/>
                <w:sz w:val="19"/>
              </w:rPr>
              <w:t>S6</w:t>
            </w:r>
            <w:r>
              <w:rPr>
                <w:b w:val="0"/>
                <w:sz w:val="19"/>
              </w:rPr>
              <w:br/>
              <w:t>Proof</w:t>
            </w:r>
          </w:p>
        </w:tc>
        <w:tc>
          <w:tcPr>
            <w:tcW w:type="dxa" w:w="7106"/>
          </w:tcPr>
          <w:p>
            <w:pPr>
              <w:spacing w:before="50" w:after="50"/>
            </w:pPr>
            <w:r>
              <w:rPr>
                <w:sz w:val="19"/>
              </w:rPr>
            </w:r>
            <w:r>
              <w:rPr>
                <w:b w:val="0"/>
                <w:sz w:val="19"/>
              </w:rPr>
              <w:t>Two independently configured gateways against one policy, and the nine acceptance conditions in section 3 run as an automated suite.</w:t>
            </w:r>
          </w:p>
        </w:tc>
        <w:tc>
          <w:tcPr>
            <w:tcW w:type="dxa" w:w="1056"/>
          </w:tcPr>
          <w:p>
            <w:pPr>
              <w:spacing w:before="50" w:after="50"/>
            </w:pPr>
            <w:r>
              <w:rPr>
                <w:sz w:val="19"/>
              </w:rPr>
            </w:r>
            <w:r>
              <w:rPr>
                <w:b w:val="0"/>
                <w:sz w:val="19"/>
              </w:rPr>
              <w:t>No</w:t>
            </w:r>
          </w:p>
        </w:tc>
      </w:tr>
      <w:tr>
        <w:trPr>
          <w:cantSplit w:val="true"/>
        </w:trPr>
        <w:tc>
          <w:tcPr>
            <w:tcW w:type="dxa" w:w="1440"/>
            <w:shd w:val="clear" w:color="auto" w:fill="F5F8FA"/>
          </w:tcPr>
          <w:p>
            <w:pPr>
              <w:spacing w:before="50" w:after="50"/>
            </w:pPr>
            <w:r>
              <w:rPr>
                <w:sz w:val="19"/>
              </w:rPr>
            </w:r>
            <w:r>
              <w:rPr>
                <w:b/>
                <w:sz w:val="19"/>
              </w:rPr>
              <w:t>S7</w:t>
            </w:r>
            <w:r>
              <w:rPr>
                <w:b w:val="0"/>
                <w:sz w:val="19"/>
              </w:rPr>
              <w:br/>
              <w:t>Cloud landing</w:t>
            </w:r>
          </w:p>
        </w:tc>
        <w:tc>
          <w:tcPr>
            <w:tcW w:type="dxa" w:w="7106"/>
            <w:shd w:val="clear" w:color="auto" w:fill="F5F8FA"/>
          </w:tcPr>
          <w:p>
            <w:pPr>
              <w:spacing w:before="50" w:after="50"/>
            </w:pPr>
            <w:r>
              <w:rPr>
                <w:sz w:val="19"/>
              </w:rPr>
            </w:r>
            <w:r>
              <w:rPr>
                <w:b w:val="0"/>
                <w:sz w:val="19"/>
              </w:rPr>
              <w:t>Managed detection engine, hosted deployment, encryption and identity controls, regional placement, and the whole proof re-run on real infrastructure.</w:t>
            </w:r>
          </w:p>
        </w:tc>
        <w:tc>
          <w:tcPr>
            <w:tcW w:type="dxa" w:w="1056"/>
            <w:shd w:val="clear" w:color="auto" w:fill="F5F8FA"/>
          </w:tcPr>
          <w:p>
            <w:pPr>
              <w:spacing w:before="50" w:after="50"/>
            </w:pPr>
            <w:r>
              <w:rPr>
                <w:sz w:val="19"/>
              </w:rPr>
            </w:r>
            <w:r>
              <w:rPr>
                <w:b/>
                <w:sz w:val="19"/>
              </w:rPr>
              <w:t>Yes</w:t>
            </w:r>
          </w:p>
        </w:tc>
      </w:tr>
    </w:tbl>
    <w:p>
      <w:pPr>
        <w:spacing w:after="40"/>
      </w:pPr>
    </w:p>
    <w:p>
      <w:pPr>
        <w:pStyle w:val="Heading2"/>
      </w:pPr>
      <w:r>
        <w:t>2.1 How each cloud dependency is covered until the final stage</w:t>
      </w:r>
    </w:p>
    <w:p>
      <w:pPr>
        <w:spacing w:after="120"/>
      </w:pPr>
      <w:r>
        <w:rPr>
          <w:b w:val="0"/>
          <w:i w:val="0"/>
          <w:color w:val="1A1A1A"/>
          <w:sz w:val="21"/>
        </w:rPr>
        <w:t>‘Met’ means the requirement is genuinely satisfied — for policy storage the requirement is immutable versioning, and a version-controlled repository provides it.</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3" w:type="dxa"/>
      </w:tblPr>
      <w:tblGrid>
        <w:gridCol w:w="3073"/>
        <w:gridCol w:w="3265"/>
        <w:gridCol w:w="3265"/>
      </w:tblGrid>
      <w:tr>
        <w:trPr>
          <w:tblHeader w:val="true"/>
        </w:trPr>
        <w:tc>
          <w:tcPr>
            <w:tcW w:type="dxa" w:w="3073"/>
            <w:shd w:val="clear" w:color="auto" w:fill="E8EEF2"/>
          </w:tcPr>
          <w:p>
            <w:pPr>
              <w:spacing w:before="60" w:after="60"/>
            </w:pPr>
            <w:r/>
            <w:r>
              <w:rPr>
                <w:b/>
                <w:color w:val="0B4F71"/>
                <w:sz w:val="19"/>
              </w:rPr>
              <w:t>What is needed</w:t>
            </w:r>
          </w:p>
        </w:tc>
        <w:tc>
          <w:tcPr>
            <w:tcW w:type="dxa" w:w="3265"/>
            <w:shd w:val="clear" w:color="auto" w:fill="E8EEF2"/>
          </w:tcPr>
          <w:p>
            <w:pPr>
              <w:spacing w:before="60" w:after="60"/>
            </w:pPr>
            <w:r/>
            <w:r>
              <w:rPr>
                <w:b/>
                <w:color w:val="0B4F71"/>
                <w:sz w:val="19"/>
              </w:rPr>
              <w:t>Local stand-in</w:t>
            </w:r>
          </w:p>
        </w:tc>
        <w:tc>
          <w:tcPr>
            <w:tcW w:type="dxa" w:w="3265"/>
            <w:shd w:val="clear" w:color="auto" w:fill="E8EEF2"/>
          </w:tcPr>
          <w:p>
            <w:pPr>
              <w:spacing w:before="60" w:after="60"/>
            </w:pPr>
            <w:r/>
            <w:r>
              <w:rPr>
                <w:b/>
                <w:color w:val="0B4F71"/>
                <w:sz w:val="19"/>
              </w:rPr>
              <w:t>Status</w:t>
            </w:r>
          </w:p>
        </w:tc>
      </w:tr>
      <w:tr>
        <w:trPr>
          <w:cantSplit w:val="true"/>
        </w:trPr>
        <w:tc>
          <w:tcPr>
            <w:tcW w:type="dxa" w:w="3073"/>
          </w:tcPr>
          <w:p>
            <w:pPr>
              <w:spacing w:before="50" w:after="50"/>
            </w:pPr>
            <w:r>
              <w:rPr>
                <w:sz w:val="19"/>
              </w:rPr>
            </w:r>
            <w:r>
              <w:rPr>
                <w:b w:val="0"/>
                <w:sz w:val="19"/>
              </w:rPr>
              <w:t>Somewhere to run the service</w:t>
            </w:r>
          </w:p>
        </w:tc>
        <w:tc>
          <w:tcPr>
            <w:tcW w:type="dxa" w:w="3265"/>
          </w:tcPr>
          <w:p>
            <w:pPr>
              <w:spacing w:before="50" w:after="50"/>
            </w:pPr>
            <w:r>
              <w:rPr>
                <w:sz w:val="19"/>
              </w:rPr>
            </w:r>
            <w:r>
              <w:rPr>
                <w:b w:val="0"/>
                <w:sz w:val="19"/>
              </w:rPr>
              <w:t>Containers on a developer machine</w:t>
            </w:r>
          </w:p>
        </w:tc>
        <w:tc>
          <w:tcPr>
            <w:tcW w:type="dxa" w:w="3265"/>
          </w:tcPr>
          <w:p>
            <w:pPr>
              <w:spacing w:before="50" w:after="50"/>
            </w:pPr>
            <w:r>
              <w:rPr>
                <w:sz w:val="19"/>
              </w:rPr>
            </w:r>
            <w:r>
              <w:rPr>
                <w:b w:val="0"/>
                <w:sz w:val="19"/>
              </w:rPr>
              <w:t>Met</w:t>
            </w:r>
          </w:p>
        </w:tc>
      </w:tr>
      <w:tr>
        <w:trPr>
          <w:cantSplit w:val="true"/>
        </w:trPr>
        <w:tc>
          <w:tcPr>
            <w:tcW w:type="dxa" w:w="3073"/>
            <w:shd w:val="clear" w:color="auto" w:fill="F5F8FA"/>
          </w:tcPr>
          <w:p>
            <w:pPr>
              <w:spacing w:before="50" w:after="50"/>
            </w:pPr>
            <w:r>
              <w:rPr>
                <w:sz w:val="19"/>
              </w:rPr>
            </w:r>
            <w:r>
              <w:rPr>
                <w:b w:val="0"/>
                <w:sz w:val="19"/>
              </w:rPr>
              <w:t>An HTTP surface</w:t>
            </w:r>
          </w:p>
        </w:tc>
        <w:tc>
          <w:tcPr>
            <w:tcW w:type="dxa" w:w="3265"/>
            <w:shd w:val="clear" w:color="auto" w:fill="F5F8FA"/>
          </w:tcPr>
          <w:p>
            <w:pPr>
              <w:spacing w:before="50" w:after="50"/>
            </w:pPr>
            <w:r>
              <w:rPr>
                <w:sz w:val="19"/>
              </w:rPr>
            </w:r>
            <w:r>
              <w:rPr>
                <w:b w:val="0"/>
                <w:sz w:val="19"/>
              </w:rPr>
              <w:t>Local application server</w:t>
            </w:r>
          </w:p>
        </w:tc>
        <w:tc>
          <w:tcPr>
            <w:tcW w:type="dxa" w:w="3265"/>
            <w:shd w:val="clear" w:color="auto" w:fill="F5F8FA"/>
          </w:tcPr>
          <w:p>
            <w:pPr>
              <w:spacing w:before="50" w:after="50"/>
            </w:pPr>
            <w:r>
              <w:rPr>
                <w:sz w:val="19"/>
              </w:rPr>
            </w:r>
            <w:r>
              <w:rPr>
                <w:b w:val="0"/>
                <w:sz w:val="19"/>
              </w:rPr>
              <w:t>Met</w:t>
            </w:r>
          </w:p>
        </w:tc>
      </w:tr>
      <w:tr>
        <w:trPr>
          <w:cantSplit w:val="true"/>
        </w:trPr>
        <w:tc>
          <w:tcPr>
            <w:tcW w:type="dxa" w:w="3073"/>
          </w:tcPr>
          <w:p>
            <w:pPr>
              <w:spacing w:before="50" w:after="50"/>
            </w:pPr>
            <w:r>
              <w:rPr>
                <w:sz w:val="19"/>
              </w:rPr>
            </w:r>
            <w:r>
              <w:rPr>
                <w:b w:val="0"/>
                <w:sz w:val="19"/>
              </w:rPr>
              <w:t>Immutable policy storage</w:t>
            </w:r>
          </w:p>
        </w:tc>
        <w:tc>
          <w:tcPr>
            <w:tcW w:type="dxa" w:w="3265"/>
          </w:tcPr>
          <w:p>
            <w:pPr>
              <w:spacing w:before="50" w:after="50"/>
            </w:pPr>
            <w:r>
              <w:rPr>
                <w:sz w:val="19"/>
              </w:rPr>
            </w:r>
            <w:r>
              <w:rPr>
                <w:b w:val="0"/>
                <w:sz w:val="19"/>
              </w:rPr>
              <w:t>Version-controlled repository</w:t>
            </w:r>
          </w:p>
        </w:tc>
        <w:tc>
          <w:tcPr>
            <w:tcW w:type="dxa" w:w="3265"/>
          </w:tcPr>
          <w:p>
            <w:pPr>
              <w:spacing w:before="50" w:after="50"/>
            </w:pPr>
            <w:r>
              <w:rPr>
                <w:sz w:val="19"/>
              </w:rPr>
            </w:r>
            <w:r>
              <w:rPr>
                <w:b w:val="0"/>
                <w:sz w:val="19"/>
              </w:rPr>
              <w:t>Met</w:t>
            </w:r>
          </w:p>
        </w:tc>
      </w:tr>
      <w:tr>
        <w:trPr>
          <w:cantSplit w:val="true"/>
        </w:trPr>
        <w:tc>
          <w:tcPr>
            <w:tcW w:type="dxa" w:w="3073"/>
            <w:shd w:val="clear" w:color="auto" w:fill="F5F8FA"/>
          </w:tcPr>
          <w:p>
            <w:pPr>
              <w:spacing w:before="50" w:after="50"/>
            </w:pPr>
            <w:r>
              <w:rPr>
                <w:sz w:val="19"/>
              </w:rPr>
            </w:r>
            <w:r>
              <w:rPr>
                <w:b w:val="0"/>
                <w:sz w:val="19"/>
              </w:rPr>
              <w:t>A workload and tenant registry</w:t>
            </w:r>
          </w:p>
        </w:tc>
        <w:tc>
          <w:tcPr>
            <w:tcW w:type="dxa" w:w="3265"/>
            <w:shd w:val="clear" w:color="auto" w:fill="F5F8FA"/>
          </w:tcPr>
          <w:p>
            <w:pPr>
              <w:spacing w:before="50" w:after="50"/>
            </w:pPr>
            <w:r>
              <w:rPr>
                <w:sz w:val="19"/>
              </w:rPr>
            </w:r>
            <w:r>
              <w:rPr>
                <w:b w:val="0"/>
                <w:sz w:val="19"/>
              </w:rPr>
              <w:t>Relational store</w:t>
            </w:r>
          </w:p>
        </w:tc>
        <w:tc>
          <w:tcPr>
            <w:tcW w:type="dxa" w:w="3265"/>
            <w:shd w:val="clear" w:color="auto" w:fill="F5F8FA"/>
          </w:tcPr>
          <w:p>
            <w:pPr>
              <w:spacing w:before="50" w:after="50"/>
            </w:pPr>
            <w:r>
              <w:rPr>
                <w:sz w:val="19"/>
              </w:rPr>
            </w:r>
            <w:r>
              <w:rPr>
                <w:b w:val="0"/>
                <w:sz w:val="19"/>
              </w:rPr>
              <w:t>Met — the schema is ours</w:t>
            </w:r>
          </w:p>
        </w:tc>
      </w:tr>
      <w:tr>
        <w:trPr>
          <w:cantSplit w:val="true"/>
        </w:trPr>
        <w:tc>
          <w:tcPr>
            <w:tcW w:type="dxa" w:w="3073"/>
          </w:tcPr>
          <w:p>
            <w:pPr>
              <w:spacing w:before="50" w:after="50"/>
            </w:pPr>
            <w:r>
              <w:rPr>
                <w:sz w:val="19"/>
              </w:rPr>
            </w:r>
            <w:r>
              <w:rPr>
                <w:b w:val="0"/>
                <w:sz w:val="19"/>
              </w:rPr>
              <w:t>A durable audit record</w:t>
            </w:r>
          </w:p>
        </w:tc>
        <w:tc>
          <w:tcPr>
            <w:tcW w:type="dxa" w:w="3265"/>
          </w:tcPr>
          <w:p>
            <w:pPr>
              <w:spacing w:before="50" w:after="50"/>
            </w:pPr>
            <w:r>
              <w:rPr>
                <w:sz w:val="19"/>
              </w:rPr>
            </w:r>
            <w:r>
              <w:rPr>
                <w:b w:val="0"/>
                <w:sz w:val="19"/>
              </w:rPr>
              <w:t>Local queue and append-only archive</w:t>
            </w:r>
          </w:p>
        </w:tc>
        <w:tc>
          <w:tcPr>
            <w:tcW w:type="dxa" w:w="3265"/>
          </w:tcPr>
          <w:p>
            <w:pPr>
              <w:spacing w:before="50" w:after="50"/>
            </w:pPr>
            <w:r>
              <w:rPr>
                <w:sz w:val="19"/>
              </w:rPr>
            </w:r>
            <w:r>
              <w:rPr>
                <w:b w:val="0"/>
                <w:sz w:val="19"/>
              </w:rPr>
              <w:t>Met</w:t>
            </w:r>
          </w:p>
        </w:tc>
      </w:tr>
      <w:tr>
        <w:trPr>
          <w:cantSplit w:val="true"/>
        </w:trPr>
        <w:tc>
          <w:tcPr>
            <w:tcW w:type="dxa" w:w="3073"/>
            <w:shd w:val="clear" w:color="auto" w:fill="F5F8FA"/>
          </w:tcPr>
          <w:p>
            <w:pPr>
              <w:spacing w:before="50" w:after="50"/>
            </w:pPr>
            <w:r>
              <w:rPr>
                <w:sz w:val="19"/>
              </w:rPr>
            </w:r>
            <w:r>
              <w:rPr>
                <w:b w:val="0"/>
                <w:sz w:val="19"/>
              </w:rPr>
              <w:t>Secret handling</w:t>
            </w:r>
          </w:p>
        </w:tc>
        <w:tc>
          <w:tcPr>
            <w:tcW w:type="dxa" w:w="3265"/>
            <w:shd w:val="clear" w:color="auto" w:fill="F5F8FA"/>
          </w:tcPr>
          <w:p>
            <w:pPr>
              <w:spacing w:before="50" w:after="50"/>
            </w:pPr>
            <w:r>
              <w:rPr>
                <w:sz w:val="19"/>
              </w:rPr>
            </w:r>
            <w:r>
              <w:rPr>
                <w:b w:val="0"/>
                <w:sz w:val="19"/>
              </w:rPr>
              <w:t>Encrypted local store</w:t>
            </w:r>
          </w:p>
        </w:tc>
        <w:tc>
          <w:tcPr>
            <w:tcW w:type="dxa" w:w="3265"/>
            <w:shd w:val="clear" w:color="auto" w:fill="F5F8FA"/>
          </w:tcPr>
          <w:p>
            <w:pPr>
              <w:spacing w:before="50" w:after="50"/>
            </w:pPr>
            <w:r>
              <w:rPr>
                <w:sz w:val="19"/>
              </w:rPr>
            </w:r>
            <w:r>
              <w:rPr>
                <w:b w:val="0"/>
                <w:sz w:val="19"/>
              </w:rPr>
              <w:t>Met for development</w:t>
            </w:r>
          </w:p>
        </w:tc>
      </w:tr>
      <w:tr>
        <w:trPr>
          <w:cantSplit w:val="true"/>
        </w:trPr>
        <w:tc>
          <w:tcPr>
            <w:tcW w:type="dxa" w:w="3073"/>
          </w:tcPr>
          <w:p>
            <w:pPr>
              <w:spacing w:before="50" w:after="50"/>
            </w:pPr>
            <w:r>
              <w:rPr>
                <w:sz w:val="19"/>
              </w:rPr>
            </w:r>
            <w:r>
              <w:rPr>
                <w:b w:val="0"/>
                <w:sz w:val="19"/>
              </w:rPr>
              <w:t>Latency and decision metrics</w:t>
            </w:r>
          </w:p>
        </w:tc>
        <w:tc>
          <w:tcPr>
            <w:tcW w:type="dxa" w:w="3265"/>
          </w:tcPr>
          <w:p>
            <w:pPr>
              <w:spacing w:before="50" w:after="50"/>
            </w:pPr>
            <w:r>
              <w:rPr>
                <w:sz w:val="19"/>
              </w:rPr>
            </w:r>
            <w:r>
              <w:rPr>
                <w:b w:val="0"/>
                <w:sz w:val="19"/>
              </w:rPr>
              <w:t>Structured logs and histograms</w:t>
            </w:r>
          </w:p>
        </w:tc>
        <w:tc>
          <w:tcPr>
            <w:tcW w:type="dxa" w:w="3265"/>
          </w:tcPr>
          <w:p>
            <w:pPr>
              <w:spacing w:before="50" w:after="50"/>
            </w:pPr>
            <w:r>
              <w:rPr>
                <w:sz w:val="19"/>
              </w:rPr>
            </w:r>
            <w:r>
              <w:rPr>
                <w:b w:val="0"/>
                <w:sz w:val="19"/>
              </w:rPr>
              <w:t>Met</w:t>
            </w:r>
          </w:p>
        </w:tc>
      </w:tr>
      <w:tr>
        <w:trPr>
          <w:cantSplit w:val="true"/>
        </w:trPr>
        <w:tc>
          <w:tcPr>
            <w:tcW w:type="dxa" w:w="3073"/>
            <w:shd w:val="clear" w:color="auto" w:fill="F5F8FA"/>
          </w:tcPr>
          <w:p>
            <w:pPr>
              <w:spacing w:before="50" w:after="50"/>
            </w:pPr>
            <w:r>
              <w:rPr>
                <w:sz w:val="19"/>
              </w:rPr>
            </w:r>
            <w:r>
              <w:rPr>
                <w:b w:val="0"/>
                <w:sz w:val="19"/>
              </w:rPr>
              <w:t>Encryption at rest</w:t>
            </w:r>
          </w:p>
        </w:tc>
        <w:tc>
          <w:tcPr>
            <w:tcW w:type="dxa" w:w="3265"/>
            <w:shd w:val="clear" w:color="auto" w:fill="F5F8FA"/>
          </w:tcPr>
          <w:p>
            <w:pPr>
              <w:spacing w:before="50" w:after="50"/>
            </w:pPr>
            <w:r>
              <w:rPr>
                <w:sz w:val="19"/>
              </w:rPr>
            </w:r>
            <w:r>
              <w:rPr>
                <w:b w:val="0"/>
                <w:sz w:val="19"/>
              </w:rPr>
              <w:t>Deferred</w:t>
            </w:r>
          </w:p>
        </w:tc>
        <w:tc>
          <w:tcPr>
            <w:tcW w:type="dxa" w:w="3265"/>
            <w:shd w:val="clear" w:color="auto" w:fill="F5F8FA"/>
          </w:tcPr>
          <w:p>
            <w:pPr>
              <w:spacing w:before="50" w:after="50"/>
            </w:pPr>
            <w:r>
              <w:rPr>
                <w:sz w:val="19"/>
              </w:rPr>
            </w:r>
            <w:r>
              <w:rPr>
                <w:b/>
                <w:sz w:val="19"/>
              </w:rPr>
              <w:t>Proven in S7</w:t>
            </w:r>
          </w:p>
        </w:tc>
      </w:tr>
      <w:tr>
        <w:trPr>
          <w:cantSplit w:val="true"/>
        </w:trPr>
        <w:tc>
          <w:tcPr>
            <w:tcW w:type="dxa" w:w="3073"/>
          </w:tcPr>
          <w:p>
            <w:pPr>
              <w:spacing w:before="50" w:after="50"/>
            </w:pPr>
            <w:r>
              <w:rPr>
                <w:sz w:val="19"/>
              </w:rPr>
            </w:r>
            <w:r>
              <w:rPr>
                <w:b w:val="0"/>
                <w:sz w:val="19"/>
              </w:rPr>
              <w:t>Workload identity and least-privilege access</w:t>
            </w:r>
          </w:p>
        </w:tc>
        <w:tc>
          <w:tcPr>
            <w:tcW w:type="dxa" w:w="3265"/>
          </w:tcPr>
          <w:p>
            <w:pPr>
              <w:spacing w:before="50" w:after="50"/>
            </w:pPr>
            <w:r>
              <w:rPr>
                <w:sz w:val="19"/>
              </w:rPr>
            </w:r>
            <w:r>
              <w:rPr>
                <w:b w:val="0"/>
                <w:sz w:val="19"/>
              </w:rPr>
              <w:t>Local tokens or a local identity provider</w:t>
            </w:r>
          </w:p>
        </w:tc>
        <w:tc>
          <w:tcPr>
            <w:tcW w:type="dxa" w:w="3265"/>
          </w:tcPr>
          <w:p>
            <w:pPr>
              <w:spacing w:before="50" w:after="50"/>
            </w:pPr>
            <w:r>
              <w:rPr>
                <w:sz w:val="19"/>
              </w:rPr>
            </w:r>
            <w:r>
              <w:rPr>
                <w:b/>
                <w:sz w:val="19"/>
              </w:rPr>
              <w:t>Proven in S7</w:t>
            </w:r>
          </w:p>
        </w:tc>
      </w:tr>
      <w:tr>
        <w:trPr>
          <w:cantSplit w:val="true"/>
        </w:trPr>
        <w:tc>
          <w:tcPr>
            <w:tcW w:type="dxa" w:w="3073"/>
            <w:shd w:val="clear" w:color="auto" w:fill="F5F8FA"/>
          </w:tcPr>
          <w:p>
            <w:pPr>
              <w:spacing w:before="50" w:after="50"/>
            </w:pPr>
            <w:r>
              <w:rPr>
                <w:sz w:val="19"/>
              </w:rPr>
            </w:r>
            <w:r>
              <w:rPr>
                <w:b w:val="0"/>
                <w:sz w:val="19"/>
              </w:rPr>
              <w:t>The bought detection engine</w:t>
            </w:r>
          </w:p>
        </w:tc>
        <w:tc>
          <w:tcPr>
            <w:tcW w:type="dxa" w:w="3265"/>
            <w:shd w:val="clear" w:color="auto" w:fill="F5F8FA"/>
          </w:tcPr>
          <w:p>
            <w:pPr>
              <w:spacing w:before="50" w:after="50"/>
            </w:pPr>
            <w:r>
              <w:rPr>
                <w:sz w:val="19"/>
              </w:rPr>
            </w:r>
            <w:r>
              <w:rPr>
                <w:b w:val="0"/>
                <w:sz w:val="19"/>
              </w:rPr>
              <w:t>Local detectors carry the load; its adapter is stubbed</w:t>
            </w:r>
          </w:p>
        </w:tc>
        <w:tc>
          <w:tcPr>
            <w:tcW w:type="dxa" w:w="3265"/>
            <w:shd w:val="clear" w:color="auto" w:fill="F5F8FA"/>
          </w:tcPr>
          <w:p>
            <w:pPr>
              <w:spacing w:before="50" w:after="50"/>
            </w:pPr>
            <w:r>
              <w:rPr>
                <w:sz w:val="19"/>
              </w:rPr>
            </w:r>
            <w:r>
              <w:rPr>
                <w:b/>
                <w:sz w:val="19"/>
              </w:rPr>
              <w:t>Mapping validated in S7</w:t>
            </w:r>
          </w:p>
        </w:tc>
      </w:tr>
    </w:tbl>
    <w:p>
      <w:pPr>
        <w:spacing w:after="40"/>
      </w:pPr>
    </w:p>
    <w:p>
      <w:pPr>
        <w:pStyle w:val="Heading2"/>
      </w:pPr>
      <w:r>
        <w:t>2.2 The detection-engine gap</w:t>
      </w:r>
    </w:p>
    <w:p>
      <w:pPr>
        <w:spacing w:after="120"/>
      </w:pPr>
      <w:r>
        <w:rPr>
          <w:b w:val="0"/>
          <w:i w:val="0"/>
          <w:color w:val="1A1A1A"/>
          <w:sz w:val="21"/>
        </w:rPr>
        <w:t>Bedrock Guardrails is a hosted service that classifies text against policies you configure — harmful content, prompt attacks, banned topics, personal data. It is the one dependency with no stand-in, because what is being bought is the classifier itself: there is no container to run and no offline edition. It is also, deliberately, the first detection engine and not a permanent one — our own contract has to survive replacing it.</w:t>
      </w:r>
    </w:p>
    <w:p>
      <w:pPr>
        <w:spacing w:after="120"/>
      </w:pPr>
      <w:r>
        <w:rPr>
          <w:b w:val="0"/>
          <w:i w:val="0"/>
          <w:color w:val="1A1A1A"/>
          <w:sz w:val="21"/>
        </w:rPr>
        <w:t>So the detector layer gets built regardless, against engines we do not intend to keep. Four run locally from the first weeks: a rule-based detector, a sensitive-data detector, a structured-output validator, and one called over the network so the remote path is exercised for real. The bought engine sits behind the same interface with recorded responses standing in for the service.</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4" w:type="dxa"/>
      </w:tblPr>
      <w:tblGrid>
        <w:gridCol w:w="9604"/>
      </w:tblGrid>
      <w:tr>
        <w:tc>
          <w:tcPr>
            <w:tcW w:type="dxa" w:w="9604"/>
            <w:shd w:val="clear" w:color="auto" w:fill="E8EEF2"/>
          </w:tcPr>
          <w:p>
            <w:pPr>
              <w:spacing w:before="120" w:after="120"/>
            </w:pPr>
            <w:r/>
            <w:r>
              <w:rPr>
                <w:b/>
                <w:sz w:val="21"/>
              </w:rPr>
              <w:t>Why this is an advantage, not a workaround.</w:t>
            </w:r>
            <w:r>
              <w:rPr>
                <w:b w:val="0"/>
                <w:sz w:val="21"/>
              </w:rPr>
              <w:t xml:space="preserve"> Because the contract never meets the eventual vendor during the entire local build, nothing vendor-shaped can leak into it. Independence becomes structural rather than a rule someone has to keep remembering. What waits for a cloud account is one thing only: confirming this vendor's output maps cleanly onto our decision format.</w:t>
            </w:r>
          </w:p>
        </w:tc>
      </w:tr>
    </w:tbl>
    <w:p>
      <w:pPr>
        <w:spacing w:after="40"/>
      </w:pPr>
    </w:p>
    <w:p>
      <w:pPr>
        <w:pStyle w:val="Heading2"/>
      </w:pPr>
      <w:r>
        <w:t>2.3 What this plan does not change</w:t>
      </w:r>
    </w:p>
    <w:p>
      <w:pPr>
        <w:pStyle w:val="ListBullet"/>
        <w:spacing w:after="60"/>
      </w:pPr>
      <w:r>
        <w:rPr>
          <w:b/>
          <w:sz w:val="21"/>
        </w:rPr>
        <w:t>Scope.</w:t>
      </w:r>
      <w:r>
        <w:rPr>
          <w:b w:val="0"/>
          <w:sz w:val="21"/>
        </w:rPr>
        <w:t xml:space="preserve"> Reordering work is not a change of scope. Nothing is added, removed or pulled forward.</w:t>
      </w:r>
    </w:p>
    <w:p>
      <w:pPr>
        <w:pStyle w:val="ListBullet"/>
        <w:spacing w:after="60"/>
      </w:pPr>
      <w:r>
        <w:rPr>
          <w:b/>
          <w:sz w:val="21"/>
        </w:rPr>
        <w:t>The acceptance bar.</w:t>
      </w:r>
      <w:r>
        <w:rPr>
          <w:b w:val="0"/>
          <w:sz w:val="21"/>
        </w:rPr>
        <w:t xml:space="preserve"> All nine conditions in section 3 still apply, unamended.</w:t>
      </w:r>
    </w:p>
    <w:p>
      <w:pPr>
        <w:pStyle w:val="ListBullet"/>
        <w:spacing w:after="60"/>
      </w:pPr>
      <w:r>
        <w:rPr>
          <w:b/>
          <w:sz w:val="21"/>
        </w:rPr>
        <w:t>Observe before enforce.</w:t>
      </w:r>
      <w:r>
        <w:rPr>
          <w:b w:val="0"/>
          <w:sz w:val="21"/>
        </w:rPr>
        <w:t xml:space="preserve"> No workload starts out blocking traffic. Promotion is a deliberate, recorded act.</w:t>
      </w:r>
    </w:p>
    <w:p>
      <w:pPr>
        <w:pStyle w:val="ListBullet"/>
        <w:spacing w:after="60"/>
      </w:pPr>
      <w:r>
        <w:rPr>
          <w:b/>
          <w:sz w:val="21"/>
        </w:rPr>
        <w:t>Later phases.</w:t>
      </w:r>
      <w:r>
        <w:rPr>
          <w:b w:val="0"/>
          <w:sz w:val="21"/>
        </w:rPr>
        <w:t xml:space="preserve"> Everything beyond the first release stays behind it.</w:t>
      </w:r>
    </w:p>
    <w:p>
      <w:r>
        <w:br w:type="page"/>
      </w:r>
    </w:p>
    <w:p>
      <w:pPr>
        <w:pStyle w:val="Heading1"/>
      </w:pPr>
      <w:r>
        <w:t>3. Milestones and decision gates</w:t>
      </w:r>
    </w:p>
    <w:p>
      <w:pPr>
        <w:spacing w:after="120"/>
      </w:pPr>
      <w:r>
        <w:rPr>
          <w:b w:val="0"/>
          <w:i w:val="0"/>
          <w:color w:val="1A1A1A"/>
          <w:sz w:val="21"/>
        </w:rPr>
        <w:t>Each stage closes at a gate, passed on evidence rather than on elapsed effort. Dates are deliberately absent: no duration, headcount or delivery date has been agreed yet, and inventing one here would give it a status it has not earned.</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3" w:type="dxa"/>
      </w:tblPr>
      <w:tblGrid>
        <w:gridCol w:w="768"/>
        <w:gridCol w:w="5954"/>
        <w:gridCol w:w="2881"/>
      </w:tblGrid>
      <w:tr>
        <w:trPr>
          <w:tblHeader w:val="true"/>
        </w:trPr>
        <w:tc>
          <w:tcPr>
            <w:tcW w:type="dxa" w:w="768"/>
            <w:shd w:val="clear" w:color="auto" w:fill="E8EEF2"/>
          </w:tcPr>
          <w:p>
            <w:pPr>
              <w:spacing w:before="60" w:after="60"/>
            </w:pPr>
            <w:r/>
            <w:r>
              <w:rPr>
                <w:b/>
                <w:color w:val="0B4F71"/>
                <w:sz w:val="19"/>
              </w:rPr>
              <w:t>Gate</w:t>
            </w:r>
          </w:p>
        </w:tc>
        <w:tc>
          <w:tcPr>
            <w:tcW w:type="dxa" w:w="5954"/>
            <w:shd w:val="clear" w:color="auto" w:fill="E8EEF2"/>
          </w:tcPr>
          <w:p>
            <w:pPr>
              <w:spacing w:before="60" w:after="60"/>
            </w:pPr>
            <w:r/>
            <w:r>
              <w:rPr>
                <w:b/>
                <w:color w:val="0B4F71"/>
                <w:sz w:val="19"/>
              </w:rPr>
              <w:t>Passed when</w:t>
            </w:r>
          </w:p>
        </w:tc>
        <w:tc>
          <w:tcPr>
            <w:tcW w:type="dxa" w:w="2881"/>
            <w:shd w:val="clear" w:color="auto" w:fill="E8EEF2"/>
          </w:tcPr>
          <w:p>
            <w:pPr>
              <w:spacing w:before="60" w:after="60"/>
            </w:pPr>
            <w:r/>
            <w:r>
              <w:rPr>
                <w:b/>
                <w:color w:val="0B4F71"/>
                <w:sz w:val="19"/>
              </w:rPr>
              <w:t>Decided by</w:t>
            </w:r>
          </w:p>
        </w:tc>
      </w:tr>
      <w:tr>
        <w:trPr>
          <w:cantSplit w:val="true"/>
        </w:trPr>
        <w:tc>
          <w:tcPr>
            <w:tcW w:type="dxa" w:w="768"/>
          </w:tcPr>
          <w:p>
            <w:pPr>
              <w:spacing w:before="50" w:after="50"/>
            </w:pPr>
            <w:r>
              <w:rPr>
                <w:sz w:val="19"/>
              </w:rPr>
            </w:r>
            <w:r>
              <w:rPr>
                <w:b/>
                <w:sz w:val="19"/>
              </w:rPr>
              <w:t>G0</w:t>
            </w:r>
          </w:p>
        </w:tc>
        <w:tc>
          <w:tcPr>
            <w:tcW w:type="dxa" w:w="5954"/>
          </w:tcPr>
          <w:p>
            <w:pPr>
              <w:spacing w:before="50" w:after="50"/>
            </w:pPr>
            <w:r>
              <w:rPr>
                <w:sz w:val="19"/>
              </w:rPr>
            </w:r>
            <w:r>
              <w:rPr>
                <w:b w:val="0"/>
                <w:sz w:val="19"/>
              </w:rPr>
              <w:t>One command brings the whole stack up locally.</w:t>
            </w:r>
          </w:p>
        </w:tc>
        <w:tc>
          <w:tcPr>
            <w:tcW w:type="dxa" w:w="2881"/>
          </w:tcPr>
          <w:p>
            <w:pPr>
              <w:spacing w:before="50" w:after="50"/>
            </w:pPr>
            <w:r>
              <w:rPr>
                <w:sz w:val="19"/>
              </w:rPr>
            </w:r>
            <w:r>
              <w:rPr>
                <w:b w:val="0"/>
                <w:sz w:val="19"/>
              </w:rPr>
              <w:t>Technical lead</w:t>
            </w:r>
          </w:p>
        </w:tc>
      </w:tr>
      <w:tr>
        <w:trPr>
          <w:cantSplit w:val="true"/>
        </w:trPr>
        <w:tc>
          <w:tcPr>
            <w:tcW w:type="dxa" w:w="768"/>
            <w:shd w:val="clear" w:color="auto" w:fill="F5F8FA"/>
          </w:tcPr>
          <w:p>
            <w:pPr>
              <w:spacing w:before="50" w:after="50"/>
            </w:pPr>
            <w:r>
              <w:rPr>
                <w:sz w:val="19"/>
              </w:rPr>
            </w:r>
            <w:r>
              <w:rPr>
                <w:b/>
                <w:sz w:val="19"/>
              </w:rPr>
              <w:t>G1</w:t>
            </w:r>
          </w:p>
        </w:tc>
        <w:tc>
          <w:tcPr>
            <w:tcW w:type="dxa" w:w="5954"/>
            <w:shd w:val="clear" w:color="auto" w:fill="F5F8FA"/>
          </w:tcPr>
          <w:p>
            <w:pPr>
              <w:spacing w:before="50" w:after="50"/>
            </w:pPr>
            <w:r>
              <w:rPr>
                <w:sz w:val="19"/>
              </w:rPr>
            </w:r>
            <w:r>
              <w:rPr>
                <w:b w:val="0"/>
                <w:sz w:val="19"/>
              </w:rPr>
              <w:t>The contract is specified, typed models are generated from it, and the conformance suite is scaffolded.</w:t>
            </w:r>
          </w:p>
        </w:tc>
        <w:tc>
          <w:tcPr>
            <w:tcW w:type="dxa" w:w="2881"/>
            <w:shd w:val="clear" w:color="auto" w:fill="F5F8FA"/>
          </w:tcPr>
          <w:p>
            <w:pPr>
              <w:spacing w:before="50" w:after="50"/>
            </w:pPr>
            <w:r>
              <w:rPr>
                <w:sz w:val="19"/>
              </w:rPr>
            </w:r>
            <w:r>
              <w:rPr>
                <w:b w:val="0"/>
                <w:sz w:val="19"/>
              </w:rPr>
              <w:t>Architecture lead</w:t>
            </w:r>
          </w:p>
        </w:tc>
      </w:tr>
      <w:tr>
        <w:trPr>
          <w:cantSplit w:val="true"/>
        </w:trPr>
        <w:tc>
          <w:tcPr>
            <w:tcW w:type="dxa" w:w="768"/>
          </w:tcPr>
          <w:p>
            <w:pPr>
              <w:spacing w:before="50" w:after="50"/>
            </w:pPr>
            <w:r>
              <w:rPr>
                <w:sz w:val="19"/>
              </w:rPr>
            </w:r>
            <w:r>
              <w:rPr>
                <w:b/>
                <w:sz w:val="19"/>
              </w:rPr>
              <w:t>G2</w:t>
            </w:r>
          </w:p>
        </w:tc>
        <w:tc>
          <w:tcPr>
            <w:tcW w:type="dxa" w:w="5954"/>
          </w:tcPr>
          <w:p>
            <w:pPr>
              <w:spacing w:before="50" w:after="50"/>
            </w:pPr>
            <w:r>
              <w:rPr>
                <w:sz w:val="19"/>
              </w:rPr>
            </w:r>
            <w:r>
              <w:rPr>
                <w:b w:val="0"/>
                <w:sz w:val="19"/>
              </w:rPr>
              <w:t>Two policy versions exist, both retrievable, neither editable in place, and each declares its behaviour for every way evaluation can fail.</w:t>
            </w:r>
          </w:p>
        </w:tc>
        <w:tc>
          <w:tcPr>
            <w:tcW w:type="dxa" w:w="2881"/>
          </w:tcPr>
          <w:p>
            <w:pPr>
              <w:spacing w:before="50" w:after="50"/>
            </w:pPr>
            <w:r>
              <w:rPr>
                <w:sz w:val="19"/>
              </w:rPr>
            </w:r>
            <w:r>
              <w:rPr>
                <w:b w:val="0"/>
                <w:sz w:val="19"/>
              </w:rPr>
              <w:t>Technical lead, policy owner</w:t>
            </w:r>
          </w:p>
        </w:tc>
      </w:tr>
      <w:tr>
        <w:trPr>
          <w:cantSplit w:val="true"/>
        </w:trPr>
        <w:tc>
          <w:tcPr>
            <w:tcW w:type="dxa" w:w="768"/>
            <w:shd w:val="clear" w:color="auto" w:fill="F5F8FA"/>
          </w:tcPr>
          <w:p>
            <w:pPr>
              <w:spacing w:before="50" w:after="50"/>
            </w:pPr>
            <w:r>
              <w:rPr>
                <w:sz w:val="19"/>
              </w:rPr>
            </w:r>
            <w:r>
              <w:rPr>
                <w:b/>
                <w:sz w:val="19"/>
              </w:rPr>
              <w:t>G3</w:t>
            </w:r>
          </w:p>
        </w:tc>
        <w:tc>
          <w:tcPr>
            <w:tcW w:type="dxa" w:w="5954"/>
            <w:shd w:val="clear" w:color="auto" w:fill="F5F8FA"/>
          </w:tcPr>
          <w:p>
            <w:pPr>
              <w:spacing w:before="50" w:after="50"/>
            </w:pPr>
            <w:r>
              <w:rPr>
                <w:sz w:val="19"/>
              </w:rPr>
            </w:r>
            <w:r>
              <w:rPr>
                <w:b w:val="0"/>
                <w:sz w:val="19"/>
              </w:rPr>
              <w:t>An evaluation returns one normalised decision drawn from several detectors; stopping a detector produces the behaviour the policy declared, not an undocumented fallback.</w:t>
            </w:r>
          </w:p>
        </w:tc>
        <w:tc>
          <w:tcPr>
            <w:tcW w:type="dxa" w:w="2881"/>
            <w:shd w:val="clear" w:color="auto" w:fill="F5F8FA"/>
          </w:tcPr>
          <w:p>
            <w:pPr>
              <w:spacing w:before="50" w:after="50"/>
            </w:pPr>
            <w:r>
              <w:rPr>
                <w:sz w:val="19"/>
              </w:rPr>
            </w:r>
            <w:r>
              <w:rPr>
                <w:b w:val="0"/>
                <w:sz w:val="19"/>
              </w:rPr>
              <w:t>Technical lead</w:t>
            </w:r>
          </w:p>
        </w:tc>
      </w:tr>
      <w:tr>
        <w:trPr>
          <w:cantSplit w:val="true"/>
        </w:trPr>
        <w:tc>
          <w:tcPr>
            <w:tcW w:type="dxa" w:w="768"/>
          </w:tcPr>
          <w:p>
            <w:pPr>
              <w:spacing w:before="50" w:after="50"/>
            </w:pPr>
            <w:r>
              <w:rPr>
                <w:sz w:val="19"/>
              </w:rPr>
            </w:r>
            <w:r>
              <w:rPr>
                <w:b/>
                <w:sz w:val="19"/>
              </w:rPr>
              <w:t>G4</w:t>
            </w:r>
          </w:p>
        </w:tc>
        <w:tc>
          <w:tcPr>
            <w:tcW w:type="dxa" w:w="5954"/>
          </w:tcPr>
          <w:p>
            <w:pPr>
              <w:spacing w:before="50" w:after="50"/>
            </w:pPr>
            <w:r>
              <w:rPr>
                <w:sz w:val="19"/>
              </w:rPr>
            </w:r>
            <w:r>
              <w:rPr>
                <w:b w:val="0"/>
                <w:sz w:val="19"/>
              </w:rPr>
              <w:t>A gateway runs in observe mode with no change to its behaviour, and decisions are being recorded.</w:t>
            </w:r>
          </w:p>
        </w:tc>
        <w:tc>
          <w:tcPr>
            <w:tcW w:type="dxa" w:w="2881"/>
          </w:tcPr>
          <w:p>
            <w:pPr>
              <w:spacing w:before="50" w:after="50"/>
            </w:pPr>
            <w:r>
              <w:rPr>
                <w:sz w:val="19"/>
              </w:rPr>
            </w:r>
            <w:r>
              <w:rPr>
                <w:b w:val="0"/>
                <w:sz w:val="19"/>
              </w:rPr>
              <w:t>Technical lead, integration lead</w:t>
            </w:r>
          </w:p>
        </w:tc>
      </w:tr>
      <w:tr>
        <w:trPr>
          <w:cantSplit w:val="true"/>
        </w:trPr>
        <w:tc>
          <w:tcPr>
            <w:tcW w:type="dxa" w:w="768"/>
            <w:shd w:val="clear" w:color="auto" w:fill="F5F8FA"/>
          </w:tcPr>
          <w:p>
            <w:pPr>
              <w:spacing w:before="50" w:after="50"/>
            </w:pPr>
            <w:r>
              <w:rPr>
                <w:sz w:val="19"/>
              </w:rPr>
            </w:r>
            <w:r>
              <w:rPr>
                <w:b/>
                <w:sz w:val="19"/>
              </w:rPr>
              <w:t>G5</w:t>
            </w:r>
          </w:p>
        </w:tc>
        <w:tc>
          <w:tcPr>
            <w:tcW w:type="dxa" w:w="5954"/>
            <w:shd w:val="clear" w:color="auto" w:fill="F5F8FA"/>
          </w:tcPr>
          <w:p>
            <w:pPr>
              <w:spacing w:before="50" w:after="50"/>
            </w:pPr>
            <w:r>
              <w:rPr>
                <w:sz w:val="19"/>
              </w:rPr>
            </w:r>
            <w:r>
              <w:rPr>
                <w:b w:val="0"/>
                <w:sz w:val="19"/>
              </w:rPr>
              <w:t>A workload can be registered, bound, promoted to enforce, and rolled back — with rollback requiring no rebuild of anything.</w:t>
            </w:r>
          </w:p>
        </w:tc>
        <w:tc>
          <w:tcPr>
            <w:tcW w:type="dxa" w:w="2881"/>
            <w:shd w:val="clear" w:color="auto" w:fill="F5F8FA"/>
          </w:tcPr>
          <w:p>
            <w:pPr>
              <w:spacing w:before="50" w:after="50"/>
            </w:pPr>
            <w:r>
              <w:rPr>
                <w:sz w:val="19"/>
              </w:rPr>
            </w:r>
            <w:r>
              <w:rPr>
                <w:b w:val="0"/>
                <w:sz w:val="19"/>
              </w:rPr>
              <w:t>Product lead, security lead</w:t>
            </w:r>
          </w:p>
        </w:tc>
      </w:tr>
      <w:tr>
        <w:trPr>
          <w:cantSplit w:val="true"/>
        </w:trPr>
        <w:tc>
          <w:tcPr>
            <w:tcW w:type="dxa" w:w="768"/>
          </w:tcPr>
          <w:p>
            <w:pPr>
              <w:spacing w:before="50" w:after="50"/>
            </w:pPr>
            <w:r>
              <w:rPr>
                <w:sz w:val="19"/>
              </w:rPr>
            </w:r>
            <w:r>
              <w:rPr>
                <w:b/>
                <w:sz w:val="19"/>
              </w:rPr>
              <w:t>G6</w:t>
            </w:r>
          </w:p>
        </w:tc>
        <w:tc>
          <w:tcPr>
            <w:tcW w:type="dxa" w:w="5954"/>
          </w:tcPr>
          <w:p>
            <w:pPr>
              <w:spacing w:before="50" w:after="50"/>
            </w:pPr>
            <w:r>
              <w:rPr>
                <w:sz w:val="19"/>
              </w:rPr>
            </w:r>
            <w:r>
              <w:rPr>
                <w:b w:val="0"/>
                <w:sz w:val="19"/>
              </w:rPr>
              <w:t>All nine acceptance conditions pass locally as an automated suite.</w:t>
            </w:r>
          </w:p>
        </w:tc>
        <w:tc>
          <w:tcPr>
            <w:tcW w:type="dxa" w:w="2881"/>
          </w:tcPr>
          <w:p>
            <w:pPr>
              <w:spacing w:before="50" w:after="50"/>
            </w:pPr>
            <w:r>
              <w:rPr>
                <w:sz w:val="19"/>
              </w:rPr>
            </w:r>
            <w:r>
              <w:rPr>
                <w:b w:val="0"/>
                <w:sz w:val="19"/>
              </w:rPr>
              <w:t>Delivery lead</w:t>
            </w:r>
          </w:p>
        </w:tc>
      </w:tr>
      <w:tr>
        <w:trPr>
          <w:cantSplit w:val="true"/>
        </w:trPr>
        <w:tc>
          <w:tcPr>
            <w:tcW w:type="dxa" w:w="768"/>
            <w:shd w:val="clear" w:color="auto" w:fill="F5F8FA"/>
          </w:tcPr>
          <w:p>
            <w:pPr>
              <w:spacing w:before="50" w:after="50"/>
            </w:pPr>
            <w:r>
              <w:rPr>
                <w:sz w:val="19"/>
              </w:rPr>
            </w:r>
            <w:r>
              <w:rPr>
                <w:b/>
                <w:sz w:val="19"/>
              </w:rPr>
              <w:t>G7</w:t>
            </w:r>
          </w:p>
        </w:tc>
        <w:tc>
          <w:tcPr>
            <w:tcW w:type="dxa" w:w="5954"/>
            <w:shd w:val="clear" w:color="auto" w:fill="F5F8FA"/>
          </w:tcPr>
          <w:p>
            <w:pPr>
              <w:spacing w:before="50" w:after="50"/>
            </w:pPr>
            <w:r>
              <w:rPr>
                <w:sz w:val="19"/>
              </w:rPr>
            </w:r>
            <w:r>
              <w:rPr>
                <w:b w:val="0"/>
                <w:sz w:val="19"/>
              </w:rPr>
              <w:t>The same suite passes on real infrastructure with the managed engine in place, and the security controls are proven. The first release can be signed off.</w:t>
            </w:r>
          </w:p>
        </w:tc>
        <w:tc>
          <w:tcPr>
            <w:tcW w:type="dxa" w:w="2881"/>
            <w:shd w:val="clear" w:color="auto" w:fill="F5F8FA"/>
          </w:tcPr>
          <w:p>
            <w:pPr>
              <w:spacing w:before="50" w:after="50"/>
            </w:pPr>
            <w:r>
              <w:rPr>
                <w:sz w:val="19"/>
              </w:rPr>
            </w:r>
            <w:r>
              <w:rPr>
                <w:b w:val="0"/>
                <w:sz w:val="19"/>
              </w:rPr>
              <w:t>Architecture lead, security lead</w:t>
            </w:r>
          </w:p>
        </w:tc>
      </w:tr>
    </w:tbl>
    <w:p>
      <w:pPr>
        <w:spacing w:after="40"/>
      </w:pPr>
    </w:p>
    <w:p>
      <w:pPr>
        <w:pStyle w:val="Heading2"/>
      </w:pPr>
      <w:r>
        <w:t>3.1 Decisions this plan needs, and when</w:t>
      </w:r>
    </w:p>
    <w:p>
      <w:pPr>
        <w:spacing w:after="120"/>
      </w:pPr>
      <w:r>
        <w:rPr>
          <w:b w:val="0"/>
          <w:i w:val="0"/>
          <w:color w:val="1A1A1A"/>
          <w:sz w:val="21"/>
        </w:rPr>
        <w:t>Eight decisions must be made rather than assumed. Local-first work closes two of them earlier than a cloud-first sequence would, and moves four to a single checkpoint at the final stage.</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2" w:type="dxa"/>
      </w:tblPr>
      <w:tblGrid>
        <w:gridCol w:w="3649"/>
        <w:gridCol w:w="1536"/>
        <w:gridCol w:w="4417"/>
      </w:tblGrid>
      <w:tr>
        <w:trPr>
          <w:tblHeader w:val="true"/>
        </w:trPr>
        <w:tc>
          <w:tcPr>
            <w:tcW w:type="dxa" w:w="3649"/>
            <w:shd w:val="clear" w:color="auto" w:fill="E8EEF2"/>
          </w:tcPr>
          <w:p>
            <w:pPr>
              <w:spacing w:before="60" w:after="60"/>
            </w:pPr>
            <w:r/>
            <w:r>
              <w:rPr>
                <w:b/>
                <w:color w:val="0B4F71"/>
                <w:sz w:val="19"/>
              </w:rPr>
              <w:t>Decision</w:t>
            </w:r>
          </w:p>
        </w:tc>
        <w:tc>
          <w:tcPr>
            <w:tcW w:type="dxa" w:w="1536"/>
            <w:shd w:val="clear" w:color="auto" w:fill="E8EEF2"/>
          </w:tcPr>
          <w:p>
            <w:pPr>
              <w:spacing w:before="60" w:after="60"/>
            </w:pPr>
            <w:r/>
            <w:r>
              <w:rPr>
                <w:b/>
                <w:color w:val="0B4F71"/>
                <w:sz w:val="19"/>
              </w:rPr>
              <w:t>Closes at</w:t>
            </w:r>
          </w:p>
        </w:tc>
        <w:tc>
          <w:tcPr>
            <w:tcW w:type="dxa" w:w="4417"/>
            <w:shd w:val="clear" w:color="auto" w:fill="E8EEF2"/>
          </w:tcPr>
          <w:p>
            <w:pPr>
              <w:spacing w:before="60" w:after="60"/>
            </w:pPr>
            <w:r/>
            <w:r>
              <w:rPr>
                <w:b/>
                <w:color w:val="0B4F71"/>
                <w:sz w:val="19"/>
              </w:rPr>
              <w:t>Note</w:t>
            </w:r>
          </w:p>
        </w:tc>
      </w:tr>
      <w:tr>
        <w:trPr>
          <w:cantSplit w:val="true"/>
        </w:trPr>
        <w:tc>
          <w:tcPr>
            <w:tcW w:type="dxa" w:w="3649"/>
          </w:tcPr>
          <w:p>
            <w:pPr>
              <w:spacing w:before="50" w:after="50"/>
            </w:pPr>
            <w:r>
              <w:rPr>
                <w:sz w:val="19"/>
              </w:rPr>
            </w:r>
            <w:r>
              <w:rPr>
                <w:b w:val="0"/>
                <w:sz w:val="19"/>
              </w:rPr>
              <w:t>What a blocked response returns to the caller</w:t>
            </w:r>
          </w:p>
        </w:tc>
        <w:tc>
          <w:tcPr>
            <w:tcW w:type="dxa" w:w="1536"/>
          </w:tcPr>
          <w:p>
            <w:pPr>
              <w:spacing w:before="50" w:after="50"/>
            </w:pPr>
            <w:r>
              <w:rPr>
                <w:sz w:val="19"/>
              </w:rPr>
            </w:r>
            <w:r>
              <w:rPr>
                <w:b/>
                <w:sz w:val="19"/>
              </w:rPr>
              <w:t>G4</w:t>
            </w:r>
          </w:p>
        </w:tc>
        <w:tc>
          <w:tcPr>
            <w:tcW w:type="dxa" w:w="4417"/>
          </w:tcPr>
          <w:p>
            <w:pPr>
              <w:spacing w:before="50" w:after="50"/>
            </w:pPr>
            <w:r>
              <w:rPr>
                <w:sz w:val="19"/>
              </w:rPr>
            </w:r>
            <w:r>
              <w:rPr>
                <w:b w:val="0"/>
                <w:sz w:val="19"/>
              </w:rPr>
              <w:t>Brought forward — building the integration forces the question.</w:t>
            </w:r>
          </w:p>
        </w:tc>
      </w:tr>
      <w:tr>
        <w:trPr>
          <w:cantSplit w:val="true"/>
        </w:trPr>
        <w:tc>
          <w:tcPr>
            <w:tcW w:type="dxa" w:w="3649"/>
            <w:shd w:val="clear" w:color="auto" w:fill="F5F8FA"/>
          </w:tcPr>
          <w:p>
            <w:pPr>
              <w:spacing w:before="50" w:after="50"/>
            </w:pPr>
            <w:r>
              <w:rPr>
                <w:sz w:val="19"/>
              </w:rPr>
            </w:r>
            <w:r>
              <w:rPr>
                <w:b w:val="0"/>
                <w:sz w:val="19"/>
              </w:rPr>
              <w:t>Which parts of a shared policy a team may override</w:t>
            </w:r>
          </w:p>
        </w:tc>
        <w:tc>
          <w:tcPr>
            <w:tcW w:type="dxa" w:w="1536"/>
            <w:shd w:val="clear" w:color="auto" w:fill="F5F8FA"/>
          </w:tcPr>
          <w:p>
            <w:pPr>
              <w:spacing w:before="50" w:after="50"/>
            </w:pPr>
            <w:r>
              <w:rPr>
                <w:sz w:val="19"/>
              </w:rPr>
            </w:r>
            <w:r>
              <w:rPr>
                <w:b/>
                <w:sz w:val="19"/>
              </w:rPr>
              <w:t>G5</w:t>
            </w:r>
          </w:p>
        </w:tc>
        <w:tc>
          <w:tcPr>
            <w:tcW w:type="dxa" w:w="4417"/>
            <w:shd w:val="clear" w:color="auto" w:fill="F5F8FA"/>
          </w:tcPr>
          <w:p>
            <w:pPr>
              <w:spacing w:before="50" w:after="50"/>
            </w:pPr>
            <w:r>
              <w:rPr>
                <w:sz w:val="19"/>
              </w:rPr>
            </w:r>
            <w:r>
              <w:rPr>
                <w:b w:val="0"/>
                <w:sz w:val="19"/>
              </w:rPr>
              <w:t>Brought forward — the binding model surfaces it.</w:t>
            </w:r>
          </w:p>
        </w:tc>
      </w:tr>
      <w:tr>
        <w:trPr>
          <w:cantSplit w:val="true"/>
        </w:trPr>
        <w:tc>
          <w:tcPr>
            <w:tcW w:type="dxa" w:w="3649"/>
          </w:tcPr>
          <w:p>
            <w:pPr>
              <w:spacing w:before="50" w:after="50"/>
            </w:pPr>
            <w:r>
              <w:rPr>
                <w:sz w:val="19"/>
              </w:rPr>
            </w:r>
            <w:r>
              <w:rPr>
                <w:b w:val="0"/>
                <w:sz w:val="19"/>
              </w:rPr>
              <w:t>Latency budget and availability target</w:t>
            </w:r>
          </w:p>
        </w:tc>
        <w:tc>
          <w:tcPr>
            <w:tcW w:type="dxa" w:w="1536"/>
          </w:tcPr>
          <w:p>
            <w:pPr>
              <w:spacing w:before="50" w:after="50"/>
            </w:pPr>
            <w:r>
              <w:rPr>
                <w:sz w:val="19"/>
              </w:rPr>
            </w:r>
            <w:r>
              <w:rPr>
                <w:b w:val="0"/>
                <w:sz w:val="19"/>
              </w:rPr>
              <w:t xml:space="preserve">G6 → </w:t>
            </w:r>
            <w:r>
              <w:rPr>
                <w:b/>
                <w:sz w:val="19"/>
              </w:rPr>
              <w:t>G7</w:t>
            </w:r>
          </w:p>
        </w:tc>
        <w:tc>
          <w:tcPr>
            <w:tcW w:type="dxa" w:w="4417"/>
          </w:tcPr>
          <w:p>
            <w:pPr>
              <w:spacing w:before="50" w:after="50"/>
            </w:pPr>
            <w:r>
              <w:rPr>
                <w:sz w:val="19"/>
              </w:rPr>
            </w:r>
            <w:r>
              <w:rPr>
                <w:b w:val="0"/>
                <w:sz w:val="19"/>
              </w:rPr>
              <w:t>Ranked locally; the figure itself comes from real measurement.</w:t>
            </w:r>
          </w:p>
        </w:tc>
      </w:tr>
      <w:tr>
        <w:trPr>
          <w:cantSplit w:val="true"/>
        </w:trPr>
        <w:tc>
          <w:tcPr>
            <w:tcW w:type="dxa" w:w="3649"/>
            <w:shd w:val="clear" w:color="auto" w:fill="F5F8FA"/>
          </w:tcPr>
          <w:p>
            <w:pPr>
              <w:spacing w:before="50" w:after="50"/>
            </w:pPr>
            <w:r>
              <w:rPr>
                <w:sz w:val="19"/>
              </w:rPr>
            </w:r>
            <w:r>
              <w:rPr>
                <w:b w:val="0"/>
                <w:sz w:val="19"/>
              </w:rPr>
              <w:t>Which container platform hosts the service</w:t>
            </w:r>
          </w:p>
        </w:tc>
        <w:tc>
          <w:tcPr>
            <w:tcW w:type="dxa" w:w="1536"/>
            <w:shd w:val="clear" w:color="auto" w:fill="F5F8FA"/>
          </w:tcPr>
          <w:p>
            <w:pPr>
              <w:spacing w:before="50" w:after="50"/>
            </w:pPr>
            <w:r>
              <w:rPr>
                <w:sz w:val="19"/>
              </w:rPr>
            </w:r>
            <w:r>
              <w:rPr>
                <w:b/>
                <w:sz w:val="19"/>
              </w:rPr>
              <w:t>S7 entry</w:t>
            </w:r>
          </w:p>
        </w:tc>
        <w:tc>
          <w:tcPr>
            <w:tcW w:type="dxa" w:w="4417"/>
            <w:shd w:val="clear" w:color="auto" w:fill="F5F8FA"/>
          </w:tcPr>
          <w:p>
            <w:pPr>
              <w:spacing w:before="50" w:after="50"/>
            </w:pPr>
            <w:r>
              <w:rPr>
                <w:sz w:val="19"/>
              </w:rPr>
            </w:r>
            <w:r>
              <w:rPr>
                <w:b w:val="0"/>
                <w:sz w:val="19"/>
              </w:rPr>
              <w:t>Genuinely deferrable — the deliverable is a container either way.</w:t>
            </w:r>
          </w:p>
        </w:tc>
      </w:tr>
      <w:tr>
        <w:trPr>
          <w:cantSplit w:val="true"/>
        </w:trPr>
        <w:tc>
          <w:tcPr>
            <w:tcW w:type="dxa" w:w="3649"/>
          </w:tcPr>
          <w:p>
            <w:pPr>
              <w:spacing w:before="50" w:after="50"/>
            </w:pPr>
            <w:r>
              <w:rPr>
                <w:sz w:val="19"/>
              </w:rPr>
            </w:r>
            <w:r>
              <w:rPr>
                <w:b w:val="0"/>
                <w:sz w:val="19"/>
              </w:rPr>
              <w:t>Target region, and whether the managed engine is fully available there</w:t>
            </w:r>
          </w:p>
        </w:tc>
        <w:tc>
          <w:tcPr>
            <w:tcW w:type="dxa" w:w="1536"/>
          </w:tcPr>
          <w:p>
            <w:pPr>
              <w:spacing w:before="50" w:after="50"/>
            </w:pPr>
            <w:r>
              <w:rPr>
                <w:sz w:val="19"/>
              </w:rPr>
            </w:r>
            <w:r>
              <w:rPr>
                <w:b/>
                <w:sz w:val="19"/>
              </w:rPr>
              <w:t>S7 entry</w:t>
            </w:r>
          </w:p>
        </w:tc>
        <w:tc>
          <w:tcPr>
            <w:tcW w:type="dxa" w:w="4417"/>
          </w:tcPr>
          <w:p>
            <w:pPr>
              <w:spacing w:before="50" w:after="50"/>
            </w:pPr>
            <w:r>
              <w:rPr>
                <w:sz w:val="19"/>
              </w:rPr>
            </w:r>
            <w:r>
              <w:rPr>
                <w:b w:val="0"/>
                <w:sz w:val="19"/>
              </w:rPr>
              <w:t>No local path.</w:t>
            </w:r>
          </w:p>
        </w:tc>
      </w:tr>
      <w:tr>
        <w:trPr>
          <w:cantSplit w:val="true"/>
        </w:trPr>
        <w:tc>
          <w:tcPr>
            <w:tcW w:type="dxa" w:w="3649"/>
            <w:shd w:val="clear" w:color="auto" w:fill="F5F8FA"/>
          </w:tcPr>
          <w:p>
            <w:pPr>
              <w:spacing w:before="50" w:after="50"/>
            </w:pPr>
            <w:r>
              <w:rPr>
                <w:sz w:val="19"/>
              </w:rPr>
            </w:r>
            <w:r>
              <w:rPr>
                <w:b w:val="0"/>
                <w:sz w:val="19"/>
              </w:rPr>
              <w:t>Funding commitment</w:t>
            </w:r>
          </w:p>
        </w:tc>
        <w:tc>
          <w:tcPr>
            <w:tcW w:type="dxa" w:w="1536"/>
            <w:shd w:val="clear" w:color="auto" w:fill="F5F8FA"/>
          </w:tcPr>
          <w:p>
            <w:pPr>
              <w:spacing w:before="50" w:after="50"/>
            </w:pPr>
            <w:r>
              <w:rPr>
                <w:sz w:val="19"/>
              </w:rPr>
            </w:r>
            <w:r>
              <w:rPr>
                <w:b/>
                <w:sz w:val="19"/>
              </w:rPr>
              <w:t>S7 entry</w:t>
            </w:r>
          </w:p>
        </w:tc>
        <w:tc>
          <w:tcPr>
            <w:tcW w:type="dxa" w:w="4417"/>
            <w:shd w:val="clear" w:color="auto" w:fill="F5F8FA"/>
          </w:tcPr>
          <w:p>
            <w:pPr>
              <w:spacing w:before="50" w:after="50"/>
            </w:pPr>
            <w:r>
              <w:rPr>
                <w:sz w:val="19"/>
              </w:rPr>
            </w:r>
            <w:r>
              <w:rPr>
                <w:b w:val="0"/>
                <w:sz w:val="19"/>
              </w:rPr>
              <w:t>No longer gates the start of the build.</w:t>
            </w:r>
          </w:p>
        </w:tc>
      </w:tr>
      <w:tr>
        <w:trPr>
          <w:cantSplit w:val="true"/>
        </w:trPr>
        <w:tc>
          <w:tcPr>
            <w:tcW w:type="dxa" w:w="3649"/>
          </w:tcPr>
          <w:p>
            <w:pPr>
              <w:spacing w:before="50" w:after="50"/>
            </w:pPr>
            <w:r>
              <w:rPr>
                <w:sz w:val="19"/>
              </w:rPr>
            </w:r>
            <w:r>
              <w:rPr>
                <w:b w:val="0"/>
                <w:sz w:val="19"/>
              </w:rPr>
              <w:t>Cloud account request filed</w:t>
            </w:r>
          </w:p>
        </w:tc>
        <w:tc>
          <w:tcPr>
            <w:tcW w:type="dxa" w:w="1536"/>
          </w:tcPr>
          <w:p>
            <w:pPr>
              <w:spacing w:before="50" w:after="50"/>
            </w:pPr>
            <w:r>
              <w:rPr>
                <w:sz w:val="19"/>
              </w:rPr>
            </w:r>
            <w:r>
              <w:rPr>
                <w:b/>
                <w:sz w:val="19"/>
              </w:rPr>
              <w:t>S7 entry</w:t>
            </w:r>
          </w:p>
        </w:tc>
        <w:tc>
          <w:tcPr>
            <w:tcW w:type="dxa" w:w="4417"/>
          </w:tcPr>
          <w:p>
            <w:pPr>
              <w:spacing w:before="50" w:after="50"/>
            </w:pPr>
            <w:r>
              <w:rPr>
                <w:sz w:val="19"/>
              </w:rPr>
            </w:r>
            <w:r>
              <w:rPr>
                <w:b w:val="0"/>
                <w:sz w:val="19"/>
              </w:rPr>
              <w:t>Should be filed well before S7 — see the ask in section 1.</w:t>
            </w:r>
          </w:p>
        </w:tc>
      </w:tr>
      <w:tr>
        <w:trPr>
          <w:cantSplit w:val="true"/>
        </w:trPr>
        <w:tc>
          <w:tcPr>
            <w:tcW w:type="dxa" w:w="3649"/>
            <w:shd w:val="clear" w:color="auto" w:fill="F5F8FA"/>
          </w:tcPr>
          <w:p>
            <w:pPr>
              <w:spacing w:before="50" w:after="50"/>
            </w:pPr>
            <w:r>
              <w:rPr>
                <w:sz w:val="19"/>
              </w:rPr>
            </w:r>
            <w:r>
              <w:rPr>
                <w:b w:val="0"/>
                <w:sz w:val="19"/>
              </w:rPr>
              <w:t>Two named teams willing to adopt</w:t>
            </w:r>
          </w:p>
        </w:tc>
        <w:tc>
          <w:tcPr>
            <w:tcW w:type="dxa" w:w="1536"/>
            <w:shd w:val="clear" w:color="auto" w:fill="F5F8FA"/>
          </w:tcPr>
          <w:p>
            <w:pPr>
              <w:spacing w:before="50" w:after="50"/>
            </w:pPr>
            <w:r>
              <w:rPr>
                <w:sz w:val="19"/>
              </w:rPr>
            </w:r>
            <w:r>
              <w:rPr>
                <w:b w:val="0"/>
                <w:sz w:val="19"/>
              </w:rPr>
              <w:t>Unchanged</w:t>
            </w:r>
          </w:p>
        </w:tc>
        <w:tc>
          <w:tcPr>
            <w:tcW w:type="dxa" w:w="4417"/>
            <w:shd w:val="clear" w:color="auto" w:fill="F5F8FA"/>
          </w:tcPr>
          <w:p>
            <w:pPr>
              <w:spacing w:before="50" w:after="50"/>
            </w:pPr>
            <w:r>
              <w:rPr>
                <w:sz w:val="19"/>
              </w:rPr>
            </w:r>
            <w:r>
              <w:rPr>
                <w:b w:val="0"/>
                <w:sz w:val="19"/>
              </w:rPr>
              <w:t>Local work proves the technical claim; the adoption commitment is separate and stays open.</w:t>
            </w:r>
          </w:p>
        </w:tc>
      </w:tr>
    </w:tbl>
    <w:p>
      <w:pPr>
        <w:spacing w:after="40"/>
      </w:pPr>
    </w:p>
    <w:p>
      <w:pPr>
        <w:pStyle w:val="Heading2"/>
      </w:pPr>
      <w:r>
        <w:t>3.2 The nine acceptance conditions</w:t>
      </w:r>
    </w:p>
    <w:p>
      <w:pPr>
        <w:spacing w:after="120"/>
      </w:pPr>
      <w:r>
        <w:rPr>
          <w:b w:val="0"/>
          <w:i w:val="0"/>
          <w:color w:val="1A1A1A"/>
          <w:sz w:val="21"/>
        </w:rPr>
        <w:t>The first release is accepted only when all nine hold at once — not when the components merely exist. Eight are provable without a cloud account.</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3" w:type="dxa"/>
      </w:tblPr>
      <w:tblGrid>
        <w:gridCol w:w="480"/>
        <w:gridCol w:w="5762"/>
        <w:gridCol w:w="3361"/>
      </w:tblGrid>
      <w:tr>
        <w:trPr>
          <w:tblHeader w:val="true"/>
        </w:trPr>
        <w:tc>
          <w:tcPr>
            <w:tcW w:type="dxa" w:w="480"/>
            <w:shd w:val="clear" w:color="auto" w:fill="E8EEF2"/>
          </w:tcPr>
          <w:p>
            <w:pPr>
              <w:spacing w:before="60" w:after="60"/>
            </w:pPr>
            <w:r/>
            <w:r>
              <w:rPr>
                <w:b/>
                <w:color w:val="0B4F71"/>
                <w:sz w:val="19"/>
              </w:rPr>
              <w:t>#</w:t>
            </w:r>
          </w:p>
        </w:tc>
        <w:tc>
          <w:tcPr>
            <w:tcW w:type="dxa" w:w="5762"/>
            <w:shd w:val="clear" w:color="auto" w:fill="E8EEF2"/>
          </w:tcPr>
          <w:p>
            <w:pPr>
              <w:spacing w:before="60" w:after="60"/>
            </w:pPr>
            <w:r/>
            <w:r>
              <w:rPr>
                <w:b/>
                <w:color w:val="0B4F71"/>
                <w:sz w:val="19"/>
              </w:rPr>
              <w:t>Condition</w:t>
            </w:r>
          </w:p>
        </w:tc>
        <w:tc>
          <w:tcPr>
            <w:tcW w:type="dxa" w:w="3361"/>
            <w:shd w:val="clear" w:color="auto" w:fill="E8EEF2"/>
          </w:tcPr>
          <w:p>
            <w:pPr>
              <w:spacing w:before="60" w:after="60"/>
            </w:pPr>
            <w:r/>
            <w:r>
              <w:rPr>
                <w:b/>
                <w:color w:val="0B4F71"/>
                <w:sz w:val="19"/>
              </w:rPr>
              <w:t>Proven at</w:t>
            </w:r>
          </w:p>
        </w:tc>
      </w:tr>
      <w:tr>
        <w:trPr>
          <w:cantSplit w:val="true"/>
        </w:trPr>
        <w:tc>
          <w:tcPr>
            <w:tcW w:type="dxa" w:w="480"/>
          </w:tcPr>
          <w:p>
            <w:pPr>
              <w:spacing w:before="50" w:after="50"/>
            </w:pPr>
            <w:r>
              <w:rPr>
                <w:sz w:val="19"/>
              </w:rPr>
            </w:r>
            <w:r>
              <w:rPr>
                <w:b w:val="0"/>
                <w:sz w:val="19"/>
              </w:rPr>
              <w:t>1</w:t>
            </w:r>
          </w:p>
        </w:tc>
        <w:tc>
          <w:tcPr>
            <w:tcW w:type="dxa" w:w="5762"/>
          </w:tcPr>
          <w:p>
            <w:pPr>
              <w:spacing w:before="50" w:after="50"/>
            </w:pPr>
            <w:r>
              <w:rPr>
                <w:sz w:val="19"/>
              </w:rPr>
            </w:r>
            <w:r>
              <w:rPr>
                <w:b w:val="0"/>
                <w:sz w:val="19"/>
              </w:rPr>
              <w:t>Two separate gateways run the same policy</w:t>
            </w:r>
          </w:p>
        </w:tc>
        <w:tc>
          <w:tcPr>
            <w:tcW w:type="dxa" w:w="3361"/>
          </w:tcPr>
          <w:p>
            <w:pPr>
              <w:spacing w:before="50" w:after="50"/>
            </w:pPr>
            <w:r>
              <w:rPr>
                <w:sz w:val="19"/>
              </w:rPr>
            </w:r>
            <w:r>
              <w:rPr>
                <w:b/>
                <w:sz w:val="19"/>
              </w:rPr>
              <w:t>G6</w:t>
            </w:r>
          </w:p>
        </w:tc>
      </w:tr>
      <w:tr>
        <w:trPr>
          <w:cantSplit w:val="true"/>
        </w:trPr>
        <w:tc>
          <w:tcPr>
            <w:tcW w:type="dxa" w:w="480"/>
            <w:shd w:val="clear" w:color="auto" w:fill="F5F8FA"/>
          </w:tcPr>
          <w:p>
            <w:pPr>
              <w:spacing w:before="50" w:after="50"/>
            </w:pPr>
            <w:r>
              <w:rPr>
                <w:sz w:val="19"/>
              </w:rPr>
            </w:r>
            <w:r>
              <w:rPr>
                <w:b w:val="0"/>
                <w:sz w:val="19"/>
              </w:rPr>
              <w:t>2</w:t>
            </w:r>
          </w:p>
        </w:tc>
        <w:tc>
          <w:tcPr>
            <w:tcW w:type="dxa" w:w="5762"/>
            <w:shd w:val="clear" w:color="auto" w:fill="F5F8FA"/>
          </w:tcPr>
          <w:p>
            <w:pPr>
              <w:spacing w:before="50" w:after="50"/>
            </w:pPr>
            <w:r>
              <w:rPr>
                <w:sz w:val="19"/>
              </w:rPr>
            </w:r>
            <w:r>
              <w:rPr>
                <w:b w:val="0"/>
                <w:sz w:val="19"/>
              </w:rPr>
              <w:t>Neither gateway shares its model credentials with the guardrail service</w:t>
            </w:r>
          </w:p>
        </w:tc>
        <w:tc>
          <w:tcPr>
            <w:tcW w:type="dxa" w:w="3361"/>
            <w:shd w:val="clear" w:color="auto" w:fill="F5F8FA"/>
          </w:tcPr>
          <w:p>
            <w:pPr>
              <w:spacing w:before="50" w:after="50"/>
            </w:pPr>
            <w:r>
              <w:rPr>
                <w:sz w:val="19"/>
              </w:rPr>
            </w:r>
            <w:r>
              <w:rPr>
                <w:b/>
                <w:sz w:val="19"/>
              </w:rPr>
              <w:t>G6</w:t>
            </w:r>
          </w:p>
        </w:tc>
      </w:tr>
      <w:tr>
        <w:trPr>
          <w:cantSplit w:val="true"/>
        </w:trPr>
        <w:tc>
          <w:tcPr>
            <w:tcW w:type="dxa" w:w="480"/>
          </w:tcPr>
          <w:p>
            <w:pPr>
              <w:spacing w:before="50" w:after="50"/>
            </w:pPr>
            <w:r>
              <w:rPr>
                <w:sz w:val="19"/>
              </w:rPr>
            </w:r>
            <w:r>
              <w:rPr>
                <w:b w:val="0"/>
                <w:sz w:val="19"/>
              </w:rPr>
              <w:t>3</w:t>
            </w:r>
          </w:p>
        </w:tc>
        <w:tc>
          <w:tcPr>
            <w:tcW w:type="dxa" w:w="5762"/>
          </w:tcPr>
          <w:p>
            <w:pPr>
              <w:spacing w:before="50" w:after="50"/>
            </w:pPr>
            <w:r>
              <w:rPr>
                <w:sz w:val="19"/>
              </w:rPr>
            </w:r>
            <w:r>
              <w:rPr>
                <w:b w:val="0"/>
                <w:sz w:val="19"/>
              </w:rPr>
              <w:t>Both get the same decision for the same content</w:t>
            </w:r>
          </w:p>
        </w:tc>
        <w:tc>
          <w:tcPr>
            <w:tcW w:type="dxa" w:w="3361"/>
          </w:tcPr>
          <w:p>
            <w:pPr>
              <w:spacing w:before="50" w:after="50"/>
            </w:pPr>
            <w:r>
              <w:rPr>
                <w:sz w:val="19"/>
              </w:rPr>
            </w:r>
            <w:r>
              <w:rPr>
                <w:b/>
                <w:sz w:val="19"/>
              </w:rPr>
              <w:t>G6</w:t>
            </w:r>
          </w:p>
        </w:tc>
      </w:tr>
      <w:tr>
        <w:trPr>
          <w:cantSplit w:val="true"/>
        </w:trPr>
        <w:tc>
          <w:tcPr>
            <w:tcW w:type="dxa" w:w="480"/>
            <w:shd w:val="clear" w:color="auto" w:fill="F5F8FA"/>
          </w:tcPr>
          <w:p>
            <w:pPr>
              <w:spacing w:before="50" w:after="50"/>
            </w:pPr>
            <w:r>
              <w:rPr>
                <w:sz w:val="19"/>
              </w:rPr>
            </w:r>
            <w:r>
              <w:rPr>
                <w:b w:val="0"/>
                <w:sz w:val="19"/>
              </w:rPr>
              <w:t>4</w:t>
            </w:r>
          </w:p>
        </w:tc>
        <w:tc>
          <w:tcPr>
            <w:tcW w:type="dxa" w:w="5762"/>
            <w:shd w:val="clear" w:color="auto" w:fill="F5F8FA"/>
          </w:tcPr>
          <w:p>
            <w:pPr>
              <w:spacing w:before="50" w:after="50"/>
            </w:pPr>
            <w:r>
              <w:rPr>
                <w:sz w:val="19"/>
              </w:rPr>
            </w:r>
            <w:r>
              <w:rPr>
                <w:b w:val="0"/>
                <w:sz w:val="19"/>
              </w:rPr>
              <w:t>One workload runs in observe mode</w:t>
            </w:r>
          </w:p>
        </w:tc>
        <w:tc>
          <w:tcPr>
            <w:tcW w:type="dxa" w:w="3361"/>
            <w:shd w:val="clear" w:color="auto" w:fill="F5F8FA"/>
          </w:tcPr>
          <w:p>
            <w:pPr>
              <w:spacing w:before="50" w:after="50"/>
            </w:pPr>
            <w:r>
              <w:rPr>
                <w:sz w:val="19"/>
              </w:rPr>
            </w:r>
            <w:r>
              <w:rPr>
                <w:b/>
                <w:sz w:val="19"/>
              </w:rPr>
              <w:t>G4</w:t>
            </w:r>
          </w:p>
        </w:tc>
      </w:tr>
      <w:tr>
        <w:trPr>
          <w:cantSplit w:val="true"/>
        </w:trPr>
        <w:tc>
          <w:tcPr>
            <w:tcW w:type="dxa" w:w="480"/>
          </w:tcPr>
          <w:p>
            <w:pPr>
              <w:spacing w:before="50" w:after="50"/>
            </w:pPr>
            <w:r>
              <w:rPr>
                <w:sz w:val="19"/>
              </w:rPr>
            </w:r>
            <w:r>
              <w:rPr>
                <w:b w:val="0"/>
                <w:sz w:val="19"/>
              </w:rPr>
              <w:t>5</w:t>
            </w:r>
          </w:p>
        </w:tc>
        <w:tc>
          <w:tcPr>
            <w:tcW w:type="dxa" w:w="5762"/>
          </w:tcPr>
          <w:p>
            <w:pPr>
              <w:spacing w:before="50" w:after="50"/>
            </w:pPr>
            <w:r>
              <w:rPr>
                <w:sz w:val="19"/>
              </w:rPr>
            </w:r>
            <w:r>
              <w:rPr>
                <w:b w:val="0"/>
                <w:sz w:val="19"/>
              </w:rPr>
              <w:t>Another runs in enforce mode</w:t>
            </w:r>
          </w:p>
        </w:tc>
        <w:tc>
          <w:tcPr>
            <w:tcW w:type="dxa" w:w="3361"/>
          </w:tcPr>
          <w:p>
            <w:pPr>
              <w:spacing w:before="50" w:after="50"/>
            </w:pPr>
            <w:r>
              <w:rPr>
                <w:sz w:val="19"/>
              </w:rPr>
            </w:r>
            <w:r>
              <w:rPr>
                <w:b/>
                <w:sz w:val="19"/>
              </w:rPr>
              <w:t>G5</w:t>
            </w:r>
          </w:p>
        </w:tc>
      </w:tr>
      <w:tr>
        <w:trPr>
          <w:cantSplit w:val="true"/>
        </w:trPr>
        <w:tc>
          <w:tcPr>
            <w:tcW w:type="dxa" w:w="480"/>
            <w:shd w:val="clear" w:color="auto" w:fill="F5F8FA"/>
          </w:tcPr>
          <w:p>
            <w:pPr>
              <w:spacing w:before="50" w:after="50"/>
            </w:pPr>
            <w:r>
              <w:rPr>
                <w:sz w:val="19"/>
              </w:rPr>
            </w:r>
            <w:r>
              <w:rPr>
                <w:b w:val="0"/>
                <w:sz w:val="19"/>
              </w:rPr>
              <w:t>6</w:t>
            </w:r>
          </w:p>
        </w:tc>
        <w:tc>
          <w:tcPr>
            <w:tcW w:type="dxa" w:w="5762"/>
            <w:shd w:val="clear" w:color="auto" w:fill="F5F8FA"/>
          </w:tcPr>
          <w:p>
            <w:pPr>
              <w:spacing w:before="50" w:after="50"/>
            </w:pPr>
            <w:r>
              <w:rPr>
                <w:sz w:val="19"/>
              </w:rPr>
            </w:r>
            <w:r>
              <w:rPr>
                <w:b w:val="0"/>
                <w:sz w:val="19"/>
              </w:rPr>
              <w:t>A policy can be upgraded and rolled back</w:t>
            </w:r>
          </w:p>
        </w:tc>
        <w:tc>
          <w:tcPr>
            <w:tcW w:type="dxa" w:w="3361"/>
            <w:shd w:val="clear" w:color="auto" w:fill="F5F8FA"/>
          </w:tcPr>
          <w:p>
            <w:pPr>
              <w:spacing w:before="50" w:after="50"/>
            </w:pPr>
            <w:r>
              <w:rPr>
                <w:sz w:val="19"/>
              </w:rPr>
            </w:r>
            <w:r>
              <w:rPr>
                <w:b/>
                <w:sz w:val="19"/>
              </w:rPr>
              <w:t>G5</w:t>
            </w:r>
          </w:p>
        </w:tc>
      </w:tr>
      <w:tr>
        <w:trPr>
          <w:cantSplit w:val="true"/>
        </w:trPr>
        <w:tc>
          <w:tcPr>
            <w:tcW w:type="dxa" w:w="480"/>
          </w:tcPr>
          <w:p>
            <w:pPr>
              <w:spacing w:before="50" w:after="50"/>
            </w:pPr>
            <w:r>
              <w:rPr>
                <w:sz w:val="19"/>
              </w:rPr>
            </w:r>
            <w:r>
              <w:rPr>
                <w:b w:val="0"/>
                <w:sz w:val="19"/>
              </w:rPr>
              <w:t>7</w:t>
            </w:r>
          </w:p>
        </w:tc>
        <w:tc>
          <w:tcPr>
            <w:tcW w:type="dxa" w:w="5762"/>
          </w:tcPr>
          <w:p>
            <w:pPr>
              <w:spacing w:before="50" w:after="50"/>
            </w:pPr>
            <w:r>
              <w:rPr>
                <w:sz w:val="19"/>
              </w:rPr>
            </w:r>
            <w:r>
              <w:rPr>
                <w:b w:val="0"/>
                <w:sz w:val="19"/>
              </w:rPr>
              <w:t>Storing raw prompts and responses can be switched off</w:t>
            </w:r>
          </w:p>
        </w:tc>
        <w:tc>
          <w:tcPr>
            <w:tcW w:type="dxa" w:w="3361"/>
          </w:tcPr>
          <w:p>
            <w:pPr>
              <w:spacing w:before="50" w:after="50"/>
            </w:pPr>
            <w:r>
              <w:rPr>
                <w:sz w:val="19"/>
              </w:rPr>
            </w:r>
            <w:r>
              <w:rPr>
                <w:b/>
                <w:sz w:val="19"/>
              </w:rPr>
              <w:t>G3</w:t>
            </w:r>
          </w:p>
        </w:tc>
      </w:tr>
      <w:tr>
        <w:trPr>
          <w:cantSplit w:val="true"/>
        </w:trPr>
        <w:tc>
          <w:tcPr>
            <w:tcW w:type="dxa" w:w="480"/>
            <w:shd w:val="clear" w:color="auto" w:fill="F5F8FA"/>
          </w:tcPr>
          <w:p>
            <w:pPr>
              <w:spacing w:before="50" w:after="50"/>
            </w:pPr>
            <w:r>
              <w:rPr>
                <w:sz w:val="19"/>
              </w:rPr>
            </w:r>
            <w:r>
              <w:rPr>
                <w:b w:val="0"/>
                <w:sz w:val="19"/>
              </w:rPr>
              <w:t>8</w:t>
            </w:r>
          </w:p>
        </w:tc>
        <w:tc>
          <w:tcPr>
            <w:tcW w:type="dxa" w:w="5762"/>
            <w:shd w:val="clear" w:color="auto" w:fill="F5F8FA"/>
          </w:tcPr>
          <w:p>
            <w:pPr>
              <w:spacing w:before="50" w:after="50"/>
            </w:pPr>
            <w:r>
              <w:rPr>
                <w:sz w:val="19"/>
              </w:rPr>
            </w:r>
            <w:r>
              <w:rPr>
                <w:b w:val="0"/>
                <w:sz w:val="19"/>
              </w:rPr>
              <w:t>A failed evaluation behaves the way the policy said it would</w:t>
            </w:r>
          </w:p>
        </w:tc>
        <w:tc>
          <w:tcPr>
            <w:tcW w:type="dxa" w:w="3361"/>
            <w:shd w:val="clear" w:color="auto" w:fill="F5F8FA"/>
          </w:tcPr>
          <w:p>
            <w:pPr>
              <w:spacing w:before="50" w:after="50"/>
            </w:pPr>
            <w:r>
              <w:rPr>
                <w:sz w:val="19"/>
              </w:rPr>
            </w:r>
            <w:r>
              <w:rPr>
                <w:b/>
                <w:sz w:val="19"/>
              </w:rPr>
              <w:t>G3</w:t>
            </w:r>
          </w:p>
        </w:tc>
      </w:tr>
      <w:tr>
        <w:trPr>
          <w:cantSplit w:val="true"/>
        </w:trPr>
        <w:tc>
          <w:tcPr>
            <w:tcW w:type="dxa" w:w="480"/>
          </w:tcPr>
          <w:p>
            <w:pPr>
              <w:spacing w:before="50" w:after="50"/>
            </w:pPr>
            <w:r>
              <w:rPr>
                <w:sz w:val="19"/>
              </w:rPr>
            </w:r>
            <w:r>
              <w:rPr>
                <w:b w:val="0"/>
                <w:sz w:val="19"/>
              </w:rPr>
              <w:t>9</w:t>
            </w:r>
          </w:p>
        </w:tc>
        <w:tc>
          <w:tcPr>
            <w:tcW w:type="dxa" w:w="5762"/>
          </w:tcPr>
          <w:p>
            <w:pPr>
              <w:spacing w:before="50" w:after="50"/>
            </w:pPr>
            <w:r>
              <w:rPr>
                <w:sz w:val="19"/>
              </w:rPr>
            </w:r>
            <w:r>
              <w:rPr>
                <w:b w:val="0"/>
                <w:sz w:val="19"/>
              </w:rPr>
              <w:t>The service can later be packaged to run inside a team's own network without changing the integration</w:t>
            </w:r>
          </w:p>
        </w:tc>
        <w:tc>
          <w:tcPr>
            <w:tcW w:type="dxa" w:w="3361"/>
          </w:tcPr>
          <w:p>
            <w:pPr>
              <w:spacing w:before="50" w:after="50"/>
            </w:pPr>
            <w:r>
              <w:rPr>
                <w:sz w:val="19"/>
              </w:rPr>
            </w:r>
            <w:r>
              <w:rPr>
                <w:b/>
                <w:sz w:val="19"/>
              </w:rPr>
              <w:t>G6</w:t>
            </w:r>
          </w:p>
        </w:tc>
      </w:tr>
    </w:tbl>
    <w:p>
      <w:pPr>
        <w:spacing w:after="40"/>
      </w:pP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4" w:type="dxa"/>
      </w:tblPr>
      <w:tblGrid>
        <w:gridCol w:w="9604"/>
      </w:tblGrid>
      <w:tr>
        <w:tc>
          <w:tcPr>
            <w:tcW w:type="dxa" w:w="9604"/>
            <w:shd w:val="clear" w:color="auto" w:fill="E8EEF2"/>
          </w:tcPr>
          <w:p>
            <w:pPr>
              <w:spacing w:before="120" w:after="120"/>
            </w:pPr>
            <w:r/>
            <w:r>
              <w:rPr>
                <w:b/>
                <w:sz w:val="21"/>
              </w:rPr>
              <w:t>Worth being precise.</w:t>
            </w:r>
            <w:r>
              <w:rPr>
                <w:b w:val="0"/>
                <w:sz w:val="21"/>
              </w:rPr>
              <w:t xml:space="preserve"> The detection-engine gap blocks none of these nine conditions. It blocks one capability and one proof. The demonstration can pass locally; sign-off still waits for the final stage.</w:t>
            </w:r>
          </w:p>
        </w:tc>
      </w:tr>
    </w:tbl>
    <w:p>
      <w:pPr>
        <w:spacing w:after="40"/>
      </w:pPr>
    </w:p>
    <w:p>
      <w:r>
        <w:br w:type="page"/>
      </w:r>
    </w:p>
    <w:p>
      <w:pPr>
        <w:pStyle w:val="Heading1"/>
      </w:pPr>
      <w:r>
        <w:t>4. Deliverable plan</w:t>
      </w:r>
    </w:p>
    <w:p>
      <w:pPr>
        <w:spacing w:after="120"/>
      </w:pPr>
      <w:r>
        <w:rPr>
          <w:b w:val="0"/>
          <w:i w:val="0"/>
          <w:color w:val="1A1A1A"/>
          <w:sz w:val="21"/>
        </w:rPr>
        <w:t>Twenty-six tasks, each sized for one software engineer — the plan assumes a single fungible role, so any engineer can pick up any task. Sizes are a deliberate three-step ladder of one, three or five days. They are a sizing judgement, not a bottom-up estimate, and are shown so the shape of the work can be argued with rather than guessed at.</w:t>
      </w:r>
    </w:p>
    <w:p>
      <w:pPr>
        <w:spacing w:after="120"/>
      </w:pPr>
      <w:r>
        <w:rPr>
          <w:b w:val="0"/>
          <w:i w:val="0"/>
          <w:color w:val="1A1A1A"/>
          <w:sz w:val="21"/>
        </w:rPr>
        <w:t>The work falls into three waves. Wave 2 is where the parallelism lives: five tracks that share nothing once the contract exists.</w:t>
      </w:r>
    </w:p>
    <w:tbl>
      <w:tblPr>
        <w:tblW w:type="auto" w:w="0"/>
        <w:jc w:val="center"/>
        <w:tblLayout w:type="fixed"/>
        <w:tblLook w:firstColumn="1" w:firstRow="1" w:lastColumn="0" w:lastRow="0" w:noHBand="0" w:noVBand="1" w:val="04A0"/>
        <w:tblLayout w:type="fixed"/>
        <w:tblW w:w="9600" w:type="dxa"/>
      </w:tblPr>
      <w:tblGrid>
        <w:gridCol w:w="2824"/>
        <w:gridCol w:w="564"/>
        <w:gridCol w:w="2824"/>
        <w:gridCol w:w="564"/>
        <w:gridCol w:w="2824"/>
      </w:tblGrid>
      <w:tr>
        <w:tc>
          <w:tcPr>
            <w:tcW w:type="dxa" w:w="2824"/>
            <w:vAlign w:val="center"/>
            <w:shd w:val="clear" w:color="auto" w:fill="E8EEF2"/>
          </w:tcPr>
          <w:p>
            <w:pPr>
              <w:spacing w:before="80" w:after="80"/>
              <w:jc w:val="center"/>
            </w:pPr>
            <w:r/>
            <w:r>
              <w:rPr>
                <w:b/>
                <w:color w:val="1A1A1A"/>
                <w:sz w:val="17"/>
              </w:rPr>
              <w:t>Wave 1</w:t>
              <w:br/>
              <w:t>sequential</w:t>
            </w:r>
          </w:p>
        </w:tc>
        <w:tc>
          <w:tcPr>
            <w:tcW w:type="dxa" w:w="564"/>
            <w:vAlign w:val="center"/>
          </w:tcPr>
          <w:p>
            <w:pPr>
              <w:spacing w:before="80" w:after="80"/>
              <w:jc w:val="center"/>
            </w:pPr>
            <w:r/>
            <w:r>
              <w:rPr>
                <w:b w:val="0"/>
                <w:color w:val="0B4F71"/>
                <w:sz w:val="18"/>
              </w:rPr>
              <w:t>▶</w:t>
            </w:r>
          </w:p>
        </w:tc>
        <w:tc>
          <w:tcPr>
            <w:tcW w:type="dxa" w:w="2824"/>
            <w:vAlign w:val="center"/>
            <w:shd w:val="clear" w:color="auto" w:fill="E8EEF2"/>
          </w:tcPr>
          <w:p>
            <w:pPr>
              <w:spacing w:before="80" w:after="80"/>
              <w:jc w:val="center"/>
            </w:pPr>
            <w:r/>
            <w:r>
              <w:rPr>
                <w:b/>
                <w:color w:val="1A1A1A"/>
                <w:sz w:val="17"/>
              </w:rPr>
              <w:t>Wave 2</w:t>
              <w:br/>
              <w:t>5 parallel tracks</w:t>
            </w:r>
          </w:p>
        </w:tc>
        <w:tc>
          <w:tcPr>
            <w:tcW w:type="dxa" w:w="564"/>
            <w:vAlign w:val="center"/>
          </w:tcPr>
          <w:p>
            <w:pPr>
              <w:spacing w:before="80" w:after="80"/>
              <w:jc w:val="center"/>
            </w:pPr>
            <w:r/>
            <w:r>
              <w:rPr>
                <w:b w:val="0"/>
                <w:color w:val="0B4F71"/>
                <w:sz w:val="18"/>
              </w:rPr>
              <w:t>▶</w:t>
            </w:r>
          </w:p>
        </w:tc>
        <w:tc>
          <w:tcPr>
            <w:tcW w:type="dxa" w:w="2824"/>
            <w:vAlign w:val="center"/>
            <w:shd w:val="clear" w:color="auto" w:fill="E8EEF2"/>
          </w:tcPr>
          <w:p>
            <w:pPr>
              <w:spacing w:before="80" w:after="80"/>
              <w:jc w:val="center"/>
            </w:pPr>
            <w:r/>
            <w:r>
              <w:rPr>
                <w:b/>
                <w:color w:val="1A1A1A"/>
                <w:sz w:val="17"/>
              </w:rPr>
              <w:t>Wave 3</w:t>
              <w:br/>
              <w:t>sequential</w:t>
            </w:r>
          </w:p>
        </w:tc>
      </w:tr>
    </w:tbl>
    <w:p>
      <w:pPr>
        <w:spacing w:after="160"/>
        <w:jc w:val="center"/>
      </w:pPr>
      <w:r>
        <w:rPr>
          <w:b w:val="0"/>
          <w:i w:val="0"/>
          <w:color w:val="5A636E"/>
          <w:sz w:val="17"/>
        </w:rPr>
        <w:t>Waves 1 and 3 are chains — no amount of people makes them shorter.</w:t>
      </w:r>
    </w:p>
    <w:p>
      <w:pPr>
        <w:pStyle w:val="Heading2"/>
      </w:pPr>
      <w:r>
        <w:t>4.1 Wave 1 — foundations (11 days, blocks everything)</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3" w:type="dxa"/>
      </w:tblPr>
      <w:tblGrid>
        <w:gridCol w:w="768"/>
        <w:gridCol w:w="7683"/>
        <w:gridCol w:w="1152"/>
      </w:tblGrid>
      <w:tr>
        <w:trPr>
          <w:tblHeader w:val="true"/>
        </w:trPr>
        <w:tc>
          <w:tcPr>
            <w:tcW w:type="dxa" w:w="768"/>
            <w:shd w:val="clear" w:color="auto" w:fill="E8EEF2"/>
          </w:tcPr>
          <w:p>
            <w:pPr>
              <w:spacing w:before="60" w:after="60"/>
            </w:pPr>
            <w:r/>
            <w:r>
              <w:rPr>
                <w:b/>
                <w:color w:val="0B4F71"/>
                <w:sz w:val="19"/>
              </w:rPr>
              <w:t>ID</w:t>
            </w:r>
          </w:p>
        </w:tc>
        <w:tc>
          <w:tcPr>
            <w:tcW w:type="dxa" w:w="7683"/>
            <w:shd w:val="clear" w:color="auto" w:fill="E8EEF2"/>
          </w:tcPr>
          <w:p>
            <w:pPr>
              <w:spacing w:before="60" w:after="60"/>
            </w:pPr>
            <w:r/>
            <w:r>
              <w:rPr>
                <w:b/>
                <w:color w:val="0B4F71"/>
                <w:sz w:val="19"/>
              </w:rPr>
              <w:t>Task</w:t>
            </w:r>
          </w:p>
        </w:tc>
        <w:tc>
          <w:tcPr>
            <w:tcW w:type="dxa" w:w="1152"/>
            <w:shd w:val="clear" w:color="auto" w:fill="E8EEF2"/>
          </w:tcPr>
          <w:p>
            <w:pPr>
              <w:spacing w:before="60" w:after="60"/>
            </w:pPr>
            <w:r/>
            <w:r>
              <w:rPr>
                <w:b/>
                <w:color w:val="0B4F71"/>
                <w:sz w:val="19"/>
              </w:rPr>
              <w:t>Days</w:t>
            </w:r>
          </w:p>
        </w:tc>
      </w:tr>
      <w:tr>
        <w:trPr>
          <w:cantSplit w:val="true"/>
        </w:trPr>
        <w:tc>
          <w:tcPr>
            <w:tcW w:type="dxa" w:w="768"/>
          </w:tcPr>
          <w:p>
            <w:pPr>
              <w:spacing w:before="50" w:after="50"/>
            </w:pPr>
            <w:r>
              <w:rPr>
                <w:sz w:val="19"/>
              </w:rPr>
            </w:r>
            <w:r>
              <w:rPr>
                <w:b w:val="0"/>
                <w:sz w:val="19"/>
              </w:rPr>
              <w:t>T1</w:t>
            </w:r>
          </w:p>
        </w:tc>
        <w:tc>
          <w:tcPr>
            <w:tcW w:type="dxa" w:w="7683"/>
          </w:tcPr>
          <w:p>
            <w:pPr>
              <w:spacing w:before="50" w:after="50"/>
            </w:pPr>
            <w:r>
              <w:rPr>
                <w:sz w:val="19"/>
              </w:rPr>
            </w:r>
            <w:r>
              <w:rPr>
                <w:b w:val="0"/>
                <w:sz w:val="19"/>
              </w:rPr>
              <w:t>Development environment, service skeletons, container topology, task commands</w:t>
            </w:r>
          </w:p>
        </w:tc>
        <w:tc>
          <w:tcPr>
            <w:tcW w:type="dxa" w:w="1152"/>
          </w:tcPr>
          <w:p>
            <w:pPr>
              <w:spacing w:before="50" w:after="50"/>
            </w:pPr>
            <w:r>
              <w:rPr>
                <w:sz w:val="19"/>
              </w:rPr>
            </w:r>
            <w:r>
              <w:rPr>
                <w:b w:val="0"/>
                <w:sz w:val="19"/>
              </w:rPr>
              <w:t>3</w:t>
            </w:r>
          </w:p>
        </w:tc>
      </w:tr>
      <w:tr>
        <w:trPr>
          <w:cantSplit w:val="true"/>
        </w:trPr>
        <w:tc>
          <w:tcPr>
            <w:tcW w:type="dxa" w:w="768"/>
            <w:shd w:val="clear" w:color="auto" w:fill="F5F8FA"/>
          </w:tcPr>
          <w:p>
            <w:pPr>
              <w:spacing w:before="50" w:after="50"/>
            </w:pPr>
            <w:r>
              <w:rPr>
                <w:sz w:val="19"/>
              </w:rPr>
            </w:r>
            <w:r>
              <w:rPr>
                <w:b w:val="0"/>
                <w:sz w:val="19"/>
              </w:rPr>
              <w:t>T2</w:t>
            </w:r>
          </w:p>
        </w:tc>
        <w:tc>
          <w:tcPr>
            <w:tcW w:type="dxa" w:w="7683"/>
            <w:shd w:val="clear" w:color="auto" w:fill="F5F8FA"/>
          </w:tcPr>
          <w:p>
            <w:pPr>
              <w:spacing w:before="50" w:after="50"/>
            </w:pPr>
            <w:r>
              <w:rPr>
                <w:sz w:val="19"/>
              </w:rPr>
            </w:r>
            <w:r>
              <w:rPr>
                <w:b w:val="0"/>
                <w:sz w:val="19"/>
              </w:rPr>
              <w:t>The six entities and the evaluation contract: what a caller sends, and the one decision shape that comes back</w:t>
            </w:r>
          </w:p>
        </w:tc>
        <w:tc>
          <w:tcPr>
            <w:tcW w:type="dxa" w:w="1152"/>
            <w:shd w:val="clear" w:color="auto" w:fill="F5F8FA"/>
          </w:tcPr>
          <w:p>
            <w:pPr>
              <w:spacing w:before="50" w:after="50"/>
            </w:pPr>
            <w:r>
              <w:rPr>
                <w:sz w:val="19"/>
              </w:rPr>
            </w:r>
            <w:r>
              <w:rPr>
                <w:b w:val="0"/>
                <w:sz w:val="19"/>
              </w:rPr>
              <w:t>5</w:t>
            </w:r>
          </w:p>
        </w:tc>
      </w:tr>
      <w:tr>
        <w:trPr>
          <w:cantSplit w:val="true"/>
        </w:trPr>
        <w:tc>
          <w:tcPr>
            <w:tcW w:type="dxa" w:w="768"/>
          </w:tcPr>
          <w:p>
            <w:pPr>
              <w:spacing w:before="50" w:after="50"/>
            </w:pPr>
            <w:r>
              <w:rPr>
                <w:sz w:val="19"/>
              </w:rPr>
            </w:r>
            <w:r>
              <w:rPr>
                <w:b w:val="0"/>
                <w:sz w:val="19"/>
              </w:rPr>
              <w:t>T3</w:t>
            </w:r>
          </w:p>
        </w:tc>
        <w:tc>
          <w:tcPr>
            <w:tcW w:type="dxa" w:w="7683"/>
          </w:tcPr>
          <w:p>
            <w:pPr>
              <w:spacing w:before="50" w:after="50"/>
            </w:pPr>
            <w:r>
              <w:rPr>
                <w:sz w:val="19"/>
              </w:rPr>
            </w:r>
            <w:r>
              <w:rPr>
                <w:b w:val="0"/>
                <w:sz w:val="19"/>
              </w:rPr>
              <w:t>Typed models generated from the contract; conformance suite scaffolded</w:t>
            </w:r>
          </w:p>
        </w:tc>
        <w:tc>
          <w:tcPr>
            <w:tcW w:type="dxa" w:w="1152"/>
          </w:tcPr>
          <w:p>
            <w:pPr>
              <w:spacing w:before="50" w:after="50"/>
            </w:pPr>
            <w:r>
              <w:rPr>
                <w:sz w:val="19"/>
              </w:rPr>
            </w:r>
            <w:r>
              <w:rPr>
                <w:b w:val="0"/>
                <w:sz w:val="19"/>
              </w:rPr>
              <w:t>3</w:t>
            </w:r>
          </w:p>
        </w:tc>
      </w:tr>
    </w:tbl>
    <w:p>
      <w:pPr>
        <w:spacing w:after="40"/>
      </w:pPr>
    </w:p>
    <w:p>
      <w:pPr>
        <w:spacing w:after="200"/>
      </w:pPr>
      <w:r>
        <w:rPr>
          <w:b w:val="0"/>
          <w:i w:val="0"/>
          <w:color w:val="1A1A1A"/>
          <w:sz w:val="18"/>
        </w:rPr>
        <w:t>These three run strictly in order. Nothing else can start until the contract exists, because every other task is a client of it.</w:t>
      </w:r>
    </w:p>
    <w:p>
      <w:pPr>
        <w:pStyle w:val="Heading2"/>
      </w:pPr>
      <w:r>
        <w:t>4.2 Wave 2 — five independent tracks (58 days)</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2" w:type="dxa"/>
      </w:tblPr>
      <w:tblGrid>
        <w:gridCol w:w="1344"/>
        <w:gridCol w:w="576"/>
        <w:gridCol w:w="6530"/>
        <w:gridCol w:w="1152"/>
      </w:tblGrid>
      <w:tr>
        <w:trPr>
          <w:tblHeader w:val="true"/>
        </w:trPr>
        <w:tc>
          <w:tcPr>
            <w:tcW w:type="dxa" w:w="1344"/>
            <w:shd w:val="clear" w:color="auto" w:fill="E8EEF2"/>
          </w:tcPr>
          <w:p>
            <w:pPr>
              <w:spacing w:before="60" w:after="60"/>
            </w:pPr>
            <w:r/>
            <w:r>
              <w:rPr>
                <w:b/>
                <w:color w:val="0B4F71"/>
                <w:sz w:val="18"/>
              </w:rPr>
              <w:t>Track</w:t>
            </w:r>
          </w:p>
        </w:tc>
        <w:tc>
          <w:tcPr>
            <w:tcW w:type="dxa" w:w="576"/>
            <w:shd w:val="clear" w:color="auto" w:fill="E8EEF2"/>
          </w:tcPr>
          <w:p>
            <w:pPr>
              <w:spacing w:before="60" w:after="60"/>
            </w:pPr>
            <w:r/>
            <w:r>
              <w:rPr>
                <w:b/>
                <w:color w:val="0B4F71"/>
                <w:sz w:val="18"/>
              </w:rPr>
              <w:t>ID</w:t>
            </w:r>
          </w:p>
        </w:tc>
        <w:tc>
          <w:tcPr>
            <w:tcW w:type="dxa" w:w="6530"/>
            <w:shd w:val="clear" w:color="auto" w:fill="E8EEF2"/>
          </w:tcPr>
          <w:p>
            <w:pPr>
              <w:spacing w:before="60" w:after="60"/>
            </w:pPr>
            <w:r/>
            <w:r>
              <w:rPr>
                <w:b/>
                <w:color w:val="0B4F71"/>
                <w:sz w:val="18"/>
              </w:rPr>
              <w:t>Task</w:t>
            </w:r>
          </w:p>
        </w:tc>
        <w:tc>
          <w:tcPr>
            <w:tcW w:type="dxa" w:w="1152"/>
            <w:shd w:val="clear" w:color="auto" w:fill="E8EEF2"/>
          </w:tcPr>
          <w:p>
            <w:pPr>
              <w:spacing w:before="60" w:after="60"/>
            </w:pPr>
            <w:r/>
            <w:r>
              <w:rPr>
                <w:b/>
                <w:color w:val="0B4F71"/>
                <w:sz w:val="18"/>
              </w:rPr>
              <w:t>Days</w:t>
            </w:r>
          </w:p>
        </w:tc>
      </w:tr>
      <w:tr>
        <w:trPr>
          <w:cantSplit w:val="true"/>
        </w:trPr>
        <w:tc>
          <w:tcPr>
            <w:tcW w:type="dxa" w:w="1344"/>
            <w:vMerge w:val="restart"/>
          </w:tcPr>
          <w:p>
            <w:pPr>
              <w:spacing w:before="50" w:after="50"/>
            </w:pPr>
            <w:r>
              <w:rPr>
                <w:sz w:val="18"/>
              </w:rPr>
            </w:r>
            <w:r>
              <w:rPr>
                <w:b/>
                <w:sz w:val="18"/>
              </w:rPr>
              <w:t>A</w:t>
            </w:r>
            <w:r>
              <w:rPr>
                <w:b w:val="0"/>
                <w:sz w:val="18"/>
              </w:rPr>
              <w:br/>
              <w:t>Policy</w:t>
              <w:br/>
            </w:r>
            <w:r>
              <w:rPr>
                <w:b/>
                <w:sz w:val="18"/>
              </w:rPr>
              <w:t>9 d</w:t>
            </w:r>
          </w:p>
        </w:tc>
        <w:tc>
          <w:tcPr>
            <w:tcW w:type="dxa" w:w="576"/>
          </w:tcPr>
          <w:p>
            <w:pPr>
              <w:spacing w:before="50" w:after="50"/>
            </w:pPr>
            <w:r>
              <w:rPr>
                <w:sz w:val="18"/>
              </w:rPr>
            </w:r>
            <w:r>
              <w:rPr>
                <w:b w:val="0"/>
                <w:sz w:val="18"/>
              </w:rPr>
              <w:t>T4</w:t>
            </w:r>
          </w:p>
        </w:tc>
        <w:tc>
          <w:tcPr>
            <w:tcW w:type="dxa" w:w="6530"/>
          </w:tcPr>
          <w:p>
            <w:pPr>
              <w:spacing w:before="50" w:after="50"/>
            </w:pPr>
            <w:r>
              <w:rPr>
                <w:sz w:val="18"/>
              </w:rPr>
            </w:r>
            <w:r>
              <w:rPr>
                <w:b w:val="0"/>
                <w:sz w:val="18"/>
              </w:rPr>
              <w:t>Policy schema: stages, detector configuration, thresholds, outcomes</w:t>
            </w:r>
          </w:p>
        </w:tc>
        <w:tc>
          <w:tcPr>
            <w:tcW w:type="dxa" w:w="1152"/>
          </w:tcPr>
          <w:p>
            <w:pPr>
              <w:spacing w:before="50" w:after="50"/>
            </w:pPr>
            <w:r>
              <w:rPr>
                <w:sz w:val="18"/>
              </w:rPr>
            </w:r>
            <w:r>
              <w:rPr>
                <w:b w:val="0"/>
                <w:sz w:val="18"/>
              </w:rPr>
              <w:t>3</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T5</w:t>
            </w:r>
          </w:p>
        </w:tc>
        <w:tc>
          <w:tcPr>
            <w:tcW w:type="dxa" w:w="6530"/>
            <w:shd w:val="clear" w:color="auto" w:fill="F5F8FA"/>
          </w:tcPr>
          <w:p>
            <w:pPr>
              <w:spacing w:before="50" w:after="50"/>
            </w:pPr>
            <w:r>
              <w:rPr>
                <w:sz w:val="18"/>
              </w:rPr>
            </w:r>
            <w:r>
              <w:rPr>
                <w:b w:val="0"/>
                <w:sz w:val="18"/>
              </w:rPr>
              <w:t>Immutable versioned store — a change is always a new version</w:t>
            </w:r>
          </w:p>
        </w:tc>
        <w:tc>
          <w:tcPr>
            <w:tcW w:type="dxa" w:w="1152"/>
            <w:shd w:val="clear" w:color="auto" w:fill="F5F8FA"/>
          </w:tcPr>
          <w:p>
            <w:pPr>
              <w:spacing w:before="50" w:after="50"/>
            </w:pPr>
            <w:r>
              <w:rPr>
                <w:sz w:val="18"/>
              </w:rPr>
            </w:r>
            <w:r>
              <w:rPr>
                <w:b w:val="0"/>
                <w:sz w:val="18"/>
              </w:rPr>
              <w:t>3</w:t>
            </w:r>
          </w:p>
        </w:tc>
      </w:tr>
      <w:tr>
        <w:trPr>
          <w:cantSplit w:val="true"/>
        </w:trPr>
        <w:tc>
          <w:tcPr>
            <w:tcW w:type="dxa" w:w="1344"/>
            <w:vMerge/>
          </w:tcPr>
          <w:p/>
        </w:tc>
        <w:tc>
          <w:tcPr>
            <w:tcW w:type="dxa" w:w="576"/>
          </w:tcPr>
          <w:p>
            <w:pPr>
              <w:spacing w:before="50" w:after="50"/>
            </w:pPr>
            <w:r>
              <w:rPr>
                <w:sz w:val="18"/>
              </w:rPr>
            </w:r>
            <w:r>
              <w:rPr>
                <w:b w:val="0"/>
                <w:sz w:val="18"/>
              </w:rPr>
              <w:t>T6</w:t>
            </w:r>
          </w:p>
        </w:tc>
        <w:tc>
          <w:tcPr>
            <w:tcW w:type="dxa" w:w="6530"/>
          </w:tcPr>
          <w:p>
            <w:pPr>
              <w:spacing w:before="50" w:after="50"/>
            </w:pPr>
            <w:r>
              <w:rPr>
                <w:sz w:val="18"/>
              </w:rPr>
            </w:r>
            <w:r>
              <w:rPr>
                <w:b w:val="0"/>
                <w:sz w:val="18"/>
              </w:rPr>
              <w:t>Declared failure behaviour for every way evaluation can fail</w:t>
            </w:r>
          </w:p>
        </w:tc>
        <w:tc>
          <w:tcPr>
            <w:tcW w:type="dxa" w:w="1152"/>
          </w:tcPr>
          <w:p>
            <w:pPr>
              <w:spacing w:before="50" w:after="50"/>
            </w:pPr>
            <w:r>
              <w:rPr>
                <w:sz w:val="18"/>
              </w:rPr>
            </w:r>
            <w:r>
              <w:rPr>
                <w:b w:val="0"/>
                <w:sz w:val="18"/>
              </w:rPr>
              <w:t>3</w:t>
            </w:r>
          </w:p>
        </w:tc>
      </w:tr>
      <w:tr>
        <w:trPr>
          <w:cantSplit w:val="true"/>
        </w:trPr>
        <w:tc>
          <w:tcPr>
            <w:tcW w:type="dxa" w:w="1344"/>
            <w:vMerge w:val="restart"/>
            <w:shd w:val="clear" w:color="auto" w:fill="F5F8FA"/>
          </w:tcPr>
          <w:p>
            <w:pPr>
              <w:spacing w:before="50" w:after="50"/>
            </w:pPr>
            <w:r>
              <w:rPr>
                <w:sz w:val="18"/>
              </w:rPr>
            </w:r>
            <w:r>
              <w:rPr>
                <w:b/>
                <w:sz w:val="18"/>
              </w:rPr>
              <w:t>B</w:t>
            </w:r>
            <w:r>
              <w:rPr>
                <w:b w:val="0"/>
                <w:sz w:val="18"/>
              </w:rPr>
              <w:br/>
              <w:t>Runtime</w:t>
              <w:br/>
            </w:r>
            <w:r>
              <w:rPr>
                <w:b/>
                <w:sz w:val="18"/>
              </w:rPr>
              <w:t>12 d</w:t>
            </w:r>
          </w:p>
        </w:tc>
        <w:tc>
          <w:tcPr>
            <w:tcW w:type="dxa" w:w="576"/>
            <w:shd w:val="clear" w:color="auto" w:fill="F5F8FA"/>
          </w:tcPr>
          <w:p>
            <w:pPr>
              <w:spacing w:before="50" w:after="50"/>
            </w:pPr>
            <w:r>
              <w:rPr>
                <w:sz w:val="18"/>
              </w:rPr>
            </w:r>
            <w:r>
              <w:rPr>
                <w:b w:val="0"/>
                <w:sz w:val="18"/>
              </w:rPr>
              <w:t>T7</w:t>
            </w:r>
          </w:p>
        </w:tc>
        <w:tc>
          <w:tcPr>
            <w:tcW w:type="dxa" w:w="6530"/>
            <w:shd w:val="clear" w:color="auto" w:fill="F5F8FA"/>
          </w:tcPr>
          <w:p>
            <w:pPr>
              <w:spacing w:before="50" w:after="50"/>
            </w:pPr>
            <w:r>
              <w:rPr>
                <w:sz w:val="18"/>
              </w:rPr>
            </w:r>
            <w:r>
              <w:rPr>
                <w:b w:val="0"/>
                <w:sz w:val="18"/>
              </w:rPr>
              <w:t>Policy resolution from a local cache, never a blocking call out</w:t>
            </w:r>
          </w:p>
        </w:tc>
        <w:tc>
          <w:tcPr>
            <w:tcW w:type="dxa" w:w="1152"/>
            <w:shd w:val="clear" w:color="auto" w:fill="F5F8FA"/>
          </w:tcPr>
          <w:p>
            <w:pPr>
              <w:spacing w:before="50" w:after="50"/>
            </w:pPr>
            <w:r>
              <w:rPr>
                <w:sz w:val="18"/>
              </w:rPr>
            </w:r>
            <w:r>
              <w:rPr>
                <w:b w:val="0"/>
                <w:sz w:val="18"/>
              </w:rPr>
              <w:t>3</w:t>
            </w:r>
          </w:p>
        </w:tc>
      </w:tr>
      <w:tr>
        <w:trPr>
          <w:cantSplit w:val="true"/>
        </w:trPr>
        <w:tc>
          <w:tcPr>
            <w:tcW w:type="dxa" w:w="1344"/>
            <w:vMerge/>
          </w:tcPr>
          <w:p/>
        </w:tc>
        <w:tc>
          <w:tcPr>
            <w:tcW w:type="dxa" w:w="576"/>
          </w:tcPr>
          <w:p>
            <w:pPr>
              <w:spacing w:before="50" w:after="50"/>
            </w:pPr>
            <w:r>
              <w:rPr>
                <w:sz w:val="18"/>
              </w:rPr>
            </w:r>
            <w:r>
              <w:rPr>
                <w:b w:val="0"/>
                <w:sz w:val="18"/>
              </w:rPr>
              <w:t>T8</w:t>
            </w:r>
          </w:p>
        </w:tc>
        <w:tc>
          <w:tcPr>
            <w:tcW w:type="dxa" w:w="6530"/>
          </w:tcPr>
          <w:p>
            <w:pPr>
              <w:spacing w:before="50" w:after="50"/>
            </w:pPr>
            <w:r>
              <w:rPr>
                <w:sz w:val="18"/>
              </w:rPr>
            </w:r>
            <w:r>
              <w:rPr>
                <w:b w:val="0"/>
                <w:sz w:val="18"/>
              </w:rPr>
              <w:t>Decision engine — normalise every detector's output into one shape</w:t>
            </w:r>
          </w:p>
        </w:tc>
        <w:tc>
          <w:tcPr>
            <w:tcW w:type="dxa" w:w="1152"/>
          </w:tcPr>
          <w:p>
            <w:pPr>
              <w:spacing w:before="50" w:after="50"/>
            </w:pPr>
            <w:r>
              <w:rPr>
                <w:sz w:val="18"/>
              </w:rPr>
            </w:r>
            <w:r>
              <w:rPr>
                <w:b w:val="0"/>
                <w:sz w:val="18"/>
              </w:rPr>
              <w:t>5</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T9</w:t>
            </w:r>
          </w:p>
        </w:tc>
        <w:tc>
          <w:tcPr>
            <w:tcW w:type="dxa" w:w="6530"/>
            <w:shd w:val="clear" w:color="auto" w:fill="F5F8FA"/>
          </w:tcPr>
          <w:p>
            <w:pPr>
              <w:spacing w:before="50" w:after="50"/>
            </w:pPr>
            <w:r>
              <w:rPr>
                <w:sz w:val="18"/>
              </w:rPr>
            </w:r>
            <w:r>
              <w:rPr>
                <w:b w:val="0"/>
                <w:sz w:val="18"/>
              </w:rPr>
              <w:t>Audit record and archive, raw content off by default</w:t>
            </w:r>
          </w:p>
        </w:tc>
        <w:tc>
          <w:tcPr>
            <w:tcW w:type="dxa" w:w="1152"/>
            <w:shd w:val="clear" w:color="auto" w:fill="F5F8FA"/>
          </w:tcPr>
          <w:p>
            <w:pPr>
              <w:spacing w:before="50" w:after="50"/>
            </w:pPr>
            <w:r>
              <w:rPr>
                <w:sz w:val="18"/>
              </w:rPr>
            </w:r>
            <w:r>
              <w:rPr>
                <w:b w:val="0"/>
                <w:sz w:val="18"/>
              </w:rPr>
              <w:t>3</w:t>
            </w:r>
          </w:p>
        </w:tc>
      </w:tr>
      <w:tr>
        <w:trPr>
          <w:cantSplit w:val="true"/>
        </w:trPr>
        <w:tc>
          <w:tcPr>
            <w:tcW w:type="dxa" w:w="1344"/>
            <w:vMerge/>
          </w:tcPr>
          <w:p/>
        </w:tc>
        <w:tc>
          <w:tcPr>
            <w:tcW w:type="dxa" w:w="576"/>
          </w:tcPr>
          <w:p>
            <w:pPr>
              <w:spacing w:before="50" w:after="50"/>
            </w:pPr>
            <w:r>
              <w:rPr>
                <w:sz w:val="18"/>
              </w:rPr>
            </w:r>
            <w:r>
              <w:rPr>
                <w:b w:val="0"/>
                <w:sz w:val="18"/>
              </w:rPr>
              <w:t>T10</w:t>
            </w:r>
          </w:p>
        </w:tc>
        <w:tc>
          <w:tcPr>
            <w:tcW w:type="dxa" w:w="6530"/>
          </w:tcPr>
          <w:p>
            <w:pPr>
              <w:spacing w:before="50" w:after="50"/>
            </w:pPr>
            <w:r>
              <w:rPr>
                <w:sz w:val="18"/>
              </w:rPr>
            </w:r>
            <w:r>
              <w:rPr>
                <w:b w:val="0"/>
                <w:sz w:val="18"/>
              </w:rPr>
              <w:t>Timing captured per detector and per stage</w:t>
            </w:r>
          </w:p>
        </w:tc>
        <w:tc>
          <w:tcPr>
            <w:tcW w:type="dxa" w:w="1152"/>
          </w:tcPr>
          <w:p>
            <w:pPr>
              <w:spacing w:before="50" w:after="50"/>
            </w:pPr>
            <w:r>
              <w:rPr>
                <w:sz w:val="18"/>
              </w:rPr>
            </w:r>
            <w:r>
              <w:rPr>
                <w:b w:val="0"/>
                <w:sz w:val="18"/>
              </w:rPr>
              <w:t>1</w:t>
            </w:r>
          </w:p>
        </w:tc>
      </w:tr>
      <w:tr>
        <w:trPr>
          <w:cantSplit w:val="true"/>
        </w:trPr>
        <w:tc>
          <w:tcPr>
            <w:tcW w:type="dxa" w:w="1344"/>
            <w:vMerge w:val="restart"/>
            <w:shd w:val="clear" w:color="auto" w:fill="F5F8FA"/>
          </w:tcPr>
          <w:p>
            <w:pPr>
              <w:spacing w:before="50" w:after="50"/>
            </w:pPr>
            <w:r>
              <w:rPr>
                <w:sz w:val="18"/>
              </w:rPr>
            </w:r>
            <w:r>
              <w:rPr>
                <w:b/>
                <w:sz w:val="18"/>
              </w:rPr>
              <w:t>C</w:t>
            </w:r>
            <w:r>
              <w:rPr>
                <w:b w:val="0"/>
                <w:sz w:val="18"/>
              </w:rPr>
              <w:br/>
              <w:t>Detectors</w:t>
              <w:br/>
            </w:r>
            <w:r>
              <w:rPr>
                <w:b/>
                <w:sz w:val="18"/>
              </w:rPr>
              <w:t>13 d</w:t>
            </w:r>
          </w:p>
        </w:tc>
        <w:tc>
          <w:tcPr>
            <w:tcW w:type="dxa" w:w="576"/>
            <w:shd w:val="clear" w:color="auto" w:fill="F5F8FA"/>
          </w:tcPr>
          <w:p>
            <w:pPr>
              <w:spacing w:before="50" w:after="50"/>
            </w:pPr>
            <w:r>
              <w:rPr>
                <w:sz w:val="18"/>
              </w:rPr>
            </w:r>
            <w:r>
              <w:rPr>
                <w:b w:val="0"/>
                <w:sz w:val="18"/>
              </w:rPr>
              <w:t>T11</w:t>
            </w:r>
          </w:p>
        </w:tc>
        <w:tc>
          <w:tcPr>
            <w:tcW w:type="dxa" w:w="6530"/>
            <w:shd w:val="clear" w:color="auto" w:fill="F5F8FA"/>
          </w:tcPr>
          <w:p>
            <w:pPr>
              <w:spacing w:before="50" w:after="50"/>
            </w:pPr>
            <w:r>
              <w:rPr>
                <w:sz w:val="18"/>
              </w:rPr>
            </w:r>
            <w:r>
              <w:rPr>
                <w:b w:val="0"/>
                <w:sz w:val="18"/>
              </w:rPr>
              <w:t>Rule-based detector for organisation-specific checks</w:t>
            </w:r>
          </w:p>
        </w:tc>
        <w:tc>
          <w:tcPr>
            <w:tcW w:type="dxa" w:w="1152"/>
            <w:shd w:val="clear" w:color="auto" w:fill="F5F8FA"/>
          </w:tcPr>
          <w:p>
            <w:pPr>
              <w:spacing w:before="50" w:after="50"/>
            </w:pPr>
            <w:r>
              <w:rPr>
                <w:sz w:val="18"/>
              </w:rPr>
            </w:r>
            <w:r>
              <w:rPr>
                <w:b w:val="0"/>
                <w:sz w:val="18"/>
              </w:rPr>
              <w:t>3</w:t>
            </w:r>
          </w:p>
        </w:tc>
      </w:tr>
      <w:tr>
        <w:trPr>
          <w:cantSplit w:val="true"/>
        </w:trPr>
        <w:tc>
          <w:tcPr>
            <w:tcW w:type="dxa" w:w="1344"/>
            <w:vMerge/>
          </w:tcPr>
          <w:p/>
        </w:tc>
        <w:tc>
          <w:tcPr>
            <w:tcW w:type="dxa" w:w="576"/>
          </w:tcPr>
          <w:p>
            <w:pPr>
              <w:spacing w:before="50" w:after="50"/>
            </w:pPr>
            <w:r>
              <w:rPr>
                <w:sz w:val="18"/>
              </w:rPr>
            </w:r>
            <w:r>
              <w:rPr>
                <w:b w:val="0"/>
                <w:sz w:val="18"/>
              </w:rPr>
              <w:t>T12</w:t>
            </w:r>
          </w:p>
        </w:tc>
        <w:tc>
          <w:tcPr>
            <w:tcW w:type="dxa" w:w="6530"/>
          </w:tcPr>
          <w:p>
            <w:pPr>
              <w:spacing w:before="50" w:after="50"/>
            </w:pPr>
            <w:r>
              <w:rPr>
                <w:sz w:val="18"/>
              </w:rPr>
            </w:r>
            <w:r>
              <w:rPr>
                <w:b w:val="0"/>
                <w:sz w:val="18"/>
              </w:rPr>
              <w:t>Sensitive-data detector</w:t>
            </w:r>
          </w:p>
        </w:tc>
        <w:tc>
          <w:tcPr>
            <w:tcW w:type="dxa" w:w="1152"/>
          </w:tcPr>
          <w:p>
            <w:pPr>
              <w:spacing w:before="50" w:after="50"/>
            </w:pPr>
            <w:r>
              <w:rPr>
                <w:sz w:val="18"/>
              </w:rPr>
            </w:r>
            <w:r>
              <w:rPr>
                <w:b w:val="0"/>
                <w:sz w:val="18"/>
              </w:rPr>
              <w:t>3</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T13</w:t>
            </w:r>
          </w:p>
        </w:tc>
        <w:tc>
          <w:tcPr>
            <w:tcW w:type="dxa" w:w="6530"/>
            <w:shd w:val="clear" w:color="auto" w:fill="F5F8FA"/>
          </w:tcPr>
          <w:p>
            <w:pPr>
              <w:spacing w:before="50" w:after="50"/>
            </w:pPr>
            <w:r>
              <w:rPr>
                <w:sz w:val="18"/>
              </w:rPr>
            </w:r>
            <w:r>
              <w:rPr>
                <w:b w:val="0"/>
                <w:sz w:val="18"/>
              </w:rPr>
              <w:t>Structured-output validator</w:t>
            </w:r>
          </w:p>
        </w:tc>
        <w:tc>
          <w:tcPr>
            <w:tcW w:type="dxa" w:w="1152"/>
            <w:shd w:val="clear" w:color="auto" w:fill="F5F8FA"/>
          </w:tcPr>
          <w:p>
            <w:pPr>
              <w:spacing w:before="50" w:after="50"/>
            </w:pPr>
            <w:r>
              <w:rPr>
                <w:sz w:val="18"/>
              </w:rPr>
            </w:r>
            <w:r>
              <w:rPr>
                <w:b w:val="0"/>
                <w:sz w:val="18"/>
              </w:rPr>
              <w:t>1</w:t>
            </w:r>
          </w:p>
        </w:tc>
      </w:tr>
      <w:tr>
        <w:trPr>
          <w:cantSplit w:val="true"/>
        </w:trPr>
        <w:tc>
          <w:tcPr>
            <w:tcW w:type="dxa" w:w="1344"/>
            <w:vMerge/>
          </w:tcPr>
          <w:p/>
        </w:tc>
        <w:tc>
          <w:tcPr>
            <w:tcW w:type="dxa" w:w="576"/>
          </w:tcPr>
          <w:p>
            <w:pPr>
              <w:spacing w:before="50" w:after="50"/>
            </w:pPr>
            <w:r>
              <w:rPr>
                <w:sz w:val="18"/>
              </w:rPr>
            </w:r>
            <w:r>
              <w:rPr>
                <w:b w:val="0"/>
                <w:sz w:val="18"/>
              </w:rPr>
              <w:t>T14</w:t>
            </w:r>
          </w:p>
        </w:tc>
        <w:tc>
          <w:tcPr>
            <w:tcW w:type="dxa" w:w="6530"/>
          </w:tcPr>
          <w:p>
            <w:pPr>
              <w:spacing w:before="50" w:after="50"/>
            </w:pPr>
            <w:r>
              <w:rPr>
                <w:sz w:val="18"/>
              </w:rPr>
            </w:r>
            <w:r>
              <w:rPr>
                <w:b w:val="0"/>
                <w:sz w:val="18"/>
              </w:rPr>
              <w:t>A detector called over the network, exercising timeout and unavailability for real</w:t>
            </w:r>
          </w:p>
        </w:tc>
        <w:tc>
          <w:tcPr>
            <w:tcW w:type="dxa" w:w="1152"/>
          </w:tcPr>
          <w:p>
            <w:pPr>
              <w:spacing w:before="50" w:after="50"/>
            </w:pPr>
            <w:r>
              <w:rPr>
                <w:sz w:val="18"/>
              </w:rPr>
            </w:r>
            <w:r>
              <w:rPr>
                <w:b w:val="0"/>
                <w:sz w:val="18"/>
              </w:rPr>
              <w:t>3</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T15</w:t>
            </w:r>
          </w:p>
        </w:tc>
        <w:tc>
          <w:tcPr>
            <w:tcW w:type="dxa" w:w="6530"/>
            <w:shd w:val="clear" w:color="auto" w:fill="F5F8FA"/>
          </w:tcPr>
          <w:p>
            <w:pPr>
              <w:spacing w:before="50" w:after="50"/>
            </w:pPr>
            <w:r>
              <w:rPr>
                <w:sz w:val="18"/>
              </w:rPr>
            </w:r>
            <w:r>
              <w:rPr>
                <w:b w:val="0"/>
                <w:sz w:val="18"/>
              </w:rPr>
              <w:t>Managed-engine adapter, stubbed with recorded responses</w:t>
            </w:r>
          </w:p>
        </w:tc>
        <w:tc>
          <w:tcPr>
            <w:tcW w:type="dxa" w:w="1152"/>
            <w:shd w:val="clear" w:color="auto" w:fill="F5F8FA"/>
          </w:tcPr>
          <w:p>
            <w:pPr>
              <w:spacing w:before="50" w:after="50"/>
            </w:pPr>
            <w:r>
              <w:rPr>
                <w:sz w:val="18"/>
              </w:rPr>
            </w:r>
            <w:r>
              <w:rPr>
                <w:b w:val="0"/>
                <w:sz w:val="18"/>
              </w:rPr>
              <w:t>3</w:t>
            </w:r>
          </w:p>
        </w:tc>
      </w:tr>
      <w:tr>
        <w:trPr>
          <w:cantSplit w:val="true"/>
        </w:trPr>
        <w:tc>
          <w:tcPr>
            <w:tcW w:type="dxa" w:w="1344"/>
            <w:vMerge w:val="restart"/>
          </w:tcPr>
          <w:p>
            <w:pPr>
              <w:spacing w:before="50" w:after="50"/>
            </w:pPr>
            <w:r>
              <w:rPr>
                <w:sz w:val="18"/>
              </w:rPr>
            </w:r>
            <w:r>
              <w:rPr>
                <w:b/>
                <w:sz w:val="18"/>
              </w:rPr>
              <w:t>D</w:t>
            </w:r>
            <w:r>
              <w:rPr>
                <w:b w:val="0"/>
                <w:sz w:val="18"/>
              </w:rPr>
              <w:br/>
              <w:t>Integration</w:t>
              <w:br/>
            </w:r>
            <w:r>
              <w:rPr>
                <w:b/>
                <w:sz w:val="18"/>
              </w:rPr>
              <w:t>12 d</w:t>
            </w:r>
          </w:p>
        </w:tc>
        <w:tc>
          <w:tcPr>
            <w:tcW w:type="dxa" w:w="576"/>
          </w:tcPr>
          <w:p>
            <w:pPr>
              <w:spacing w:before="50" w:after="50"/>
            </w:pPr>
            <w:r>
              <w:rPr>
                <w:sz w:val="18"/>
              </w:rPr>
            </w:r>
            <w:r>
              <w:rPr>
                <w:b w:val="0"/>
                <w:sz w:val="18"/>
              </w:rPr>
              <w:t>T16</w:t>
            </w:r>
          </w:p>
        </w:tc>
        <w:tc>
          <w:tcPr>
            <w:tcW w:type="dxa" w:w="6530"/>
          </w:tcPr>
          <w:p>
            <w:pPr>
              <w:spacing w:before="50" w:after="50"/>
            </w:pPr>
            <w:r>
              <w:rPr>
                <w:sz w:val="18"/>
              </w:rPr>
            </w:r>
            <w:r>
              <w:rPr>
                <w:b w:val="0"/>
                <w:sz w:val="18"/>
              </w:rPr>
              <w:t>Gateway hooks before and after the model call</w:t>
            </w:r>
          </w:p>
        </w:tc>
        <w:tc>
          <w:tcPr>
            <w:tcW w:type="dxa" w:w="1152"/>
          </w:tcPr>
          <w:p>
            <w:pPr>
              <w:spacing w:before="50" w:after="50"/>
            </w:pPr>
            <w:r>
              <w:rPr>
                <w:sz w:val="18"/>
              </w:rPr>
            </w:r>
            <w:r>
              <w:rPr>
                <w:b w:val="0"/>
                <w:sz w:val="18"/>
              </w:rPr>
              <w:t>5</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T17</w:t>
            </w:r>
          </w:p>
        </w:tc>
        <w:tc>
          <w:tcPr>
            <w:tcW w:type="dxa" w:w="6530"/>
            <w:shd w:val="clear" w:color="auto" w:fill="F5F8FA"/>
          </w:tcPr>
          <w:p>
            <w:pPr>
              <w:spacing w:before="50" w:after="50"/>
            </w:pPr>
            <w:r>
              <w:rPr>
                <w:sz w:val="18"/>
              </w:rPr>
            </w:r>
            <w:r>
              <w:rPr>
                <w:b w:val="0"/>
                <w:sz w:val="18"/>
              </w:rPr>
              <w:t>Enforce the outcome; decide what a blocked response returns</w:t>
            </w:r>
          </w:p>
        </w:tc>
        <w:tc>
          <w:tcPr>
            <w:tcW w:type="dxa" w:w="1152"/>
            <w:shd w:val="clear" w:color="auto" w:fill="F5F8FA"/>
          </w:tcPr>
          <w:p>
            <w:pPr>
              <w:spacing w:before="50" w:after="50"/>
            </w:pPr>
            <w:r>
              <w:rPr>
                <w:sz w:val="18"/>
              </w:rPr>
            </w:r>
            <w:r>
              <w:rPr>
                <w:b w:val="0"/>
                <w:sz w:val="18"/>
              </w:rPr>
              <w:t>3</w:t>
            </w:r>
          </w:p>
        </w:tc>
      </w:tr>
      <w:tr>
        <w:trPr>
          <w:cantSplit w:val="true"/>
        </w:trPr>
        <w:tc>
          <w:tcPr>
            <w:tcW w:type="dxa" w:w="1344"/>
            <w:vMerge/>
          </w:tcPr>
          <w:p/>
        </w:tc>
        <w:tc>
          <w:tcPr>
            <w:tcW w:type="dxa" w:w="576"/>
          </w:tcPr>
          <w:p>
            <w:pPr>
              <w:spacing w:before="50" w:after="50"/>
            </w:pPr>
            <w:r>
              <w:rPr>
                <w:sz w:val="18"/>
              </w:rPr>
            </w:r>
            <w:r>
              <w:rPr>
                <w:b w:val="0"/>
                <w:sz w:val="18"/>
              </w:rPr>
              <w:t>T18</w:t>
            </w:r>
          </w:p>
        </w:tc>
        <w:tc>
          <w:tcPr>
            <w:tcW w:type="dxa" w:w="6530"/>
          </w:tcPr>
          <w:p>
            <w:pPr>
              <w:spacing w:before="50" w:after="50"/>
            </w:pPr>
            <w:r>
              <w:rPr>
                <w:sz w:val="18"/>
              </w:rPr>
            </w:r>
            <w:r>
              <w:rPr>
                <w:b w:val="0"/>
                <w:sz w:val="18"/>
              </w:rPr>
              <w:t>One correlation identifier across both checks; timeout handling</w:t>
            </w:r>
          </w:p>
        </w:tc>
        <w:tc>
          <w:tcPr>
            <w:tcW w:type="dxa" w:w="1152"/>
          </w:tcPr>
          <w:p>
            <w:pPr>
              <w:spacing w:before="50" w:after="50"/>
            </w:pPr>
            <w:r>
              <w:rPr>
                <w:sz w:val="18"/>
              </w:rPr>
            </w:r>
            <w:r>
              <w:rPr>
                <w:b w:val="0"/>
                <w:sz w:val="18"/>
              </w:rPr>
              <w:t>3</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T19</w:t>
            </w:r>
          </w:p>
        </w:tc>
        <w:tc>
          <w:tcPr>
            <w:tcW w:type="dxa" w:w="6530"/>
            <w:shd w:val="clear" w:color="auto" w:fill="F5F8FA"/>
          </w:tcPr>
          <w:p>
            <w:pPr>
              <w:spacing w:before="50" w:after="50"/>
            </w:pPr>
            <w:r>
              <w:rPr>
                <w:sz w:val="18"/>
              </w:rPr>
            </w:r>
            <w:r>
              <w:rPr>
                <w:b w:val="0"/>
                <w:sz w:val="18"/>
              </w:rPr>
              <w:t>Integration health reporting</w:t>
            </w:r>
          </w:p>
        </w:tc>
        <w:tc>
          <w:tcPr>
            <w:tcW w:type="dxa" w:w="1152"/>
            <w:shd w:val="clear" w:color="auto" w:fill="F5F8FA"/>
          </w:tcPr>
          <w:p>
            <w:pPr>
              <w:spacing w:before="50" w:after="50"/>
            </w:pPr>
            <w:r>
              <w:rPr>
                <w:sz w:val="18"/>
              </w:rPr>
            </w:r>
            <w:r>
              <w:rPr>
                <w:b w:val="0"/>
                <w:sz w:val="18"/>
              </w:rPr>
              <w:t>1</w:t>
            </w:r>
          </w:p>
        </w:tc>
      </w:tr>
      <w:tr>
        <w:trPr>
          <w:cantSplit w:val="true"/>
        </w:trPr>
        <w:tc>
          <w:tcPr>
            <w:tcW w:type="dxa" w:w="1344"/>
            <w:vMerge w:val="restart"/>
          </w:tcPr>
          <w:p>
            <w:pPr>
              <w:spacing w:before="50" w:after="50"/>
            </w:pPr>
            <w:r>
              <w:rPr>
                <w:sz w:val="18"/>
              </w:rPr>
            </w:r>
            <w:r>
              <w:rPr>
                <w:b/>
                <w:sz w:val="18"/>
              </w:rPr>
              <w:t>E</w:t>
            </w:r>
            <w:r>
              <w:rPr>
                <w:b w:val="0"/>
                <w:sz w:val="18"/>
              </w:rPr>
              <w:br/>
              <w:t>Control plane</w:t>
              <w:br/>
            </w:r>
            <w:r>
              <w:rPr>
                <w:b/>
                <w:sz w:val="18"/>
              </w:rPr>
              <w:t>12 d</w:t>
            </w:r>
          </w:p>
        </w:tc>
        <w:tc>
          <w:tcPr>
            <w:tcW w:type="dxa" w:w="576"/>
          </w:tcPr>
          <w:p>
            <w:pPr>
              <w:spacing w:before="50" w:after="50"/>
            </w:pPr>
            <w:r>
              <w:rPr>
                <w:sz w:val="18"/>
              </w:rPr>
            </w:r>
            <w:r>
              <w:rPr>
                <w:b w:val="0"/>
                <w:sz w:val="18"/>
              </w:rPr>
              <w:t>T20</w:t>
            </w:r>
          </w:p>
        </w:tc>
        <w:tc>
          <w:tcPr>
            <w:tcW w:type="dxa" w:w="6530"/>
          </w:tcPr>
          <w:p>
            <w:pPr>
              <w:spacing w:before="50" w:after="50"/>
            </w:pPr>
            <w:r>
              <w:rPr>
                <w:sz w:val="18"/>
              </w:rPr>
            </w:r>
            <w:r>
              <w:rPr>
                <w:b w:val="0"/>
                <w:sz w:val="18"/>
              </w:rPr>
              <w:t>Tenant and workload registry</w:t>
            </w:r>
          </w:p>
        </w:tc>
        <w:tc>
          <w:tcPr>
            <w:tcW w:type="dxa" w:w="1152"/>
          </w:tcPr>
          <w:p>
            <w:pPr>
              <w:spacing w:before="50" w:after="50"/>
            </w:pPr>
            <w:r>
              <w:rPr>
                <w:sz w:val="18"/>
              </w:rPr>
            </w:r>
            <w:r>
              <w:rPr>
                <w:b w:val="0"/>
                <w:sz w:val="18"/>
              </w:rPr>
              <w:t>3</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T21</w:t>
            </w:r>
          </w:p>
        </w:tc>
        <w:tc>
          <w:tcPr>
            <w:tcW w:type="dxa" w:w="6530"/>
            <w:shd w:val="clear" w:color="auto" w:fill="F5F8FA"/>
          </w:tcPr>
          <w:p>
            <w:pPr>
              <w:spacing w:before="50" w:after="50"/>
            </w:pPr>
            <w:r>
              <w:rPr>
                <w:sz w:val="18"/>
              </w:rPr>
            </w:r>
            <w:r>
              <w:rPr>
                <w:b w:val="0"/>
                <w:sz w:val="18"/>
              </w:rPr>
              <w:t>Bind a workload to a policy version; promote observe to enforce</w:t>
            </w:r>
          </w:p>
        </w:tc>
        <w:tc>
          <w:tcPr>
            <w:tcW w:type="dxa" w:w="1152"/>
            <w:shd w:val="clear" w:color="auto" w:fill="F5F8FA"/>
          </w:tcPr>
          <w:p>
            <w:pPr>
              <w:spacing w:before="50" w:after="50"/>
            </w:pPr>
            <w:r>
              <w:rPr>
                <w:sz w:val="18"/>
              </w:rPr>
            </w:r>
            <w:r>
              <w:rPr>
                <w:b w:val="0"/>
                <w:sz w:val="18"/>
              </w:rPr>
              <w:t>5</w:t>
            </w:r>
          </w:p>
        </w:tc>
      </w:tr>
      <w:tr>
        <w:trPr>
          <w:cantSplit w:val="true"/>
        </w:trPr>
        <w:tc>
          <w:tcPr>
            <w:tcW w:type="dxa" w:w="1344"/>
            <w:vMerge/>
          </w:tcPr>
          <w:p/>
        </w:tc>
        <w:tc>
          <w:tcPr>
            <w:tcW w:type="dxa" w:w="576"/>
          </w:tcPr>
          <w:p>
            <w:pPr>
              <w:spacing w:before="50" w:after="50"/>
            </w:pPr>
            <w:r>
              <w:rPr>
                <w:sz w:val="18"/>
              </w:rPr>
            </w:r>
            <w:r>
              <w:rPr>
                <w:b w:val="0"/>
                <w:sz w:val="18"/>
              </w:rPr>
              <w:t>T22</w:t>
            </w:r>
          </w:p>
        </w:tc>
        <w:tc>
          <w:tcPr>
            <w:tcW w:type="dxa" w:w="6530"/>
          </w:tcPr>
          <w:p>
            <w:pPr>
              <w:spacing w:before="50" w:after="50"/>
            </w:pPr>
            <w:r>
              <w:rPr>
                <w:sz w:val="18"/>
              </w:rPr>
            </w:r>
            <w:r>
              <w:rPr>
                <w:b w:val="0"/>
                <w:sz w:val="18"/>
              </w:rPr>
              <w:t>Rollback by repointing a binding</w:t>
            </w:r>
          </w:p>
        </w:tc>
        <w:tc>
          <w:tcPr>
            <w:tcW w:type="dxa" w:w="1152"/>
          </w:tcPr>
          <w:p>
            <w:pPr>
              <w:spacing w:before="50" w:after="50"/>
            </w:pPr>
            <w:r>
              <w:rPr>
                <w:sz w:val="18"/>
              </w:rPr>
            </w:r>
            <w:r>
              <w:rPr>
                <w:b w:val="0"/>
                <w:sz w:val="18"/>
              </w:rPr>
              <w:t>1</w:t>
            </w:r>
          </w:p>
        </w:tc>
      </w:tr>
      <w:tr>
        <w:trPr>
          <w:cantSplit w:val="true"/>
        </w:trPr>
        <w:tc>
          <w:tcPr>
            <w:tcW w:type="dxa" w:w="1344"/>
            <w:vMerge/>
          </w:tcPr>
          <w:p/>
        </w:tc>
        <w:tc>
          <w:tcPr>
            <w:tcW w:type="dxa" w:w="576"/>
            <w:shd w:val="clear" w:color="auto" w:fill="F5F8FA"/>
          </w:tcPr>
          <w:p>
            <w:pPr>
              <w:spacing w:before="50" w:after="50"/>
            </w:pPr>
            <w:r>
              <w:rPr>
                <w:sz w:val="18"/>
              </w:rPr>
            </w:r>
            <w:r>
              <w:rPr>
                <w:b w:val="0"/>
                <w:sz w:val="18"/>
              </w:rPr>
              <w:t>T23</w:t>
            </w:r>
          </w:p>
        </w:tc>
        <w:tc>
          <w:tcPr>
            <w:tcW w:type="dxa" w:w="6530"/>
            <w:shd w:val="clear" w:color="auto" w:fill="F5F8FA"/>
          </w:tcPr>
          <w:p>
            <w:pPr>
              <w:spacing w:before="50" w:after="50"/>
            </w:pPr>
            <w:r>
              <w:rPr>
                <w:sz w:val="18"/>
              </w:rPr>
            </w:r>
            <w:r>
              <w:rPr>
                <w:b w:val="0"/>
                <w:sz w:val="18"/>
              </w:rPr>
              <w:t>Minimal management interface</w:t>
            </w:r>
          </w:p>
        </w:tc>
        <w:tc>
          <w:tcPr>
            <w:tcW w:type="dxa" w:w="1152"/>
            <w:shd w:val="clear" w:color="auto" w:fill="F5F8FA"/>
          </w:tcPr>
          <w:p>
            <w:pPr>
              <w:spacing w:before="50" w:after="50"/>
            </w:pPr>
            <w:r>
              <w:rPr>
                <w:sz w:val="18"/>
              </w:rPr>
            </w:r>
            <w:r>
              <w:rPr>
                <w:b w:val="0"/>
                <w:sz w:val="18"/>
              </w:rPr>
              <w:t>3</w:t>
            </w:r>
          </w:p>
        </w:tc>
      </w:tr>
    </w:tbl>
    <w:p>
      <w:pPr>
        <w:spacing w:after="40"/>
      </w:pPr>
    </w:p>
    <w:p>
      <w:pPr>
        <w:pStyle w:val="Heading2"/>
      </w:pPr>
      <w:r>
        <w:t>4.3 Wave 3 — proof (9 days, sequential)</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3" w:type="dxa"/>
      </w:tblPr>
      <w:tblGrid>
        <w:gridCol w:w="768"/>
        <w:gridCol w:w="7683"/>
        <w:gridCol w:w="1152"/>
      </w:tblGrid>
      <w:tr>
        <w:trPr>
          <w:tblHeader w:val="true"/>
        </w:trPr>
        <w:tc>
          <w:tcPr>
            <w:tcW w:type="dxa" w:w="768"/>
            <w:shd w:val="clear" w:color="auto" w:fill="E8EEF2"/>
          </w:tcPr>
          <w:p>
            <w:pPr>
              <w:spacing w:before="60" w:after="60"/>
            </w:pPr>
            <w:r/>
            <w:r>
              <w:rPr>
                <w:b/>
                <w:color w:val="0B4F71"/>
                <w:sz w:val="19"/>
              </w:rPr>
              <w:t>ID</w:t>
            </w:r>
          </w:p>
        </w:tc>
        <w:tc>
          <w:tcPr>
            <w:tcW w:type="dxa" w:w="7683"/>
            <w:shd w:val="clear" w:color="auto" w:fill="E8EEF2"/>
          </w:tcPr>
          <w:p>
            <w:pPr>
              <w:spacing w:before="60" w:after="60"/>
            </w:pPr>
            <w:r/>
            <w:r>
              <w:rPr>
                <w:b/>
                <w:color w:val="0B4F71"/>
                <w:sz w:val="19"/>
              </w:rPr>
              <w:t>Task</w:t>
            </w:r>
          </w:p>
        </w:tc>
        <w:tc>
          <w:tcPr>
            <w:tcW w:type="dxa" w:w="1152"/>
            <w:shd w:val="clear" w:color="auto" w:fill="E8EEF2"/>
          </w:tcPr>
          <w:p>
            <w:pPr>
              <w:spacing w:before="60" w:after="60"/>
            </w:pPr>
            <w:r/>
            <w:r>
              <w:rPr>
                <w:b/>
                <w:color w:val="0B4F71"/>
                <w:sz w:val="19"/>
              </w:rPr>
              <w:t>Days</w:t>
            </w:r>
          </w:p>
        </w:tc>
      </w:tr>
      <w:tr>
        <w:trPr>
          <w:cantSplit w:val="true"/>
        </w:trPr>
        <w:tc>
          <w:tcPr>
            <w:tcW w:type="dxa" w:w="768"/>
          </w:tcPr>
          <w:p>
            <w:pPr>
              <w:spacing w:before="50" w:after="50"/>
            </w:pPr>
            <w:r>
              <w:rPr>
                <w:sz w:val="19"/>
              </w:rPr>
            </w:r>
            <w:r>
              <w:rPr>
                <w:b w:val="0"/>
                <w:sz w:val="19"/>
              </w:rPr>
              <w:t>T24</w:t>
            </w:r>
          </w:p>
        </w:tc>
        <w:tc>
          <w:tcPr>
            <w:tcW w:type="dxa" w:w="7683"/>
          </w:tcPr>
          <w:p>
            <w:pPr>
              <w:spacing w:before="50" w:after="50"/>
            </w:pPr>
            <w:r>
              <w:rPr>
                <w:sz w:val="19"/>
              </w:rPr>
            </w:r>
            <w:r>
              <w:rPr>
                <w:b w:val="0"/>
                <w:sz w:val="19"/>
              </w:rPr>
              <w:t>Two gateways with distinct configurations, model backends, identities and credentials</w:t>
            </w:r>
          </w:p>
        </w:tc>
        <w:tc>
          <w:tcPr>
            <w:tcW w:type="dxa" w:w="1152"/>
          </w:tcPr>
          <w:p>
            <w:pPr>
              <w:spacing w:before="50" w:after="50"/>
            </w:pPr>
            <w:r>
              <w:rPr>
                <w:sz w:val="19"/>
              </w:rPr>
            </w:r>
            <w:r>
              <w:rPr>
                <w:b w:val="0"/>
                <w:sz w:val="19"/>
              </w:rPr>
              <w:t>3</w:t>
            </w:r>
          </w:p>
        </w:tc>
      </w:tr>
      <w:tr>
        <w:trPr>
          <w:cantSplit w:val="true"/>
        </w:trPr>
        <w:tc>
          <w:tcPr>
            <w:tcW w:type="dxa" w:w="768"/>
            <w:shd w:val="clear" w:color="auto" w:fill="F5F8FA"/>
          </w:tcPr>
          <w:p>
            <w:pPr>
              <w:spacing w:before="50" w:after="50"/>
            </w:pPr>
            <w:r>
              <w:rPr>
                <w:sz w:val="19"/>
              </w:rPr>
            </w:r>
            <w:r>
              <w:rPr>
                <w:b w:val="0"/>
                <w:sz w:val="19"/>
              </w:rPr>
              <w:t>T25</w:t>
            </w:r>
          </w:p>
        </w:tc>
        <w:tc>
          <w:tcPr>
            <w:tcW w:type="dxa" w:w="7683"/>
            <w:shd w:val="clear" w:color="auto" w:fill="F5F8FA"/>
          </w:tcPr>
          <w:p>
            <w:pPr>
              <w:spacing w:before="50" w:after="50"/>
            </w:pPr>
            <w:r>
              <w:rPr>
                <w:sz w:val="19"/>
              </w:rPr>
            </w:r>
            <w:r>
              <w:rPr>
                <w:b w:val="0"/>
                <w:sz w:val="19"/>
              </w:rPr>
              <w:t>The nine acceptance conditions automated as a repeatable suite</w:t>
            </w:r>
          </w:p>
        </w:tc>
        <w:tc>
          <w:tcPr>
            <w:tcW w:type="dxa" w:w="1152"/>
            <w:shd w:val="clear" w:color="auto" w:fill="F5F8FA"/>
          </w:tcPr>
          <w:p>
            <w:pPr>
              <w:spacing w:before="50" w:after="50"/>
            </w:pPr>
            <w:r>
              <w:rPr>
                <w:sz w:val="19"/>
              </w:rPr>
            </w:r>
            <w:r>
              <w:rPr>
                <w:b w:val="0"/>
                <w:sz w:val="19"/>
              </w:rPr>
              <w:t>5</w:t>
            </w:r>
          </w:p>
        </w:tc>
      </w:tr>
      <w:tr>
        <w:trPr>
          <w:cantSplit w:val="true"/>
        </w:trPr>
        <w:tc>
          <w:tcPr>
            <w:tcW w:type="dxa" w:w="768"/>
          </w:tcPr>
          <w:p>
            <w:pPr>
              <w:spacing w:before="50" w:after="50"/>
            </w:pPr>
            <w:r>
              <w:rPr>
                <w:sz w:val="19"/>
              </w:rPr>
            </w:r>
            <w:r>
              <w:rPr>
                <w:b w:val="0"/>
                <w:sz w:val="19"/>
              </w:rPr>
              <w:t>T26</w:t>
            </w:r>
          </w:p>
        </w:tc>
        <w:tc>
          <w:tcPr>
            <w:tcW w:type="dxa" w:w="7683"/>
          </w:tcPr>
          <w:p>
            <w:pPr>
              <w:spacing w:before="50" w:after="50"/>
            </w:pPr>
            <w:r>
              <w:rPr>
                <w:sz w:val="19"/>
              </w:rPr>
            </w:r>
            <w:r>
              <w:rPr>
                <w:b w:val="0"/>
                <w:sz w:val="19"/>
              </w:rPr>
              <w:t>Observe-mode metrics: false-positive rate, latency, spread of decisions</w:t>
            </w:r>
          </w:p>
        </w:tc>
        <w:tc>
          <w:tcPr>
            <w:tcW w:type="dxa" w:w="1152"/>
          </w:tcPr>
          <w:p>
            <w:pPr>
              <w:spacing w:before="50" w:after="50"/>
            </w:pPr>
            <w:r>
              <w:rPr>
                <w:sz w:val="19"/>
              </w:rPr>
            </w:r>
            <w:r>
              <w:rPr>
                <w:b w:val="0"/>
                <w:sz w:val="19"/>
              </w:rPr>
              <w:t>1</w:t>
            </w:r>
          </w:p>
        </w:tc>
      </w:tr>
    </w:tbl>
    <w:p>
      <w:pPr>
        <w:spacing w:after="40"/>
      </w:pPr>
    </w:p>
    <w:p>
      <w:pPr>
        <w:pStyle w:val="Heading2"/>
      </w:pPr>
      <w:r>
        <w:t>4.4 What this means for staffing</w:t>
      </w:r>
    </w:p>
    <w:p>
      <w:pPr>
        <w:spacing w:after="120"/>
      </w:pPr>
      <w:r>
        <w:rPr>
          <w:b w:val="0"/>
          <w:i w:val="0"/>
          <w:color w:val="1A1A1A"/>
          <w:sz w:val="21"/>
        </w:rPr>
        <w:t>Seventy-eight engineer-days of work in total. Twenty of them — waves 1 and 3 — are chains that cannot be shortened by adding people. Only wave 2 absorbs extra engineers, and it does so in whole tracks: an engineer takes a track, not a slice of one.</w:t>
      </w: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2" w:type="dxa"/>
      </w:tblPr>
      <w:tblGrid>
        <w:gridCol w:w="1344"/>
        <w:gridCol w:w="1536"/>
        <w:gridCol w:w="6722"/>
      </w:tblGrid>
      <w:tr>
        <w:trPr>
          <w:tblHeader w:val="true"/>
        </w:trPr>
        <w:tc>
          <w:tcPr>
            <w:tcW w:type="dxa" w:w="1344"/>
            <w:shd w:val="clear" w:color="auto" w:fill="E8EEF2"/>
          </w:tcPr>
          <w:p>
            <w:pPr>
              <w:spacing w:before="60" w:after="60"/>
            </w:pPr>
            <w:r/>
            <w:r>
              <w:rPr>
                <w:b/>
                <w:color w:val="0B4F71"/>
                <w:sz w:val="19"/>
              </w:rPr>
              <w:t>Engineers</w:t>
            </w:r>
          </w:p>
        </w:tc>
        <w:tc>
          <w:tcPr>
            <w:tcW w:type="dxa" w:w="1536"/>
            <w:shd w:val="clear" w:color="auto" w:fill="E8EEF2"/>
          </w:tcPr>
          <w:p>
            <w:pPr>
              <w:spacing w:before="60" w:after="60"/>
            </w:pPr>
            <w:r/>
            <w:r>
              <w:rPr>
                <w:b/>
                <w:color w:val="0B4F71"/>
                <w:sz w:val="19"/>
              </w:rPr>
              <w:t>Elapsed</w:t>
            </w:r>
          </w:p>
        </w:tc>
        <w:tc>
          <w:tcPr>
            <w:tcW w:type="dxa" w:w="6722"/>
            <w:shd w:val="clear" w:color="auto" w:fill="E8EEF2"/>
          </w:tcPr>
          <w:p>
            <w:pPr>
              <w:spacing w:before="60" w:after="60"/>
            </w:pPr>
            <w:r/>
            <w:r>
              <w:rPr>
                <w:b/>
                <w:color w:val="0B4F71"/>
                <w:sz w:val="19"/>
              </w:rPr>
              <w:t>What the extra person buys</w:t>
            </w:r>
          </w:p>
        </w:tc>
      </w:tr>
      <w:tr>
        <w:trPr>
          <w:cantSplit w:val="true"/>
        </w:trPr>
        <w:tc>
          <w:tcPr>
            <w:tcW w:type="dxa" w:w="1344"/>
          </w:tcPr>
          <w:p>
            <w:pPr>
              <w:spacing w:before="50" w:after="50"/>
            </w:pPr>
            <w:r>
              <w:rPr>
                <w:sz w:val="19"/>
              </w:rPr>
            </w:r>
            <w:r>
              <w:rPr>
                <w:b w:val="0"/>
                <w:sz w:val="19"/>
              </w:rPr>
              <w:t>1</w:t>
            </w:r>
          </w:p>
        </w:tc>
        <w:tc>
          <w:tcPr>
            <w:tcW w:type="dxa" w:w="1536"/>
          </w:tcPr>
          <w:p>
            <w:pPr>
              <w:spacing w:before="50" w:after="50"/>
            </w:pPr>
            <w:r>
              <w:rPr>
                <w:sz w:val="19"/>
              </w:rPr>
            </w:r>
            <w:r>
              <w:rPr>
                <w:b w:val="0"/>
                <w:sz w:val="19"/>
              </w:rPr>
              <w:t>78 days</w:t>
            </w:r>
          </w:p>
        </w:tc>
        <w:tc>
          <w:tcPr>
            <w:tcW w:type="dxa" w:w="6722"/>
          </w:tcPr>
          <w:p>
            <w:pPr>
              <w:spacing w:before="50" w:after="50"/>
            </w:pPr>
            <w:r>
              <w:rPr>
                <w:sz w:val="19"/>
              </w:rPr>
            </w:r>
            <w:r>
              <w:rPr>
                <w:b w:val="0"/>
                <w:sz w:val="19"/>
              </w:rPr>
              <w:t>—</w:t>
            </w:r>
          </w:p>
        </w:tc>
      </w:tr>
      <w:tr>
        <w:trPr>
          <w:cantSplit w:val="true"/>
        </w:trPr>
        <w:tc>
          <w:tcPr>
            <w:tcW w:type="dxa" w:w="1344"/>
            <w:shd w:val="clear" w:color="auto" w:fill="F5F8FA"/>
          </w:tcPr>
          <w:p>
            <w:pPr>
              <w:spacing w:before="50" w:after="50"/>
            </w:pPr>
            <w:r>
              <w:rPr>
                <w:sz w:val="19"/>
              </w:rPr>
            </w:r>
            <w:r>
              <w:rPr>
                <w:b w:val="0"/>
                <w:sz w:val="19"/>
              </w:rPr>
              <w:t>2</w:t>
            </w:r>
          </w:p>
        </w:tc>
        <w:tc>
          <w:tcPr>
            <w:tcW w:type="dxa" w:w="1536"/>
            <w:shd w:val="clear" w:color="auto" w:fill="F5F8FA"/>
          </w:tcPr>
          <w:p>
            <w:pPr>
              <w:spacing w:before="50" w:after="50"/>
            </w:pPr>
            <w:r>
              <w:rPr>
                <w:sz w:val="19"/>
              </w:rPr>
            </w:r>
            <w:r>
              <w:rPr>
                <w:b w:val="0"/>
                <w:sz w:val="19"/>
              </w:rPr>
              <w:t>53 days</w:t>
            </w:r>
          </w:p>
        </w:tc>
        <w:tc>
          <w:tcPr>
            <w:tcW w:type="dxa" w:w="6722"/>
            <w:shd w:val="clear" w:color="auto" w:fill="F5F8FA"/>
          </w:tcPr>
          <w:p>
            <w:pPr>
              <w:spacing w:before="50" w:after="50"/>
            </w:pPr>
            <w:r>
              <w:rPr>
                <w:sz w:val="19"/>
              </w:rPr>
            </w:r>
            <w:r>
              <w:rPr>
                <w:b w:val="0"/>
                <w:sz w:val="19"/>
              </w:rPr>
              <w:t>25 days. The largest single gain.</w:t>
            </w:r>
          </w:p>
        </w:tc>
      </w:tr>
      <w:tr>
        <w:trPr>
          <w:cantSplit w:val="true"/>
        </w:trPr>
        <w:tc>
          <w:tcPr>
            <w:tcW w:type="dxa" w:w="1344"/>
          </w:tcPr>
          <w:p>
            <w:pPr>
              <w:spacing w:before="50" w:after="50"/>
            </w:pPr>
            <w:r>
              <w:rPr>
                <w:sz w:val="19"/>
              </w:rPr>
            </w:r>
            <w:r>
              <w:rPr>
                <w:b w:val="0"/>
                <w:sz w:val="19"/>
              </w:rPr>
              <w:t>3</w:t>
            </w:r>
          </w:p>
        </w:tc>
        <w:tc>
          <w:tcPr>
            <w:tcW w:type="dxa" w:w="1536"/>
          </w:tcPr>
          <w:p>
            <w:pPr>
              <w:spacing w:before="50" w:after="50"/>
            </w:pPr>
            <w:r>
              <w:rPr>
                <w:sz w:val="19"/>
              </w:rPr>
            </w:r>
            <w:r>
              <w:rPr>
                <w:b w:val="0"/>
                <w:sz w:val="19"/>
              </w:rPr>
              <w:t>44 days</w:t>
            </w:r>
          </w:p>
        </w:tc>
        <w:tc>
          <w:tcPr>
            <w:tcW w:type="dxa" w:w="6722"/>
          </w:tcPr>
          <w:p>
            <w:pPr>
              <w:spacing w:before="50" w:after="50"/>
            </w:pPr>
            <w:r>
              <w:rPr>
                <w:sz w:val="19"/>
              </w:rPr>
            </w:r>
            <w:r>
              <w:rPr>
                <w:b w:val="0"/>
                <w:sz w:val="19"/>
              </w:rPr>
              <w:t>9 days.</w:t>
            </w:r>
          </w:p>
        </w:tc>
      </w:tr>
      <w:tr>
        <w:trPr>
          <w:cantSplit w:val="true"/>
        </w:trPr>
        <w:tc>
          <w:tcPr>
            <w:tcW w:type="dxa" w:w="1344"/>
            <w:shd w:val="clear" w:color="auto" w:fill="F5F8FA"/>
          </w:tcPr>
          <w:p>
            <w:pPr>
              <w:spacing w:before="50" w:after="50"/>
            </w:pPr>
            <w:r>
              <w:rPr>
                <w:sz w:val="19"/>
              </w:rPr>
            </w:r>
            <w:r>
              <w:rPr>
                <w:b w:val="0"/>
                <w:sz w:val="19"/>
              </w:rPr>
              <w:t>4</w:t>
            </w:r>
          </w:p>
        </w:tc>
        <w:tc>
          <w:tcPr>
            <w:tcW w:type="dxa" w:w="1536"/>
            <w:shd w:val="clear" w:color="auto" w:fill="F5F8FA"/>
          </w:tcPr>
          <w:p>
            <w:pPr>
              <w:spacing w:before="50" w:after="50"/>
            </w:pPr>
            <w:r>
              <w:rPr>
                <w:sz w:val="19"/>
              </w:rPr>
            </w:r>
            <w:r>
              <w:rPr>
                <w:b w:val="0"/>
                <w:sz w:val="19"/>
              </w:rPr>
              <w:t>41 days</w:t>
            </w:r>
          </w:p>
        </w:tc>
        <w:tc>
          <w:tcPr>
            <w:tcW w:type="dxa" w:w="6722"/>
            <w:shd w:val="clear" w:color="auto" w:fill="F5F8FA"/>
          </w:tcPr>
          <w:p>
            <w:pPr>
              <w:spacing w:before="50" w:after="50"/>
            </w:pPr>
            <w:r>
              <w:rPr>
                <w:sz w:val="19"/>
              </w:rPr>
            </w:r>
            <w:r>
              <w:rPr>
                <w:b w:val="0"/>
                <w:sz w:val="19"/>
              </w:rPr>
              <w:t>3 days — one engineer still carries two tracks.</w:t>
            </w:r>
          </w:p>
        </w:tc>
      </w:tr>
      <w:tr>
        <w:trPr>
          <w:cantSplit w:val="true"/>
        </w:trPr>
        <w:tc>
          <w:tcPr>
            <w:tcW w:type="dxa" w:w="1344"/>
          </w:tcPr>
          <w:p>
            <w:pPr>
              <w:spacing w:before="50" w:after="50"/>
            </w:pPr>
            <w:r>
              <w:rPr>
                <w:sz w:val="19"/>
              </w:rPr>
            </w:r>
            <w:r>
              <w:rPr>
                <w:b/>
                <w:sz w:val="19"/>
              </w:rPr>
              <w:t>5</w:t>
            </w:r>
          </w:p>
        </w:tc>
        <w:tc>
          <w:tcPr>
            <w:tcW w:type="dxa" w:w="1536"/>
          </w:tcPr>
          <w:p>
            <w:pPr>
              <w:spacing w:before="50" w:after="50"/>
            </w:pPr>
            <w:r>
              <w:rPr>
                <w:sz w:val="19"/>
              </w:rPr>
            </w:r>
            <w:r>
              <w:rPr>
                <w:b/>
                <w:sz w:val="19"/>
              </w:rPr>
              <w:t>33 days</w:t>
            </w:r>
          </w:p>
        </w:tc>
        <w:tc>
          <w:tcPr>
            <w:tcW w:type="dxa" w:w="6722"/>
          </w:tcPr>
          <w:p>
            <w:pPr>
              <w:spacing w:before="50" w:after="50"/>
            </w:pPr>
            <w:r>
              <w:rPr>
                <w:sz w:val="19"/>
              </w:rPr>
            </w:r>
            <w:r>
              <w:rPr>
                <w:b/>
                <w:sz w:val="19"/>
              </w:rPr>
              <w:t>8 days. One engineer per track — the natural size of this plan.</w:t>
            </w:r>
          </w:p>
        </w:tc>
      </w:tr>
      <w:tr>
        <w:trPr>
          <w:cantSplit w:val="true"/>
        </w:trPr>
        <w:tc>
          <w:tcPr>
            <w:tcW w:type="dxa" w:w="1344"/>
            <w:shd w:val="clear" w:color="auto" w:fill="F5F8FA"/>
          </w:tcPr>
          <w:p>
            <w:pPr>
              <w:spacing w:before="50" w:after="50"/>
            </w:pPr>
            <w:r>
              <w:rPr>
                <w:sz w:val="19"/>
              </w:rPr>
            </w:r>
            <w:r>
              <w:rPr>
                <w:b w:val="0"/>
                <w:sz w:val="19"/>
              </w:rPr>
              <w:t>6 or more</w:t>
            </w:r>
          </w:p>
        </w:tc>
        <w:tc>
          <w:tcPr>
            <w:tcW w:type="dxa" w:w="1536"/>
            <w:shd w:val="clear" w:color="auto" w:fill="F5F8FA"/>
          </w:tcPr>
          <w:p>
            <w:pPr>
              <w:spacing w:before="50" w:after="50"/>
            </w:pPr>
            <w:r>
              <w:rPr>
                <w:sz w:val="19"/>
              </w:rPr>
            </w:r>
            <w:r>
              <w:rPr>
                <w:b w:val="0"/>
                <w:sz w:val="19"/>
              </w:rPr>
              <w:t>33 days</w:t>
            </w:r>
          </w:p>
        </w:tc>
        <w:tc>
          <w:tcPr>
            <w:tcW w:type="dxa" w:w="6722"/>
            <w:shd w:val="clear" w:color="auto" w:fill="F5F8FA"/>
          </w:tcPr>
          <w:p>
            <w:pPr>
              <w:spacing w:before="50" w:after="50"/>
            </w:pPr>
            <w:r>
              <w:rPr>
                <w:sz w:val="19"/>
              </w:rPr>
            </w:r>
            <w:r>
              <w:rPr>
                <w:b w:val="0"/>
                <w:sz w:val="19"/>
              </w:rPr>
              <w:t>Nothing. Wave 1, the longest track and wave 3 set the floor.</w:t>
            </w:r>
          </w:p>
        </w:tc>
      </w:tr>
    </w:tbl>
    <w:p>
      <w:pPr>
        <w:spacing w:after="40"/>
      </w:pPr>
    </w:p>
    <w:tbl>
      <w:tblPr>
        <w:tblW w:type="auto" w:w="0"/>
        <w:jc w:val="center"/>
        <w:tblLayout w:type="fixed"/>
        <w:tblLook w:firstColumn="1" w:firstRow="1" w:lastColumn="0" w:lastRow="0" w:noHBand="0" w:noVBand="1" w:val="04A0"/>
        <w:tblBorders>
          <w:top w:val="single" w:sz="6" w:color="C9D4DC"/>
          <w:bottom w:val="single" w:sz="6" w:color="C9D4DC"/>
          <w:insideH w:val="single" w:sz="6" w:color="C9D4DC"/>
          <w:left w:val="none"/>
          <w:right w:val="none"/>
          <w:insideV w:val="none"/>
        </w:tblBorders>
        <w:tblLayout w:type="fixed"/>
        <w:tblW w:w="9604" w:type="dxa"/>
      </w:tblPr>
      <w:tblGrid>
        <w:gridCol w:w="9604"/>
      </w:tblGrid>
      <w:tr>
        <w:tc>
          <w:tcPr>
            <w:tcW w:type="dxa" w:w="9604"/>
            <w:shd w:val="clear" w:color="auto" w:fill="E8EEF2"/>
          </w:tcPr>
          <w:p>
            <w:pPr>
              <w:spacing w:before="120" w:after="120"/>
            </w:pPr>
            <w:r/>
            <w:r>
              <w:rPr>
                <w:b/>
                <w:sz w:val="21"/>
              </w:rPr>
              <w:t>The decision in one line.</w:t>
            </w:r>
            <w:r>
              <w:rPr>
                <w:b w:val="0"/>
                <w:sz w:val="21"/>
              </w:rPr>
              <w:t xml:space="preserve"> Five engineers is the natural team for this plan and finishes in about a third of the elapsed time one engineer would need. A sixth adds nothing. Two engineers is the best value per head if capacity is scarce.</w:t>
            </w:r>
          </w:p>
        </w:tc>
      </w:tr>
    </w:tbl>
    <w:p>
      <w:pPr>
        <w:spacing w:after="40"/>
      </w:pPr>
    </w:p>
    <w:p>
      <w:pPr>
        <w:spacing w:after="120"/>
      </w:pPr>
      <w:r>
        <w:rPr>
          <w:b w:val="0"/>
          <w:i w:val="0"/>
          <w:color w:val="1A1A1A"/>
          <w:sz w:val="18"/>
        </w:rPr>
        <w:t>One caution on the model: it assumes a clean barrier between waves, so no track starts before the contract is finished and nothing in wave 3 starts before every track is done. Real delivery overlaps at the edges, which would shorten every figure above. Treat these as the conservative end.</w:t>
      </w:r>
    </w:p>
    <w:sectPr w:rsidR="00FC693F" w:rsidRPr="0006063C" w:rsidSect="00034616">
      <w:footerReference w:type="default" r:id="rId9"/>
      <w:pgSz w:w="11909" w:h="16834"/>
      <w:pgMar w:top="1224" w:right="1152" w:bottom="1224"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36E"/>
        <w:sz w:val="16"/>
      </w:rPr>
      <w:t>AI Guardrails — Local-First Delivery Plan · Draft for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i w:val="0"/>
      <w:color w:val="0B4F71"/>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i w:val="0"/>
      <w:color w:val="0B4F7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AI Guardrails document generator</Application>
  <Company/>
  <Manager/>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Guardrails — Local-First Delivery Plan</dc:title>
  <dc:subject>Delivery plan for the Phase 1-2 core built entirely on local infrastructure, with every AWS dependency deferred to a single final stage</dc:subject>
  <dc:creator>AI Guardrails — generated from solution-docs</dc:creator>
  <cp:keywords/>
  <dc:description>Generated from the solution-docs set. Rebuild rather than edit — hand edits are overwritten.</dc:description>
  <cp:lastModifiedBy>AI Guardrails — generated from solution-docs</cp:lastModifiedBy>
  <cp:revision>1</cp:revision>
  <dcterms:created xsi:type="dcterms:W3CDTF">1980-01-01T00:00:00Z</dcterms:created>
  <dcterms:modified xsi:type="dcterms:W3CDTF">1980-01-01T00:00:00Z</dcterms:modified>
  <cp:category>Internal</cp:category>
  <cp:contentStatus>Draft — design intent and delivery plan; nothing built or piloted</cp:contentStatus>
  <dc:language>en</dc:language>
</cp:coreProperties>
</file>