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6E47" w14:textId="77777777" w:rsidR="003A712E" w:rsidRPr="003A712E" w:rsidRDefault="003A712E" w:rsidP="003A712E">
      <w:pPr>
        <w:rPr>
          <w:b/>
          <w:bCs/>
        </w:rPr>
      </w:pPr>
      <w:r w:rsidRPr="003A712E">
        <w:rPr>
          <w:b/>
          <w:bCs/>
        </w:rPr>
        <w:t>1. Introduzione e idea di progetto (~1,5 minuti)</w:t>
      </w:r>
    </w:p>
    <w:p w14:paraId="702D48EC" w14:textId="77777777" w:rsidR="003A712E" w:rsidRPr="003A712E" w:rsidRDefault="003A712E" w:rsidP="003A712E">
      <w:r w:rsidRPr="003A712E">
        <w:t xml:space="preserve">Buongiorno, oggi vi presento il mio progetto dal titolo </w:t>
      </w:r>
      <w:r w:rsidRPr="003A712E">
        <w:rPr>
          <w:b/>
          <w:bCs/>
        </w:rPr>
        <w:t>"Prima Repubblica, prime elezioni"</w:t>
      </w:r>
      <w:r w:rsidRPr="003A712E">
        <w:t>.</w:t>
      </w:r>
    </w:p>
    <w:p w14:paraId="1453693E" w14:textId="77777777" w:rsidR="003A712E" w:rsidRPr="003A712E" w:rsidRDefault="003A712E" w:rsidP="003A712E">
      <w:r w:rsidRPr="003A712E">
        <w:t xml:space="preserve">L'idea alla base di questo lavoro nasce dalla volontà di </w:t>
      </w:r>
      <w:r w:rsidRPr="003A712E">
        <w:rPr>
          <w:b/>
          <w:bCs/>
        </w:rPr>
        <w:t>catalogare, metadatare, preservare e valorizzare i materiali elettorali di propaganda politica</w:t>
      </w:r>
      <w:r w:rsidRPr="003A712E">
        <w:t xml:space="preserve"> prodotti e utilizzati dalle quattro principali forze partitiche italiane — Democrazia Cristiana, Partito Comunista Italiano, Partito Socialista Italiano e, in questo raggruppamento, anche PSDI e MSI — nel corso delle prime tre elezioni politiche della Repubblica: quelle del </w:t>
      </w:r>
      <w:r w:rsidRPr="003A712E">
        <w:rPr>
          <w:b/>
          <w:bCs/>
        </w:rPr>
        <w:t>1948, del 1953 e del 1958</w:t>
      </w:r>
      <w:r w:rsidRPr="003A712E">
        <w:t>.</w:t>
      </w:r>
    </w:p>
    <w:p w14:paraId="5EF92B64" w14:textId="77777777" w:rsidR="003A712E" w:rsidRPr="003A712E" w:rsidRDefault="003A712E" w:rsidP="003A712E">
      <w:r w:rsidRPr="003A712E">
        <w:t xml:space="preserve">L'obiettivo di ricerca non è soltanto quello di raccogliere e ordinare questi materiali, ma anche di </w:t>
      </w:r>
      <w:r w:rsidRPr="003A712E">
        <w:rPr>
          <w:b/>
          <w:bCs/>
        </w:rPr>
        <w:t>far emergere la portata iconografica, satirica e retorica</w:t>
      </w:r>
      <w:r w:rsidRPr="003A712E">
        <w:t xml:space="preserve"> che si cela dietro manifesti, volantini e stampe dell'epoca. Ho scelto di dare particolare rilievo proprio ai manifesti e alle stampe perché, rispetto ad altre tipologie documentarie, sono quelli con il maggiore impatto visivo e comunicativo: sono lo strumento attraverso cui i partiti costruivano il proprio immaginario e cercavano di persuadere l'elettorato in un momento cruciale della storia democratica italiana, quello della ricostruzione postbellica e della definizione dei nuovi equilibri politici.</w:t>
      </w:r>
    </w:p>
    <w:p w14:paraId="32165BA1" w14:textId="77777777" w:rsidR="003A712E" w:rsidRPr="003A712E" w:rsidRDefault="00000000" w:rsidP="003A712E">
      <w:r>
        <w:pict w14:anchorId="47AA3E75">
          <v:rect id="_x0000_i1025" style="width:0;height:1.5pt" o:hralign="center" o:hrstd="t" o:hr="t" fillcolor="#a0a0a0" stroked="f"/>
        </w:pict>
      </w:r>
    </w:p>
    <w:p w14:paraId="1EC60150" w14:textId="77777777" w:rsidR="003A712E" w:rsidRPr="003A712E" w:rsidRDefault="003A712E" w:rsidP="003A712E">
      <w:pPr>
        <w:rPr>
          <w:b/>
          <w:bCs/>
        </w:rPr>
      </w:pPr>
      <w:r w:rsidRPr="003A712E">
        <w:rPr>
          <w:b/>
          <w:bCs/>
        </w:rPr>
        <w:t>2. Le risorse individuate (~2,5 minuti)</w:t>
      </w:r>
    </w:p>
    <w:p w14:paraId="2D2D1B07" w14:textId="77777777" w:rsidR="003A712E" w:rsidRDefault="003A712E" w:rsidP="003A712E">
      <w:r w:rsidRPr="003A712E">
        <w:t>Passiamo ora alle risorse effettivamente individuate e selezionate per il progetto.</w:t>
      </w:r>
    </w:p>
    <w:p w14:paraId="5D528F04" w14:textId="5946D359" w:rsidR="005D66BF" w:rsidRPr="003A712E" w:rsidRDefault="005D66BF" w:rsidP="003A712E">
      <w:r w:rsidRPr="003A712E">
        <w:t xml:space="preserve">In totale la collezione conta </w:t>
      </w:r>
      <w:r w:rsidRPr="003A712E">
        <w:rPr>
          <w:b/>
          <w:bCs/>
        </w:rPr>
        <w:t>diciotto item</w:t>
      </w:r>
      <w:r w:rsidRPr="003A712E">
        <w:t>, un numero che mi ha permesso di avere una casistica sufficientemente ampia da testare in modo significativo sia il modello descrittivo scelto, sia i metodi di accesso e navigazione che vi presenterò tra poco.</w:t>
      </w:r>
    </w:p>
    <w:p w14:paraId="3672A187" w14:textId="7676912F" w:rsidR="003A712E" w:rsidRPr="003A712E" w:rsidRDefault="003A712E" w:rsidP="003A712E">
      <w:r w:rsidRPr="003A712E">
        <w:t xml:space="preserve">Ho organizzato la collezione in </w:t>
      </w:r>
      <w:r w:rsidRPr="003A712E">
        <w:rPr>
          <w:b/>
          <w:bCs/>
        </w:rPr>
        <w:t>tre blocchi da sei item ciascuno</w:t>
      </w:r>
      <w:r w:rsidRPr="003A712E">
        <w:t>, uno per ogn</w:t>
      </w:r>
      <w:r w:rsidR="00CC13AD">
        <w:t>una delle tre</w:t>
      </w:r>
      <w:r w:rsidRPr="003A712E">
        <w:t xml:space="preserve"> tornat</w:t>
      </w:r>
      <w:r w:rsidR="00CC13AD">
        <w:t>e</w:t>
      </w:r>
      <w:r w:rsidRPr="003A712E">
        <w:t xml:space="preserve"> elettoral</w:t>
      </w:r>
      <w:r w:rsidR="00AF1875">
        <w:t>i</w:t>
      </w:r>
      <w:r w:rsidRPr="003A712E">
        <w:t>. Questa suddivisione cronologica non è solo un criterio organizzativo, ma riflette anche l'evoluzione del linguaggio della propaganda politica italiana nel decennio che va dalla nascita della Repubblica alla fine degli anni Cinquanta: cambiano gli stili grafici, cambiano i toni retorici, e cambiano anche gli equilibri tra i partiti rappresentati.</w:t>
      </w:r>
    </w:p>
    <w:p w14:paraId="66AB848B" w14:textId="1A7957A3" w:rsidR="003A712E" w:rsidRPr="003A712E" w:rsidRDefault="003A712E" w:rsidP="003A712E">
      <w:r w:rsidRPr="003A712E">
        <w:t xml:space="preserve">All'interno di ogni blocco ho selezionato materiali riconducibili alle quattro forze politiche di cui parlavo prima, privilegiando </w:t>
      </w:r>
      <w:r w:rsidRPr="003A712E">
        <w:rPr>
          <w:b/>
          <w:bCs/>
        </w:rPr>
        <w:t>tipologie documentarie diverse</w:t>
      </w:r>
      <w:r w:rsidRPr="003A712E">
        <w:t xml:space="preserve"> — non solo manifesti, ma anche materiali testuali come volantini o trafiletti di stampa satirica</w:t>
      </w:r>
      <w:r w:rsidR="00FA5C7A">
        <w:t>, così da</w:t>
      </w:r>
      <w:r w:rsidRPr="003A712E">
        <w:t xml:space="preserve"> </w:t>
      </w:r>
      <w:r w:rsidR="00C650B6">
        <w:t>garantire</w:t>
      </w:r>
      <w:r w:rsidR="00C650B6" w:rsidRPr="00C650B6">
        <w:t xml:space="preserve"> </w:t>
      </w:r>
      <w:r w:rsidR="00C650B6" w:rsidRPr="003A712E">
        <w:t>eterogene</w:t>
      </w:r>
      <w:r w:rsidR="00C650B6">
        <w:t>ità alla</w:t>
      </w:r>
      <w:r w:rsidRPr="003A712E">
        <w:t xml:space="preserve"> raccolta </w:t>
      </w:r>
      <w:r w:rsidR="00C650B6">
        <w:t>sia</w:t>
      </w:r>
      <w:r w:rsidRPr="003A712E">
        <w:t xml:space="preserve"> per fonte e</w:t>
      </w:r>
      <w:r w:rsidR="00C650B6">
        <w:t xml:space="preserve"> sia per</w:t>
      </w:r>
      <w:r w:rsidRPr="003A712E">
        <w:t xml:space="preserve"> formato, ma</w:t>
      </w:r>
      <w:r w:rsidR="007A227B">
        <w:t>ntenendo</w:t>
      </w:r>
      <w:r w:rsidRPr="003A712E">
        <w:t xml:space="preserve"> </w:t>
      </w:r>
      <w:r w:rsidR="007A227B">
        <w:t>la coerenza con</w:t>
      </w:r>
      <w:r w:rsidRPr="003A712E">
        <w:t xml:space="preserve"> soggett</w:t>
      </w:r>
      <w:r w:rsidR="007A227B">
        <w:t>i</w:t>
      </w:r>
      <w:r w:rsidRPr="003A712E">
        <w:t xml:space="preserve"> e periodo storico.</w:t>
      </w:r>
    </w:p>
    <w:p w14:paraId="31E650C8" w14:textId="77777777" w:rsidR="003A712E" w:rsidRPr="003A712E" w:rsidRDefault="00000000" w:rsidP="003A712E">
      <w:r>
        <w:pict w14:anchorId="692AE0C6">
          <v:rect id="_x0000_i1026" style="width:0;height:1.5pt" o:hralign="center" o:hrstd="t" o:hr="t" fillcolor="#a0a0a0" stroked="f"/>
        </w:pict>
      </w:r>
    </w:p>
    <w:p w14:paraId="6BB5E0EB" w14:textId="77777777" w:rsidR="003A712E" w:rsidRPr="003A712E" w:rsidRDefault="003A712E" w:rsidP="003A712E">
      <w:pPr>
        <w:rPr>
          <w:b/>
          <w:bCs/>
        </w:rPr>
      </w:pPr>
      <w:r w:rsidRPr="003A712E">
        <w:rPr>
          <w:b/>
          <w:bCs/>
        </w:rPr>
        <w:t>3. Standard descrittivi utilizzati (~2 minuti)</w:t>
      </w:r>
    </w:p>
    <w:p w14:paraId="3B829686" w14:textId="77777777" w:rsidR="003A712E" w:rsidRPr="003A712E" w:rsidRDefault="003A712E" w:rsidP="003A712E">
      <w:r w:rsidRPr="003A712E">
        <w:lastRenderedPageBreak/>
        <w:t xml:space="preserve">Un punto centrale del progetto riguarda gli </w:t>
      </w:r>
      <w:r w:rsidRPr="003A712E">
        <w:rPr>
          <w:b/>
          <w:bCs/>
        </w:rPr>
        <w:t>standard utilizzati per la descrizione degli item</w:t>
      </w:r>
      <w:r w:rsidRPr="003A712E">
        <w:t>.</w:t>
      </w:r>
    </w:p>
    <w:p w14:paraId="1BD575F6" w14:textId="77777777" w:rsidR="003A712E" w:rsidRPr="003A712E" w:rsidRDefault="003A712E" w:rsidP="003A712E">
      <w:r w:rsidRPr="003A712E">
        <w:t>Ho fatto riferimento ai due modelli comunemente impiegati dai principali aggregatori del patrimonio culturale:</w:t>
      </w:r>
    </w:p>
    <w:p w14:paraId="671B2BB1" w14:textId="0D26D8AC" w:rsidR="003A712E" w:rsidRPr="003A712E" w:rsidRDefault="003A712E" w:rsidP="003A712E">
      <w:pPr>
        <w:numPr>
          <w:ilvl w:val="0"/>
          <w:numId w:val="2"/>
        </w:numPr>
      </w:pPr>
      <w:r w:rsidRPr="003A712E">
        <w:t xml:space="preserve">lo </w:t>
      </w:r>
      <w:r w:rsidRPr="003A712E">
        <w:rPr>
          <w:b/>
          <w:bCs/>
        </w:rPr>
        <w:t>standard ICCD</w:t>
      </w:r>
      <w:r w:rsidRPr="003A712E">
        <w:t>, l'Istituto Centrale per il Catalogo e la Documentazione, che fornisce le normative catalografiche di riferimento per i beni culturali in Italia;</w:t>
      </w:r>
    </w:p>
    <w:p w14:paraId="18681087" w14:textId="7A8DE4A9" w:rsidR="003A712E" w:rsidRPr="003A712E" w:rsidRDefault="003A712E" w:rsidP="003A712E">
      <w:pPr>
        <w:numPr>
          <w:ilvl w:val="0"/>
          <w:numId w:val="2"/>
        </w:numPr>
      </w:pPr>
      <w:r w:rsidRPr="003A712E">
        <w:t>l'</w:t>
      </w:r>
      <w:r w:rsidRPr="003A712E">
        <w:rPr>
          <w:b/>
          <w:bCs/>
        </w:rPr>
        <w:t>Europeana Data Model (EDM)</w:t>
      </w:r>
      <w:r w:rsidRPr="003A712E">
        <w:t>, lo standard adottato da Europeana per l'interoperabilità dei metadati tra istituzioni culturali europee.</w:t>
      </w:r>
    </w:p>
    <w:p w14:paraId="075E066C" w14:textId="4F4B2A03" w:rsidR="003A712E" w:rsidRPr="003A712E" w:rsidRDefault="003A712E" w:rsidP="003A712E">
      <w:r w:rsidRPr="003A712E">
        <w:t xml:space="preserve">Utilizzare due standard differenti pone però un problema di </w:t>
      </w:r>
      <w:r w:rsidRPr="003A712E">
        <w:rPr>
          <w:b/>
          <w:bCs/>
        </w:rPr>
        <w:t>omogeneità</w:t>
      </w:r>
      <w:r w:rsidRPr="003A712E">
        <w:t xml:space="preserve">: ICCD ed EDM nascono con finalità e strutture diverse, e i loro campi non sono direttamente sovrapponibili. Per questo motivo, per garantire coerenza descrittiva a tutta la collezione, ho previsto — nella fase di progettazione complessiva del sito — un </w:t>
      </w:r>
      <w:r w:rsidRPr="003A712E">
        <w:rPr>
          <w:b/>
          <w:bCs/>
        </w:rPr>
        <w:t>cross-walk dei metadati</w:t>
      </w:r>
      <w:r w:rsidRPr="003A712E">
        <w:t>, cioè una tabella di corrispondenza tra i campi dei due standard, in modo da poter ricondurre le informazioni descrittive di ciascun item a un set omogeneo di metadati da esporre sul sito, indipendentemente dallo standard di provenienza originario.</w:t>
      </w:r>
      <w:r w:rsidR="00000000">
        <w:pict w14:anchorId="2CFDF6B4">
          <v:rect id="_x0000_i1027" style="width:0;height:1.5pt" o:hralign="center" o:hrstd="t" o:hr="t" fillcolor="#a0a0a0" stroked="f"/>
        </w:pict>
      </w:r>
    </w:p>
    <w:p w14:paraId="3D292491" w14:textId="77777777" w:rsidR="003A712E" w:rsidRPr="003A712E" w:rsidRDefault="003A712E" w:rsidP="003A712E">
      <w:pPr>
        <w:rPr>
          <w:b/>
          <w:bCs/>
        </w:rPr>
      </w:pPr>
      <w:r w:rsidRPr="003A712E">
        <w:rPr>
          <w:b/>
          <w:bCs/>
        </w:rPr>
        <w:t>4. Metodi di accesso e navigazione (~2 minuti)</w:t>
      </w:r>
    </w:p>
    <w:p w14:paraId="6E6CA584" w14:textId="77777777" w:rsidR="003A712E" w:rsidRPr="003A712E" w:rsidRDefault="003A712E" w:rsidP="003A712E">
      <w:r w:rsidRPr="003A712E">
        <w:t xml:space="preserve">Per quanto riguarda i </w:t>
      </w:r>
      <w:r w:rsidRPr="003A712E">
        <w:rPr>
          <w:b/>
          <w:bCs/>
        </w:rPr>
        <w:t>metodi di accesso e navigazione</w:t>
      </w:r>
      <w:r w:rsidRPr="003A712E">
        <w:t xml:space="preserve"> alla collezione, in fase di progettazione ne avevo ideati e impostati diversi, pensando alle diverse esigenze di consultazione che un utente potrebbe avere:</w:t>
      </w:r>
    </w:p>
    <w:p w14:paraId="5916A6CC" w14:textId="77777777" w:rsidR="003A712E" w:rsidRPr="003A712E" w:rsidRDefault="003A712E" w:rsidP="003A712E">
      <w:pPr>
        <w:numPr>
          <w:ilvl w:val="0"/>
          <w:numId w:val="3"/>
        </w:numPr>
      </w:pPr>
      <w:r w:rsidRPr="003A712E">
        <w:t xml:space="preserve">una </w:t>
      </w:r>
      <w:r w:rsidRPr="003A712E">
        <w:rPr>
          <w:b/>
          <w:bCs/>
        </w:rPr>
        <w:t>lista</w:t>
      </w:r>
      <w:r w:rsidRPr="003A712E">
        <w:t xml:space="preserve"> generale di tutti gli item;</w:t>
      </w:r>
    </w:p>
    <w:p w14:paraId="5509C509" w14:textId="77777777" w:rsidR="003A712E" w:rsidRPr="003A712E" w:rsidRDefault="003A712E" w:rsidP="003A712E">
      <w:pPr>
        <w:numPr>
          <w:ilvl w:val="0"/>
          <w:numId w:val="3"/>
        </w:numPr>
      </w:pPr>
      <w:r w:rsidRPr="003A712E">
        <w:t xml:space="preserve">una navigazione per </w:t>
      </w:r>
      <w:r w:rsidRPr="003A712E">
        <w:rPr>
          <w:b/>
          <w:bCs/>
        </w:rPr>
        <w:t>luoghi</w:t>
      </w:r>
      <w:r w:rsidRPr="003A712E">
        <w:t>, per valorizzare la dimensione territoriale della propaganda;</w:t>
      </w:r>
    </w:p>
    <w:p w14:paraId="72D8DDCE" w14:textId="77777777" w:rsidR="003A712E" w:rsidRPr="003A712E" w:rsidRDefault="003A712E" w:rsidP="003A712E">
      <w:pPr>
        <w:numPr>
          <w:ilvl w:val="0"/>
          <w:numId w:val="3"/>
        </w:numPr>
      </w:pPr>
      <w:r w:rsidRPr="003A712E">
        <w:t xml:space="preserve">una navigazione per </w:t>
      </w:r>
      <w:r w:rsidRPr="003A712E">
        <w:rPr>
          <w:b/>
          <w:bCs/>
        </w:rPr>
        <w:t>date</w:t>
      </w:r>
      <w:r w:rsidRPr="003A712E">
        <w:t>, per seguire lo sviluppo cronologico delle tre campagne elettorali;</w:t>
      </w:r>
    </w:p>
    <w:p w14:paraId="04C22B7D" w14:textId="3B344E18" w:rsidR="003A712E" w:rsidRPr="003A712E" w:rsidRDefault="003A712E" w:rsidP="003A712E">
      <w:pPr>
        <w:numPr>
          <w:ilvl w:val="0"/>
          <w:numId w:val="3"/>
        </w:numPr>
      </w:pPr>
      <w:r w:rsidRPr="003A712E">
        <w:t xml:space="preserve">una navigazione per </w:t>
      </w:r>
      <w:r w:rsidRPr="003A712E">
        <w:rPr>
          <w:b/>
          <w:bCs/>
        </w:rPr>
        <w:t>persone</w:t>
      </w:r>
      <w:r w:rsidRPr="003A712E">
        <w:t>, pensando a figure politiche</w:t>
      </w:r>
      <w:r w:rsidR="00362F59">
        <w:t xml:space="preserve"> ritratte nei</w:t>
      </w:r>
      <w:r w:rsidRPr="003A712E">
        <w:t xml:space="preserve"> o autori dei materiali;</w:t>
      </w:r>
    </w:p>
    <w:p w14:paraId="280B136F" w14:textId="76863FD9" w:rsidR="003A712E" w:rsidRPr="003A712E" w:rsidRDefault="003A712E" w:rsidP="003A712E">
      <w:pPr>
        <w:numPr>
          <w:ilvl w:val="0"/>
          <w:numId w:val="3"/>
        </w:numPr>
      </w:pPr>
      <w:r w:rsidRPr="003A712E">
        <w:t xml:space="preserve">una navigazione per </w:t>
      </w:r>
      <w:r w:rsidRPr="003A712E">
        <w:rPr>
          <w:b/>
          <w:bCs/>
        </w:rPr>
        <w:t>partiti politici</w:t>
      </w:r>
      <w:r w:rsidRPr="003A712E">
        <w:t>, per confrontare direttamente le strategie comunicative delle diverse forze</w:t>
      </w:r>
      <w:r w:rsidR="00362F59">
        <w:t xml:space="preserve"> autrici dei materiali</w:t>
      </w:r>
      <w:r w:rsidRPr="003A712E">
        <w:t>;</w:t>
      </w:r>
    </w:p>
    <w:p w14:paraId="4BF54591" w14:textId="77777777" w:rsidR="003A712E" w:rsidRPr="003A712E" w:rsidRDefault="003A712E" w:rsidP="003A712E">
      <w:pPr>
        <w:numPr>
          <w:ilvl w:val="0"/>
          <w:numId w:val="3"/>
        </w:numPr>
      </w:pPr>
      <w:r w:rsidRPr="003A712E">
        <w:t xml:space="preserve">e infine una </w:t>
      </w:r>
      <w:r w:rsidRPr="003A712E">
        <w:rPr>
          <w:b/>
          <w:bCs/>
        </w:rPr>
        <w:t>barra di ricerca libera</w:t>
      </w:r>
      <w:r w:rsidRPr="003A712E">
        <w:t>, in stile "google-like", per una consultazione più immediata.</w:t>
      </w:r>
    </w:p>
    <w:p w14:paraId="1B7AA704" w14:textId="2386876A" w:rsidR="003A712E" w:rsidRPr="003A712E" w:rsidRDefault="003A712E" w:rsidP="003A712E">
      <w:r w:rsidRPr="003A712E">
        <w:t xml:space="preserve">Di questi metodi, quelli </w:t>
      </w:r>
      <w:r w:rsidRPr="003A712E">
        <w:rPr>
          <w:b/>
          <w:bCs/>
        </w:rPr>
        <w:t>effettivamente implementati</w:t>
      </w:r>
      <w:r w:rsidRPr="003A712E">
        <w:t xml:space="preserve"> nella versione realizzata del sito sono la </w:t>
      </w:r>
      <w:r w:rsidRPr="003A712E">
        <w:rPr>
          <w:b/>
          <w:bCs/>
        </w:rPr>
        <w:t>navigazione a lista</w:t>
      </w:r>
      <w:r w:rsidRPr="003A712E">
        <w:t xml:space="preserve"> e una </w:t>
      </w:r>
      <w:r w:rsidRPr="003A712E">
        <w:rPr>
          <w:b/>
          <w:bCs/>
        </w:rPr>
        <w:t>timeline realizzata con Knight Lab</w:t>
      </w:r>
      <w:r w:rsidRPr="003A712E">
        <w:t xml:space="preserve">, che permette di visualizzare gli item in ordine cronologico lungo le tre tornate elettorali. Gli altri metodi </w:t>
      </w:r>
      <w:r w:rsidRPr="003A712E">
        <w:lastRenderedPageBreak/>
        <w:t>restano parte della progettazione complessiva del sito, pensati per uno sviluppo futuro della piattaforma.</w:t>
      </w:r>
    </w:p>
    <w:p w14:paraId="4B66080A" w14:textId="77777777" w:rsidR="003A712E" w:rsidRPr="003A712E" w:rsidRDefault="00000000" w:rsidP="003A712E">
      <w:r>
        <w:pict w14:anchorId="25EE2B03">
          <v:rect id="_x0000_i1028" style="width:0;height:1.5pt" o:hralign="center" o:hrstd="t" o:hr="t" fillcolor="#a0a0a0" stroked="f"/>
        </w:pict>
      </w:r>
    </w:p>
    <w:p w14:paraId="244F3B54" w14:textId="77777777" w:rsidR="003A712E" w:rsidRPr="003A712E" w:rsidRDefault="003A712E" w:rsidP="003A712E">
      <w:pPr>
        <w:rPr>
          <w:b/>
          <w:bCs/>
        </w:rPr>
      </w:pPr>
      <w:r w:rsidRPr="003A712E">
        <w:rPr>
          <w:b/>
          <w:bCs/>
        </w:rPr>
        <w:t>5. Riferimenti sitografici e chiusura (~1,5 minuti)</w:t>
      </w:r>
    </w:p>
    <w:p w14:paraId="0EA3DB3D" w14:textId="77777777" w:rsidR="003A712E" w:rsidRPr="003A712E" w:rsidRDefault="003A712E" w:rsidP="003A712E">
      <w:r w:rsidRPr="003A712E">
        <w:t xml:space="preserve">Vorrei infine citare i </w:t>
      </w:r>
      <w:r w:rsidRPr="003A712E">
        <w:rPr>
          <w:b/>
          <w:bCs/>
        </w:rPr>
        <w:t>riferimenti sitografici</w:t>
      </w:r>
      <w:r w:rsidRPr="003A712E">
        <w:t xml:space="preserve"> che ho utilizzato come modelli per la costruzione del sito:</w:t>
      </w:r>
    </w:p>
    <w:p w14:paraId="3F1E5ED8" w14:textId="7A1F0160" w:rsidR="003A712E" w:rsidRPr="003A712E" w:rsidRDefault="003A712E" w:rsidP="003A712E">
      <w:pPr>
        <w:numPr>
          <w:ilvl w:val="0"/>
          <w:numId w:val="4"/>
        </w:numPr>
      </w:pPr>
      <w:r w:rsidRPr="003A712E">
        <w:t>per l'ossatura principale — home page, lista degli item, pagine di dettaglio e pagina dell'autore — mi sono ispirato al sito di esempio fornito per il corso</w:t>
      </w:r>
      <w:r w:rsidR="00184386">
        <w:t>, ovvero “Attestazioni dantesche”</w:t>
      </w:r>
      <w:r w:rsidRPr="003A712E">
        <w:t>;</w:t>
      </w:r>
    </w:p>
    <w:p w14:paraId="0B295A57" w14:textId="30D3BED7" w:rsidR="003A712E" w:rsidRPr="003A712E" w:rsidRDefault="003A712E" w:rsidP="003A712E">
      <w:pPr>
        <w:numPr>
          <w:ilvl w:val="0"/>
          <w:numId w:val="4"/>
        </w:numPr>
      </w:pPr>
      <w:r w:rsidRPr="003A712E">
        <w:t xml:space="preserve">per la struttura della </w:t>
      </w:r>
      <w:r w:rsidRPr="003A712E">
        <w:rPr>
          <w:b/>
          <w:bCs/>
        </w:rPr>
        <w:t>pagina "Dati"</w:t>
      </w:r>
      <w:r w:rsidRPr="003A712E">
        <w:t>, con la tabella strutturata dei record, ho preso come riferimento il progetto</w:t>
      </w:r>
      <w:r w:rsidR="007F6183">
        <w:t xml:space="preserve"> realizzato con</w:t>
      </w:r>
      <w:r w:rsidRPr="003A712E">
        <w:t xml:space="preserve"> CollectionBuilder</w:t>
      </w:r>
      <w:r w:rsidR="007F6183">
        <w:t>, presente ne</w:t>
      </w:r>
      <w:r w:rsidR="005B4B31">
        <w:t>l sito “I periodi artistici di Pablo Picasso”</w:t>
      </w:r>
      <w:r w:rsidRPr="003A712E">
        <w:t>;</w:t>
      </w:r>
    </w:p>
    <w:p w14:paraId="4C7B753A" w14:textId="77777777" w:rsidR="003A712E" w:rsidRPr="003A712E" w:rsidRDefault="003A712E" w:rsidP="003A712E">
      <w:pPr>
        <w:numPr>
          <w:ilvl w:val="0"/>
          <w:numId w:val="4"/>
        </w:numPr>
      </w:pPr>
      <w:r w:rsidRPr="003A712E">
        <w:t xml:space="preserve">per lo stile grafico, ho scelto un registro volutamente </w:t>
      </w:r>
      <w:r w:rsidRPr="003A712E">
        <w:rPr>
          <w:b/>
          <w:bCs/>
        </w:rPr>
        <w:t>semplice e istituzionale</w:t>
      </w:r>
      <w:r w:rsidRPr="003A712E">
        <w:t>, ispirandomi al sito dell'archivio storico del PCI, così da restituire un'estetica coerente con la natura storico-documentaria della collezione.</w:t>
      </w:r>
    </w:p>
    <w:p w14:paraId="7A2AE33D" w14:textId="07141BCC" w:rsidR="00586A00" w:rsidRDefault="00586A00"/>
    <w:sectPr w:rsidR="00586A00" w:rsidSect="00A64A2F">
      <w:pgSz w:w="11906" w:h="16838"/>
      <w:pgMar w:top="1417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989"/>
    <w:multiLevelType w:val="multilevel"/>
    <w:tmpl w:val="51C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2934"/>
    <w:multiLevelType w:val="multilevel"/>
    <w:tmpl w:val="D1A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33664"/>
    <w:multiLevelType w:val="multilevel"/>
    <w:tmpl w:val="9AA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A6705"/>
    <w:multiLevelType w:val="hybridMultilevel"/>
    <w:tmpl w:val="FDF2EA44"/>
    <w:lvl w:ilvl="0" w:tplc="6F383A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010854">
    <w:abstractNumId w:val="3"/>
  </w:num>
  <w:num w:numId="2" w16cid:durableId="1098328071">
    <w:abstractNumId w:val="0"/>
  </w:num>
  <w:num w:numId="3" w16cid:durableId="1109740639">
    <w:abstractNumId w:val="2"/>
  </w:num>
  <w:num w:numId="4" w16cid:durableId="1175268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2"/>
    <w:rsid w:val="000340BF"/>
    <w:rsid w:val="0003549A"/>
    <w:rsid w:val="000826C7"/>
    <w:rsid w:val="000C43F2"/>
    <w:rsid w:val="000E39D1"/>
    <w:rsid w:val="000E6B5A"/>
    <w:rsid w:val="000F2714"/>
    <w:rsid w:val="00122E74"/>
    <w:rsid w:val="00124172"/>
    <w:rsid w:val="00184386"/>
    <w:rsid w:val="001C0535"/>
    <w:rsid w:val="00217574"/>
    <w:rsid w:val="002334D8"/>
    <w:rsid w:val="00253F2D"/>
    <w:rsid w:val="00295984"/>
    <w:rsid w:val="002B02AC"/>
    <w:rsid w:val="002B2683"/>
    <w:rsid w:val="002D10FE"/>
    <w:rsid w:val="002D6B3C"/>
    <w:rsid w:val="002E707B"/>
    <w:rsid w:val="00362F59"/>
    <w:rsid w:val="003A712E"/>
    <w:rsid w:val="003D2185"/>
    <w:rsid w:val="003D6576"/>
    <w:rsid w:val="003E359E"/>
    <w:rsid w:val="004121BB"/>
    <w:rsid w:val="00446852"/>
    <w:rsid w:val="004468B3"/>
    <w:rsid w:val="00455D96"/>
    <w:rsid w:val="004575BF"/>
    <w:rsid w:val="00487F94"/>
    <w:rsid w:val="004A0DDD"/>
    <w:rsid w:val="004A5071"/>
    <w:rsid w:val="004F049B"/>
    <w:rsid w:val="0051555D"/>
    <w:rsid w:val="00516B7C"/>
    <w:rsid w:val="00535D67"/>
    <w:rsid w:val="00566D25"/>
    <w:rsid w:val="00586A00"/>
    <w:rsid w:val="005A24D0"/>
    <w:rsid w:val="005B172C"/>
    <w:rsid w:val="005B4B31"/>
    <w:rsid w:val="005B6CB9"/>
    <w:rsid w:val="005B7CA9"/>
    <w:rsid w:val="005C2DA9"/>
    <w:rsid w:val="005D04D7"/>
    <w:rsid w:val="005D66BF"/>
    <w:rsid w:val="00602029"/>
    <w:rsid w:val="006259A6"/>
    <w:rsid w:val="0069500B"/>
    <w:rsid w:val="006B658E"/>
    <w:rsid w:val="006C433D"/>
    <w:rsid w:val="00715748"/>
    <w:rsid w:val="0072658D"/>
    <w:rsid w:val="007A227B"/>
    <w:rsid w:val="007A4105"/>
    <w:rsid w:val="007B5B20"/>
    <w:rsid w:val="007F0F42"/>
    <w:rsid w:val="007F6183"/>
    <w:rsid w:val="00814E08"/>
    <w:rsid w:val="00832197"/>
    <w:rsid w:val="008333BB"/>
    <w:rsid w:val="00842C59"/>
    <w:rsid w:val="00857DCF"/>
    <w:rsid w:val="008B7FB7"/>
    <w:rsid w:val="0091580E"/>
    <w:rsid w:val="009414CB"/>
    <w:rsid w:val="00962F38"/>
    <w:rsid w:val="00972BC2"/>
    <w:rsid w:val="00976E2E"/>
    <w:rsid w:val="00993924"/>
    <w:rsid w:val="009B0D29"/>
    <w:rsid w:val="00A13F33"/>
    <w:rsid w:val="00A46FC2"/>
    <w:rsid w:val="00A61721"/>
    <w:rsid w:val="00A64A2F"/>
    <w:rsid w:val="00A67BA3"/>
    <w:rsid w:val="00A80061"/>
    <w:rsid w:val="00A97545"/>
    <w:rsid w:val="00AE1003"/>
    <w:rsid w:val="00AF1875"/>
    <w:rsid w:val="00B00CBA"/>
    <w:rsid w:val="00B05ECE"/>
    <w:rsid w:val="00B10068"/>
    <w:rsid w:val="00B147E1"/>
    <w:rsid w:val="00B437E7"/>
    <w:rsid w:val="00B461A5"/>
    <w:rsid w:val="00B52BEA"/>
    <w:rsid w:val="00B83174"/>
    <w:rsid w:val="00BA761D"/>
    <w:rsid w:val="00C06078"/>
    <w:rsid w:val="00C20D97"/>
    <w:rsid w:val="00C35562"/>
    <w:rsid w:val="00C50915"/>
    <w:rsid w:val="00C650B6"/>
    <w:rsid w:val="00C8065C"/>
    <w:rsid w:val="00C8592A"/>
    <w:rsid w:val="00C9537C"/>
    <w:rsid w:val="00CA06C1"/>
    <w:rsid w:val="00CC13AD"/>
    <w:rsid w:val="00CC25F7"/>
    <w:rsid w:val="00CE4D54"/>
    <w:rsid w:val="00D87A92"/>
    <w:rsid w:val="00DB1E72"/>
    <w:rsid w:val="00DB4101"/>
    <w:rsid w:val="00DD3316"/>
    <w:rsid w:val="00DF12F0"/>
    <w:rsid w:val="00DF1D5F"/>
    <w:rsid w:val="00E110BF"/>
    <w:rsid w:val="00E133E6"/>
    <w:rsid w:val="00E2530E"/>
    <w:rsid w:val="00E306ED"/>
    <w:rsid w:val="00E46406"/>
    <w:rsid w:val="00E92EEB"/>
    <w:rsid w:val="00EC78F4"/>
    <w:rsid w:val="00EF11F0"/>
    <w:rsid w:val="00EF2718"/>
    <w:rsid w:val="00F0042E"/>
    <w:rsid w:val="00F01947"/>
    <w:rsid w:val="00F1172E"/>
    <w:rsid w:val="00F27BF5"/>
    <w:rsid w:val="00F64080"/>
    <w:rsid w:val="00F85F28"/>
    <w:rsid w:val="00FA3EA0"/>
    <w:rsid w:val="00FA452B"/>
    <w:rsid w:val="00FA5C7A"/>
    <w:rsid w:val="00FB3EC7"/>
    <w:rsid w:val="00FD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FFF5E"/>
  <w15:chartTrackingRefBased/>
  <w15:docId w15:val="{61A14F63-5AC2-4EA1-81DB-77E4A4FA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B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1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1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1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1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1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1E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1E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1E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1E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1E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1E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1E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1E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1E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1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1E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1E7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B1E7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B1E72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019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DF751550A837458F675DC0EDA2E01A" ma:contentTypeVersion="6" ma:contentTypeDescription="Create a new document." ma:contentTypeScope="" ma:versionID="e0f2efc615ea7c2165c722a97587b1e6">
  <xsd:schema xmlns:xsd="http://www.w3.org/2001/XMLSchema" xmlns:xs="http://www.w3.org/2001/XMLSchema" xmlns:p="http://schemas.microsoft.com/office/2006/metadata/properties" xmlns:ns3="ec621e79-30a5-40a0-82cf-20feb35471e6" targetNamespace="http://schemas.microsoft.com/office/2006/metadata/properties" ma:root="true" ma:fieldsID="05d8eab6b1e18d03b34a363908ce1f25" ns3:_="">
    <xsd:import namespace="ec621e79-30a5-40a0-82cf-20feb35471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21e79-30a5-40a0-82cf-20feb35471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621e79-30a5-40a0-82cf-20feb35471e6" xsi:nil="true"/>
  </documentManagement>
</p:properties>
</file>

<file path=customXml/itemProps1.xml><?xml version="1.0" encoding="utf-8"?>
<ds:datastoreItem xmlns:ds="http://schemas.openxmlformats.org/officeDocument/2006/customXml" ds:itemID="{D38634ED-A13B-42EB-8C25-83F832BA9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21e79-30a5-40a0-82cf-20feb35471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39C188-49DE-4C20-A470-95AD3A676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FCC483-019A-4CF8-81BC-40E41C614B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604714-DD34-4DEA-97A4-9CA15C542CEC}">
  <ds:schemaRefs>
    <ds:schemaRef ds:uri="http://schemas.microsoft.com/office/2006/metadata/properties"/>
    <ds:schemaRef ds:uri="http://schemas.microsoft.com/office/infopath/2007/PartnerControls"/>
    <ds:schemaRef ds:uri="ec621e79-30a5-40a0-82cf-20feb35471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Vegna - christian.vegna@studio.unibo.it</dc:creator>
  <cp:keywords/>
  <dc:description/>
  <cp:lastModifiedBy>Christian Vegna - christian.vegna@studio.unibo.it</cp:lastModifiedBy>
  <cp:revision>5</cp:revision>
  <dcterms:created xsi:type="dcterms:W3CDTF">2026-07-11T15:52:00Z</dcterms:created>
  <dcterms:modified xsi:type="dcterms:W3CDTF">2026-07-14T07:53:00Z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0x010100AADF751550A837458F675DC0EDA2E01A</vt:lpwstr>
  </property>
</Properties>
</file>