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DARKHORSE</w:t>
      </w:r>
    </w:p>
    <w:p>
      <w:pPr>
        <w:jc w:val="center"/>
      </w:pPr>
      <w:r>
        <w:rPr>
          <w:rFonts w:ascii="Arial" w:cs="Arial" w:eastAsia="Arial" w:hAnsi="Arial"/>
          <w:color w:val="2E4057"/>
          <w:sz w:val="40"/>
          <w:szCs w:val="40"/>
        </w:rPr>
        <w:t xml:space="preserve">SAP S/4HANA Development IDE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Security-First Architecture Document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| Confidential | Deloitte Internal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r>
        <w:rPr>
          <w:rFonts w:ascii="Arial" w:cs="Arial" w:eastAsia="Arial" w:hAnsi="Arial"/>
          <w:sz w:val="22"/>
          <w:szCs w:val="22"/>
        </w:rPr>
        <w:t xml:space="preserve">DarkHorse is a VS Code-forked Integrated Development Environment (IDE) purpose-built for SAP S/4HANA RICEFW (Reports, Interfaces, Conversions, Enhancements, Forms, Workflows) development. It bridges the gap between modern developer tooling (AI assistance, Git integration, agent orchestration) and SAP's ABAP development ecosystem.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tool is designed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Eclipse ADT as the primary ABAP development interface for Deloitte consulting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AI-assisted code generation, review, and explanation via a controlled LLM proxy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Enforce security-first principles: no credential exposure, no uncontrolled data egress, no autonomous destructive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Scale from 2-person teams to enterprise deployments with licensing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SAP S/4HANA 1809 Private Cloud and above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Security Architecture (Priority #1)</w:t>
      </w:r>
    </w:p>
    <w:p>
      <w:r>
        <w:rPr>
          <w:rFonts w:ascii="Arial" w:cs="Arial" w:eastAsia="Arial" w:hAnsi="Arial"/>
          <w:sz w:val="22"/>
          <w:szCs w:val="22"/>
        </w:rPr>
        <w:t xml:space="preserve">Security is not a layer added on top of DarkHorse — it is the foundation every component is built upon. The following principles govern every design decision.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Security Principles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Credential Exposure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passwords never stored in plaintext. All credentials encrypted in Windows Credential Manager (DPAPI). Never transmitted in logs or telemetry.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Direct LLM Calls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AI requests route through DarkHorse Local Proxy (MVP) or enterprise API Gateway (CPI). Developer machine never calls Claude/OpenAI directly.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Autonomous Destructive Actions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cannot delete objects, release transports, or modify PRD. All destructive operations require explicit developer confirmation.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Data Isolation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ABAP source code sent to LLM is stripped of client-specific identifiers, system IDs, and business data before transmission. PII scrubbing is mandatory.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SAP action, LLM call, and agent task is logged locally with timestamp, user, action type, and result. Logs are tamper-evident.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DarkHorse connects to SAP using the developer's own credentials. No shared service accounts. No elevated access beyond what Eclipse would use.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LLM-generated code is sandboxed and syntax-checked before it can be inserted into an editor. No direct execution of AI output.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Safety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creation and object assignment require explicit user action. DarkHorse cannot automatically release transports.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Threat Model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0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credential theft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Credential Manager, no plaintext storage, session tokens only in memory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ABAP code exfiltration to 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proxy with PII scrubber, data classification layer, opt-in transmission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via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hardening, output sandboxing, no auto-execution of LLM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agent overreach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permission scoping, human-in-the-loop for all write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Man-in-the-middle on SAP ADT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1.2+ enforced, certificate pinning for SAP 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extension/plugin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allow-listing, no marketplace in MVP, code-signed extensions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data leakage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stored locally, encrypted at rest, no cloud sync of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output code 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validation layer, AST scanning before code insertion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LLM Proxy Architecture</w:t>
      </w:r>
    </w:p>
    <w:p>
      <w:r>
        <w:rPr>
          <w:rFonts w:ascii="Arial" w:cs="Arial" w:eastAsia="Arial" w:hAnsi="Arial"/>
          <w:sz w:val="22"/>
          <w:szCs w:val="22"/>
        </w:rPr>
        <w:t xml:space="preserve">The DarkHorse Local Proxy is a lightweight Node.js process that runs on the developer's machine and acts as the sole gateway for all AI communications.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Listens on localhost only (127.0.0.1) — no external binding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Receives code context from the editor, applies PII scrubber, forwards to LLM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Strips system identifiers (SID, client numbers, hostnames) from all outbound payloads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Enforces rate limiting to prevent accidental runaway API costs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enterprise mode: replaced by Azure API Management or AWS API Gateway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Supports pluggable backends: Claude API, Azure OpenAI, local Ollama instance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Component Architecture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High-Level Component Map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8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DarkHorse Editor Shell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+ VS Code Fork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IDE window, tabs, panels, menus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ABAP Language Extension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Extension API + TextMate Grammar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highlighting, IntelliSense, error markers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Explorer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Webview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view of SAP objects, packages, transports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Dashboard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Webview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creation wizard, task monitor, report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ADT Connector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REST Client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SAP ADT APIs for read/write/syntax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service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list, assign objects to transports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Proxy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Express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AI calls, applies security filters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subprocess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Spins up, manages, and tears down AI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simple-git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Commit, pull, branch, push operations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Vault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DPAPI via keytar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storage of SAP credentials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Scrubber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module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Strips sensitive data from LLM payloads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local SQLite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Tamper-evident local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Config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+ AES-256 encrypted 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preferences, system landscape config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Data Flow: ABAP Code Generation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 types a prompt in DarkHorse AI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Editor captures active file context (program name, object type, surrounding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PII Scrubber strips system IDs, client numbers, hostnames from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Sanitized payload sent to LLM Proxy (localhost)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Proxy appends system prompt with ABAP coding standards and safety guardrails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response received, parsed, and passed through AST syntax validator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suggestion appears in editor as a diff preview — NOT auto-inserted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 reviews, approves, or modifies before accepting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Accepted code is saved locally; developer manually triggers ADT upload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Data Flow: SAP ADT Connection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selects SAP system from system landscape (DEV only for 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Credential Vault retrieves encrypted credentials via Windows DPAPI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ADT Connector authenticates via CSRF token + Basic Auth over HTTPS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 token held in memory only — never written to disk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ADT calls use TLS 1.2 minimum with certificate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 expires and is cleared when DarkHorse closes or user logs out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Data Flow: Agent Task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 opens Agent Dashboard and clicks 'New Agent'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Wizard collects: task description, scope (program/package), permissions,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Orchestrator spawns a subprocess with scoped context and tool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works (reads code, calls LLM, produces report) — NO write permissions by 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completion, Agent drops report into editor notification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 reviews report and grants explicit consent to apply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applies changes as tracked diff, developer reviews final diff and accepts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subprocess is terminated and resources released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Shell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(Electron fork)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Proven, extensible, cross-platform. ABAP extensions already exist in community.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Extensions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Extension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integration, no custom protocol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ABAP Grammar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TextMate Grammar (tm-language)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native syntax highlighting format.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Connectivity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ADT REST APIs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protocol Eclipse uses. Stable, documented, supports all RICEFW operations.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same runtime as VS Code, easy to bundle.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Backends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Azure OpenAI / Ollama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Multi-backend via adapter pattern. Client chooses deployment model.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child_process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 isolation, no Docker required for MVP.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simple-git (npm)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wrapper over git CLI. Reliable, well-maintained.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keytar (npm)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Credential Manager via DPAPI. Industry standard for Electron apps.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better-sqlite3 (npm)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SQLite database. No external dependency. Tamper-evident with row hashing.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Panels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webview panels. Consistent with modern tooling.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&amp; Package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Builder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Windows .exe installer. Code signing ready.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x64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requirements. Linux/Mac added in CPI if needed.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SAP ADT API Integration Details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DarkHorse uses SAP's ADT REST API — the same protocol Eclipse uses internally. This means DarkHorse is not screen-scraping or using unofficial APIs. Below are the key ADT endpoints used.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29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ADT Endpoint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/sap/bc/adt/core/discovery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CSRF token and capability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Packages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/sap/bc/adt/repository/nodestructure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repository 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ABAP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/sap/bc/adt/programs/programs/{name}/source/main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source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ABAP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/sap/bc/adt/programs/programs/{name}/source/main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source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/sap/bc/adt/checkruns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syntax errors with line numbers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/sap/bc/adt/cts/transports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transport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Transports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/sap/bc/adt/cts/transports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transports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to 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/sap/bc/adt/cts/transports/{id}/tasks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object to transport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/sap/bc/adt/activation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ABAP object after save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Objects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/sap/bc/adt/repository/informationsystem/search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name/type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Note: All ADT calls require a valid X-CSRF-Token header. DarkHorse fetches this on session start and refreshes it as needed. Sessions are maintained in memory and cleared on logout.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LLM Strategy &amp; Recommendations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Recommended LLM Configuration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Scenario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Deloitte Internal (MVP)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3.5 Sonnet via Anthropic API + Local Proxy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ABAP code quality. Proxy ensures no direct client data exposure.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Engagement (Cloud)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GPT-4o via client's Azure tenant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stays in client's Azure subscription. Compliant with most enterprise policies.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Engagement (Air-gapped)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CodeLlama 34B or Llama 3 running locally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internet required. Code never leaves the machine. Slower but fully offline.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Security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Azure OpenAI deployment in client's VNet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data residency. SOC2/ISO compliant by Azure's certifications.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LLM Adapter Pattern</w:t>
      </w:r>
    </w:p>
    <w:p>
      <w:r>
        <w:rPr>
          <w:rFonts w:ascii="Arial" w:cs="Arial" w:eastAsia="Arial" w:hAnsi="Arial"/>
          <w:sz w:val="22"/>
          <w:szCs w:val="22"/>
        </w:rPr>
        <w:t xml:space="preserve">The LLM Proxy uses an adapter interface so DarkHorse is not locked to any single AI provider. Switching backends requires only a config change, not a code change.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ILLMAdapter interface: generateCode(prompt, context), reviewCode(code), explainCode(code)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ClaudeAdapter: calls Anthropic API via proxy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AzureOpenAIAdapter: calls Azure OpenAI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OllamaAdapter: calls local Ollama REST API (no proxy needed — already local)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Compliance &amp; Certification Readiness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Controls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DarkHorse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CC6.1 Logical Access, CC6.6 Data Transmission, CC7.2 System Monitoring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vault, TLS enforcement, audit logging, no plaintext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A.9 Access Control, A.10 Cryptography, A.12 Operations 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DPAPI encryption, AES-256 config, tamper-evident audit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Deloitte InfoSec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classification, client data handling, approved tool usage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scrubber, no uncontrolled data egress, proxy-only LLM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(if applicable)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minimization, purpose limitation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code context sent to LLM, no personal data, opt-in telemetry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Certification path: Once MVP is stable and internally validated, engage Deloitte's Information Security team for a risk assessment. Target SOC 2 readiness review before any external client deployment.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2026-05-02T15:53:16.809Z</dcterms:created>
  <dcterms:modified xsi:type="dcterms:W3CDTF">2026-05-02T15:53:16.810Z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