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Arial" w:cs="Arial" w:eastAsia="Arial" w:hAnsi="Arial"/>
        </w:rPr>
        <w:t xml:space="preserve">ZOTC_ENH_BACKORDERS-Backorder-2</w:t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Technical Design Specification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Document Title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ZOTC_ENH_BACKORDERS-Backorder-2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Author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DarkHorse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5/12/2026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FDS Reference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ZOTC_ENH_BACKORDERS-Backorder-2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1. Technical Approach &amp; Design Decisions</w:t>
      </w:r>
    </w:p>
    <w:p>
      <w:r>
        <w:rPr>
          <w:sz w:val="22"/>
          <w:szCs w:val="22"/>
          <w:rFonts w:ascii="Arial" w:cs="Arial" w:eastAsia="Arial" w:hAnsi="Arial"/>
        </w:rPr>
        <w:t xml:space="preserve">PARSE ERROR — Raw LLM response below. Please regenerate.
{
  "sections": {
    "technicalApproach": "This enhancement implements a comprehensive backorder management system using a hybrid approach combining user exits, BAdIs, and custom Z-programs. The core architecture leverages SD document flow through VBFA to maintain traceability between sales orders and delivery documents. A custom backorder monitoring framework will be implemented using ABAP background job processing with class CL_BP_ABAP_JOB for automated inventory monitoring and backorder fulf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2. ABAP Object List</w:t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3. Data Dictionary Objects</w:t>
      </w:r>
    </w:p>
    <w:p>
      <w:r>
        <w:rPr>
          <w:sz w:val="22"/>
          <w:szCs w:val="22"/>
          <w:rFonts w:ascii="Arial" w:cs="Arial" w:eastAsia="Arial" w:hAnsi="Arial"/>
        </w:rPr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4. Program Logic</w:t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5. Interface / Integration Design</w:t>
      </w:r>
    </w:p>
    <w:p>
      <w:r>
        <w:rPr>
          <w:sz w:val="22"/>
          <w:szCs w:val="22"/>
          <w:rFonts w:ascii="Arial" w:cs="Arial" w:eastAsia="Arial" w:hAnsi="Arial"/>
        </w:rPr>
        <w:t xml:space="preserve">N/A</w:t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6. Database Design &amp; Performance</w:t>
      </w:r>
    </w:p>
    <w:p>
      <w:r>
        <w:rPr>
          <w:sz w:val="22"/>
          <w:szCs w:val="22"/>
          <w:rFonts w:ascii="Arial" w:cs="Arial" w:eastAsia="Arial" w:hAnsi="Arial"/>
        </w:rPr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7. Error Handling &amp; Logging</w:t>
      </w:r>
    </w:p>
    <w:p>
      <w:r>
        <w:rPr>
          <w:sz w:val="22"/>
          <w:szCs w:val="22"/>
          <w:rFonts w:ascii="Arial" w:cs="Arial" w:eastAsia="Arial" w:hAnsi="Arial"/>
        </w:rPr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8. Transport Strategy</w:t>
      </w:r>
    </w:p>
    <w:p>
      <w:r>
        <w:rPr>
          <w:sz w:val="22"/>
          <w:szCs w:val="22"/>
          <w:rFonts w:ascii="Arial" w:cs="Arial" w:eastAsia="Arial" w:hAnsi="Arial"/>
        </w:rPr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9. Unit Test Scenarios</w:t>
      </w:r>
    </w:p>
    <w:p>
      <w:r>
        <w:t xml:space="preserve"/>
      </w:r>
    </w:p>
    <w:p>
      <w:pPr>
        <w:pStyle w:val="Heading2"/>
      </w:pPr>
      <w:r>
        <w:rPr>
          <w:b/>
          <w:bCs/>
          <w:rFonts w:ascii="Arial" w:cs="Arial" w:eastAsia="Arial" w:hAnsi="Arial"/>
        </w:rPr>
        <w:t xml:space="preserve">10. Open Items / Assumptions /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  <w:rFonts w:ascii="Arial" w:cs="Arial" w:eastAsia="Arial" w:hAnsi="Arial"/>
        </w:rPr>
        <w:t xml:space="preserve">NOTE: TDS parsing failed — regenerate to retry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200"/>
    </w:pPr>
    <w:rPr>
      <w:b/>
      <w:bCs/>
      <w:color w:val="1A1A2E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60"/>
    </w:pPr>
    <w:rPr>
      <w:b/>
      <w:bCs/>
      <w:color w:val="2E4057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pPr>
      <w:spacing w:before="180" w:after="120"/>
    </w:pPr>
    <w:rPr>
      <w:b/>
      <w:bCs/>
      <w:color w:val="3D5A80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2026-05-12T20:01:44.643Z</dcterms:created>
  <dcterms:modified xsi:type="dcterms:W3CDTF">2026-05-12T20:01:44.643Z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