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480"/>
        <w:jc w:val="center"/>
      </w:pPr>
      <w:r>
        <w:rPr>
          <w:rFonts w:ascii="Times New Roman" w:cs="Times New Roman" w:eastAsia="Times New Roman" w:hAnsi="Times New Roman"/>
          <w:b/>
          <w:bCs/>
          <w:i w:val="false"/>
          <w:iCs w:val="false"/>
          <w:sz w:val="28"/>
          <w:szCs w:val="28"/>
        </w:rPr>
        <w:t xml:space="preserve">VEHICLE-MADRE: A Projection-Governed Framework for Sustainable Distributed AI Architecture</w:t>
      </w:r>
    </w:p>
    <w:p>
      <w:pPr>
        <w:spacing w:after="0" w:before="0"/>
      </w:pPr>
      <w:r>
        <w:rPr>
          <w:rFonts w:ascii="Times New Roman" w:cs="Times New Roman" w:eastAsia="Times New Roman" w:hAnsi="Times New Roman"/>
        </w:rPr>
        <w:t xml:space="preserve"/>
      </w:r>
    </w:p>
    <w:p>
      <w:pPr>
        <w:spacing w:after="60" w:before="60" w:line="480"/>
        <w:jc w:val="center"/>
      </w:pPr>
      <w:r>
        <w:rPr>
          <w:rFonts w:ascii="Times New Roman" w:cs="Times New Roman" w:eastAsia="Times New Roman" w:hAnsi="Times New Roman"/>
          <w:b/>
          <w:bCs/>
          <w:i w:val="false"/>
          <w:iCs w:val="false"/>
          <w:sz w:val="24"/>
          <w:szCs w:val="24"/>
        </w:rPr>
        <w:t xml:space="preserve">Roberto Borda Milan</w:t>
      </w:r>
    </w:p>
    <w:p>
      <w:pPr>
        <w:spacing w:after="60" w:before="60" w:line="480"/>
        <w:jc w:val="center"/>
      </w:pPr>
      <w:r>
        <w:rPr>
          <w:rFonts w:ascii="Times New Roman" w:cs="Times New Roman" w:eastAsia="Times New Roman" w:hAnsi="Times New Roman"/>
          <w:b w:val="false"/>
          <w:bCs w:val="false"/>
          <w:i/>
          <w:iCs/>
          <w:sz w:val="24"/>
          <w:szCs w:val="24"/>
        </w:rPr>
        <w:t xml:space="preserve">VEHICLE Systems Lab / AIMTG — International Agency for Global Tension Measurement</w:t>
      </w:r>
    </w:p>
    <w:p>
      <w:pPr>
        <w:spacing w:after="60" w:before="60" w:line="480"/>
        <w:jc w:val="center"/>
      </w:pPr>
      <w:r>
        <w:rPr>
          <w:rFonts w:ascii="Times New Roman" w:cs="Times New Roman" w:eastAsia="Times New Roman" w:hAnsi="Times New Roman"/>
          <w:b w:val="false"/>
          <w:bCs w:val="false"/>
          <w:i w:val="false"/>
          <w:iCs w:val="false"/>
          <w:sz w:val="24"/>
          <w:szCs w:val="24"/>
        </w:rPr>
        <w:t xml:space="preserve">ORCID: 0009-0009-9047-1036  |  vehiclesystemslab.com</w:t>
      </w:r>
    </w:p>
    <w:p>
      <w:pPr>
        <w:spacing w:after="60" w:before="60" w:line="480"/>
        <w:jc w:val="center"/>
      </w:pPr>
      <w:r>
        <w:rPr>
          <w:rFonts w:ascii="Times New Roman" w:cs="Times New Roman" w:eastAsia="Times New Roman" w:hAnsi="Times New Roman"/>
          <w:b w:val="false"/>
          <w:bCs w:val="false"/>
          <w:i/>
          <w:iCs/>
          <w:sz w:val="24"/>
          <w:szCs w:val="24"/>
        </w:rPr>
        <w:t xml:space="preserve">Submitted to: Science of the Total Environment (Elsevier) — Working Draft v0.4 — May 2026</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60" w:before="60" w:line="480"/>
        <w:jc w:val="both"/>
      </w:pPr>
      <w:r>
        <w:rPr>
          <w:rFonts w:ascii="Times New Roman" w:cs="Times New Roman" w:eastAsia="Times New Roman" w:hAnsi="Times New Roman"/>
          <w:b/>
          <w:bCs/>
          <w:i w:val="false"/>
          <w:iCs w:val="false"/>
          <w:sz w:val="24"/>
          <w:szCs w:val="24"/>
        </w:rPr>
        <w:t xml:space="preserve">Highlights</w:t>
      </w:r>
    </w:p>
    <w:p>
      <w:pPr>
        <w:spacing w:after="60" w:before="60"/>
        <w:ind w:left="360"/>
      </w:pPr>
      <w:r>
        <w:rPr>
          <w:rFonts w:ascii="Times New Roman" w:cs="Times New Roman" w:eastAsia="Times New Roman" w:hAnsi="Times New Roman"/>
          <w:b/>
          <w:bCs/>
          <w:sz w:val="22"/>
          <w:szCs w:val="22"/>
        </w:rPr>
        <w:t xml:space="preserve">• MADRE architecture reduces AI inference energy ~70% vs. cloud-only</w:t>
      </w:r>
    </w:p>
    <w:p>
      <w:pPr>
        <w:spacing w:after="60" w:before="60"/>
        <w:ind w:left="360"/>
      </w:pPr>
      <w:r>
        <w:rPr>
          <w:rFonts w:ascii="Times New Roman" w:cs="Times New Roman" w:eastAsia="Times New Roman" w:hAnsi="Times New Roman"/>
          <w:b/>
          <w:bCs/>
          <w:sz w:val="22"/>
          <w:szCs w:val="22"/>
        </w:rPr>
        <w:t xml:space="preserve">• Water footprint cut ~70% per user/day under 70% local governed inference</w:t>
      </w:r>
    </w:p>
    <w:p>
      <w:pPr>
        <w:spacing w:after="60" w:before="60"/>
        <w:ind w:left="360"/>
      </w:pPr>
      <w:r>
        <w:rPr>
          <w:rFonts w:ascii="Times New Roman" w:cs="Times New Roman" w:eastAsia="Times New Roman" w:hAnsi="Times New Roman"/>
          <w:b/>
          <w:bCs/>
          <w:sz w:val="22"/>
          <w:szCs w:val="22"/>
        </w:rPr>
        <w:t xml:space="preserve">• VEHICLE E.I.A.R.(V) framework governs personal cognitive artifact transitions</w:t>
      </w:r>
    </w:p>
    <w:p>
      <w:pPr>
        <w:spacing w:after="60" w:before="60"/>
        <w:ind w:left="360"/>
      </w:pPr>
      <w:r>
        <w:rPr>
          <w:rFonts w:ascii="Times New Roman" w:cs="Times New Roman" w:eastAsia="Times New Roman" w:hAnsi="Times New Roman"/>
          <w:b/>
          <w:bCs/>
          <w:sz w:val="22"/>
          <w:szCs w:val="22"/>
        </w:rPr>
        <w:t xml:space="preserve">• 88.7% of queries resolvable locally, preserving M1 sovereign resolution</w:t>
      </w:r>
    </w:p>
    <w:p>
      <w:pPr>
        <w:spacing w:after="60" w:before="60"/>
        <w:ind w:left="360"/>
      </w:pPr>
      <w:r>
        <w:rPr>
          <w:rFonts w:ascii="Times New Roman" w:cs="Times New Roman" w:eastAsia="Times New Roman" w:hAnsi="Times New Roman"/>
          <w:b/>
          <w:bCs/>
          <w:sz w:val="22"/>
          <w:szCs w:val="22"/>
        </w:rPr>
        <w:t xml:space="preserve">• Privacy-by-default architecture returns cognitive sovereignty to the individual</w:t>
      </w:r>
    </w:p>
    <w:p>
      <w:pPr>
        <w:spacing w:after="0" w:before="0"/>
      </w:pPr>
      <w:r>
        <w:rPr>
          <w:rFonts w:ascii="Times New Roman" w:cs="Times New Roman" w:eastAsia="Times New Roman" w:hAnsi="Times New Roman"/>
        </w:rPr>
        <w:t xml:space="preserve"/>
      </w:r>
    </w:p>
    <w:p>
      <w:pPr>
        <w:spacing w:after="60" w:before="60" w:line="480"/>
        <w:jc w:val="both"/>
      </w:pPr>
      <w:r>
        <w:rPr>
          <w:rFonts w:ascii="Times New Roman" w:cs="Times New Roman" w:eastAsia="Times New Roman" w:hAnsi="Times New Roman"/>
          <w:b/>
          <w:bCs/>
          <w:i w:val="false"/>
          <w:iCs w:val="false"/>
          <w:sz w:val="24"/>
          <w:szCs w:val="24"/>
        </w:rPr>
        <w:t xml:space="preserve">Abstract</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The centralization of artificial intelligence (AI) inference in large cloud data centers produces compounding environmental costs: energy demand from AI-specific servers in the United States reached 53–76 TWh in 2024, with global projections exceeding 945 TWh by 2030, alongside freshwater withdrawals of billions of liters per facility annually. This study introduces VEHICLE-MADRE, a personal intelligence architecture and cognitive artifact of the individual formally grounded in the VEHICLE E.I.A.R.(V) framework [1–3]. MADRE is defined primarily as a personal governance device: a locally governed layer in which memory, context, permissions, lineage, and reasoning boundaries remain under the user's control before any external cloud interaction occurs. The environmental claim follows from this personal-governance premise. The central hypothesis is: migrating 60–80% of AI inference from cloud to locally-governed personal agents reduces energy per user by 40–80% and water footprint by 35–80% (Wh/user/day and mL/user/day), while maintaining sovereign local resolution ≥ 88.7% (M1), responsible user satisfaction (M2), and active knowledge domain coverage (M3). A first-order model parameterized with empirical data yields central estimates of −69.8% energy and −69.6% water reduction (f_local = 0.70; E_cloud = 2.9 Wh [4]; WI = 3.69 L/kWh [5]; M1 floor from [6]). Three deployment scenarios are modeled as attractor regimes in the VEHICLE taxonomy A0–A6. Aggregate savings across 1 billion users: ~40 GWh/day energy, ~149,000 m³/day water. Its central contribution is a personal-governance model in which sustainability emerges from returning memory, context, and routing authority to the individual.</w:t>
      </w:r>
    </w:p>
    <w:p>
      <w:pPr>
        <w:spacing w:after="0" w:before="0"/>
      </w:pPr>
      <w:r>
        <w:rPr>
          <w:rFonts w:ascii="Times New Roman" w:cs="Times New Roman" w:eastAsia="Times New Roman" w:hAnsi="Times New Roman"/>
        </w:rPr>
        <w:t xml:space="preserve"/>
      </w:r>
    </w:p>
    <w:p>
      <w:pPr>
        <w:spacing w:after="60" w:before="60" w:line="480"/>
        <w:jc w:val="both"/>
      </w:pPr>
      <w:r>
        <w:rPr>
          <w:rFonts w:ascii="Times New Roman" w:cs="Times New Roman" w:eastAsia="Times New Roman" w:hAnsi="Times New Roman"/>
          <w:b w:val="false"/>
          <w:bCs w:val="false"/>
          <w:i/>
          <w:iCs/>
          <w:sz w:val="24"/>
          <w:szCs w:val="24"/>
        </w:rPr>
        <w:t xml:space="preserve">Keywords: distributed AI; edge inference; personal cognitive artifact; VEHICLE framework; E.I.A.R.(V); energy efficiency; water footprint; cognitive sovereignty; sustainable computing; attractor regimes</w:t>
      </w:r>
    </w:p>
    <w:p>
      <w:pPr>
        <w:spacing w:after="0" w:before="0"/>
      </w:pPr>
      <w:r>
        <w:rPr>
          <w:rFonts w:ascii="Times New Roman" w:cs="Times New Roman" w:eastAsia="Times New Roman" w:hAnsi="Times New Roman"/>
        </w:rPr>
        <w:t xml:space="preserve"/>
      </w:r>
    </w:p>
    <w:p>
      <w:pPr>
        <w:spacing w:after="60" w:before="60" w:line="480"/>
        <w:jc w:val="both"/>
      </w:pPr>
      <w:r>
        <w:rPr>
          <w:rFonts w:ascii="Times New Roman" w:cs="Times New Roman" w:eastAsia="Times New Roman" w:hAnsi="Times New Roman"/>
          <w:b/>
          <w:bCs/>
          <w:i w:val="false"/>
          <w:iCs w:val="false"/>
          <w:sz w:val="24"/>
          <w:szCs w:val="24"/>
        </w:rPr>
        <w:t xml:space="preserve">CRediT Author Statement</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Roberto Borda Milan: Conceptualization, Methodology, Formal analysis, Software, Writing — original draft, Writing — review &amp; editing, Visualization, Project administration.</w:t>
      </w:r>
    </w:p>
    <w:p>
      <w:pPr>
        <w:spacing w:after="0" w:before="0"/>
      </w:pPr>
      <w:r>
        <w:rPr>
          <w:rFonts w:ascii="Times New Roman" w:cs="Times New Roman" w:eastAsia="Times New Roman" w:hAnsi="Times New Roman"/>
        </w:rPr>
        <w:t xml:space="preserve"/>
      </w:r>
    </w:p>
    <w:p>
      <w:pPr>
        <w:spacing w:after="60" w:before="60" w:line="480"/>
        <w:jc w:val="both"/>
      </w:pPr>
      <w:r>
        <w:rPr>
          <w:rFonts w:ascii="Times New Roman" w:cs="Times New Roman" w:eastAsia="Times New Roman" w:hAnsi="Times New Roman"/>
          <w:b/>
          <w:bCs/>
          <w:i w:val="false"/>
          <w:iCs w:val="false"/>
          <w:sz w:val="24"/>
          <w:szCs w:val="24"/>
        </w:rPr>
        <w:t xml:space="preserve">Declaration of Competing Interests</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The author declares no competing interests. VEHICLE Systems Lab / AIMTG is an independent research institution. No external funding was received for this work.</w:t>
      </w:r>
    </w:p>
    <w:p>
      <w:pPr>
        <w:spacing w:after="0" w:before="0"/>
      </w:pPr>
      <w:r>
        <w:rPr>
          <w:rFonts w:ascii="Times New Roman" w:cs="Times New Roman" w:eastAsia="Times New Roman" w:hAnsi="Times New Roman"/>
        </w:rPr>
        <w:t xml:space="preserve"/>
      </w:r>
    </w:p>
    <w:p>
      <w:pPr>
        <w:spacing w:after="60" w:before="60" w:line="480"/>
        <w:jc w:val="both"/>
      </w:pPr>
      <w:r>
        <w:rPr>
          <w:rFonts w:ascii="Times New Roman" w:cs="Times New Roman" w:eastAsia="Times New Roman" w:hAnsi="Times New Roman"/>
          <w:b/>
          <w:bCs/>
          <w:i w:val="false"/>
          <w:iCs w:val="false"/>
          <w:sz w:val="24"/>
          <w:szCs w:val="24"/>
        </w:rPr>
        <w:t xml:space="preserve">Data and Code Availability</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All quantitative results are fully reproducible. Python package vehicle_madre, reproducibility notebook, and 18-test suite available at: https://github.com/vehiclesystemslab/vehicle-madre. Theoretical foundations: DOI 10.5281/zenodo.19807591, 10.5281/zenodo.19932124, 10.5281/zenodo.19981738.</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1. Introduction</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Artificial intelligence has become foundational infrastructure. As of December 2024, approximately 1 billion queries per day are processed by large generative AI systems [7]. Each centralized cloud inference query consumes approximately 2.9 Wh of electricity — nearly ten times the energy of a conventional web search [4] — and between 5 and 25 milliliters of water [5,8]. The IEA projects global data center consumption will approximately double to ~945 TWh by 2030 [9]. A single 100 MW hyperscale facility consumes approximately 2.5 billion liters of freshwater annually [5].</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A critical and underreported dimension of this cost is the information noise cost of permanent connectivity: GPU clusters remain at high power even when visible activity is near zero, with execution-idle states accounting for 19.7% of in-execution time and 10.7% of cluster energy [10]. Hyperscale data centers operate at only 30–50% average utilization [11]. A substantial fraction of every energy and water cost is spent maintaining permanent readiness that users did not request and cannot disable.</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This paper proposes a demand-side and sovereignty-side intervention: MADRE (Memory-Augmented Distributed Reasoning Agent for Ecological sustainability) — a personal intelligence architecture and cognitive artifact of the individual, formally governed by the VEHICLE E.I.A.R.(V) framework [1–3]. MADRE is not a model, app, or agent. It is the central architectural intelligence of VEHICLE Systems Lab — a mother reasoning architecture that organizes memory, permission, lineage, and coherence, allowing specialized systems to grow without losing traceability, human control, or ethical boundaries. Its environmental benefits emerge as a consequence of returning cognitive governance to the individual: a personal governance device connects to the data center for the minutes required to acquire what local knowledge cannot provide — precisely as a smartphone synchronizes selectively rather than maintaining permanent full-bandwidth transmission.</w:t>
      </w:r>
    </w:p>
    <w:p>
      <w:pPr>
        <w:spacing w:after="0" w:before="0"/>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2. Background and Empirical Evidence</w:t>
      </w:r>
    </w:p>
    <w:p>
      <w:pPr>
        <w:pStyle w:val="Heading2"/>
        <w:spacing w:after="80" w:before="180"/>
      </w:pPr>
      <w:r>
        <w:rPr>
          <w:rFonts w:ascii="Times New Roman" w:cs="Times New Roman" w:eastAsia="Times New Roman" w:hAnsi="Times New Roman"/>
          <w:b/>
          <w:bCs/>
          <w:sz w:val="26"/>
          <w:szCs w:val="26"/>
        </w:rPr>
        <w:t xml:space="preserve">2.1 Terminological note</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Water withdrawal (total water extracted) is distinguished from water consumption (water not returned, primarily through evaporation). The 3.69 L/kWh factor [5] combines both.</w:t>
      </w:r>
    </w:p>
    <w:p>
      <w:pPr>
        <w:pStyle w:val="Heading2"/>
        <w:spacing w:after="80" w:before="180"/>
      </w:pPr>
      <w:r>
        <w:rPr>
          <w:rFonts w:ascii="Times New Roman" w:cs="Times New Roman" w:eastAsia="Times New Roman" w:hAnsi="Times New Roman"/>
          <w:b/>
          <w:bCs/>
          <w:sz w:val="26"/>
          <w:szCs w:val="26"/>
        </w:rPr>
        <w:t xml:space="preserve">2.2 Energy benchmarks</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Strubell et al. [12] established that training a single large NLP model emits carbon equivalent to five automobiles over their lifetime. NVIDIA H100 GPUs operate at ~700 W under inference load. 8-GPU nodes draw 10–12 kW total [13]. Data center PUE: 1.2–1.6. IEA [9] projects US data center per-capita consumption growing from ~540 kWh (2024) to &gt;1,200 kWh by 2030. A single ChatGPT query: ~2.9 Wh [4]. GPU execution-idle states: 19.7% of time, 10.7% of energy [10].</w:t>
      </w:r>
    </w:p>
    <w:p>
      <w:pPr>
        <w:pStyle w:val="Heading2"/>
        <w:spacing w:after="80" w:before="180"/>
      </w:pPr>
      <w:r>
        <w:rPr>
          <w:rFonts w:ascii="Times New Roman" w:cs="Times New Roman" w:eastAsia="Times New Roman" w:hAnsi="Times New Roman"/>
          <w:b/>
          <w:bCs/>
          <w:sz w:val="26"/>
          <w:szCs w:val="26"/>
        </w:rPr>
        <w:t xml:space="preserve">2.3 Water benchmarks</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A 100 MW hyperscale data center: ~2.5 billion liters annually [5]. Google global withdrawal: 29 billion liters in 2023 [14]. AI-related freshwater withdrawals projected to reach 4.2–6.6 trillion liters annually by 2027 [8]. EU Energy Efficiency Directive 2023/1791 now mandates WUE reporting for facilities above 500 kW.</w:t>
      </w:r>
    </w:p>
    <w:p>
      <w:pPr>
        <w:pStyle w:val="Heading2"/>
        <w:spacing w:after="80" w:before="180"/>
      </w:pPr>
      <w:r>
        <w:rPr>
          <w:rFonts w:ascii="Times New Roman" w:cs="Times New Roman" w:eastAsia="Times New Roman" w:hAnsi="Times New Roman"/>
          <w:b/>
          <w:bCs/>
          <w:sz w:val="26"/>
          <w:szCs w:val="26"/>
        </w:rPr>
        <w:t xml:space="preserve">2.4 Edge inference opportunity</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80–90% of AI workloads are inference [15]. Wan et al. [6] found that local models correctly resolve 88.7% of real-world single-turn queries; local coverage grew from 23.2% to 71.3% between 2023 and 2025. Alamouti [16] demonstrated hybrid edge-cloud architectures achieve 62–75% energy savings for agentic workloads.</w:t>
      </w:r>
    </w:p>
    <w:p>
      <w:pPr>
        <w:spacing w:after="0" w:before="0"/>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3. Theoretical Framework</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The VEHICLE framework [1–3] models AI infrastructure as a relational graph G_AI with tension functional T(G) = T_ext + T_int. External tension T_ext captures unnecessary data movement; internal tension T_int captures structural incoherence of a user node unable to resolve routine queries locally. Scenario A (cloud-only) → Attractor A1 (maximal tension). Scenario B (MADRE hybrid) → Attractor A4–A5 (governed, reduced tension). Scenario C (distributed renewable) → Attractor A6 (minimal tension). The mitosis mechanism triggers when T_int(vᵢ) ≥ τ_sat: the node bifurcates into parent-child pair with lineage inheritance, enabling coherent knowledge growth.</w:t>
      </w:r>
    </w:p>
    <w:p>
      <w:pPr>
        <w:spacing w:after="0" w:before="0"/>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4. MADRE Architecture and Evaluation</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MADRE governs the conditions under which intelligence is allowed to remember, reason, expand, share, or act. A conventional AI answers. MADRE governs the architecture behind the answer. This defines MADRE as a personal governance device and cognitive artifact of the individual: its primary function is to govern the flow, retention, and externalization of personal information. Energy and water savings are the systemic consequence of that governance.</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MADRE operates through eight layers: (1) Sensory/Input; (2) Safety and Boundary; (3) Intent and Domain; (4) Memory — local, encrypted, resettable; (5) Lineage and Traceability; (6) Reasoning — local-first; (7) Governance/Projection — E.I.A.R.(V) + Π; (8) Output. These layers make personal governance prior to external computation.</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Evaluation hierarchy: M1 (primary) — sovereign local resolution rate ≥ 88.7%, defined as correct resolution without unnecessary transfer of personal memory or context; M2 (secondary) — responsible user satisfaction (wellbeing, control, trust); M3 (tertiary) — active knowledge domain coverage, evaluated only after M1 and M2 are met.</w:t>
      </w:r>
    </w:p>
    <w:p>
      <w:pPr>
        <w:spacing w:after="0" w:before="0"/>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5. Scenario Modeling and Results</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Model parameters: Q = 20 queries/user/day; E_cloud = 2.9 Wh; E_local = 0.01 Wh (1.5W × 24s); WI = 3.69 L/kWh; f_local = 0.70 (central).</w:t>
      </w:r>
    </w:p>
    <w:p>
      <w:pPr>
        <w:spacing w:after="0" w:before="0"/>
      </w:pPr>
      <w:r>
        <w:rPr>
          <w:rFonts w:ascii="Times New Roman" w:cs="Times New Roman" w:eastAsia="Times New Roman" w:hAnsi="Times New Roman"/>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sz="4"/>
              <w:left w:val="single" w:sz="4"/>
              <w:bottom w:val="single" w:sz="4"/>
              <w:right w:val="single" w:sz="4"/>
            </w:tcBorders>
            <w:shd w:fill="000000"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Metric</w:t>
            </w:r>
          </w:p>
        </w:tc>
        <w:tc>
          <w:tcPr>
            <w:tcBorders>
              <w:top w:val="single" w:sz="4"/>
              <w:left w:val="single" w:sz="4"/>
              <w:bottom w:val="single" w:sz="4"/>
              <w:right w:val="single" w:sz="4"/>
            </w:tcBorders>
            <w:shd w:fill="000000"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Scenario A (Cloud-only)</w:t>
            </w:r>
          </w:p>
        </w:tc>
        <w:tc>
          <w:tcPr>
            <w:tcBorders>
              <w:top w:val="single" w:sz="4"/>
              <w:left w:val="single" w:sz="4"/>
              <w:bottom w:val="single" w:sz="4"/>
              <w:right w:val="single" w:sz="4"/>
            </w:tcBorders>
            <w:shd w:fill="000000"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Scenario B (MADRE)</w:t>
            </w:r>
          </w:p>
        </w:tc>
        <w:tc>
          <w:tcPr>
            <w:tcBorders>
              <w:top w:val="single" w:sz="4"/>
              <w:left w:val="single" w:sz="4"/>
              <w:bottom w:val="single" w:sz="4"/>
              <w:right w:val="single" w:sz="4"/>
            </w:tcBorders>
            <w:shd w:fill="000000"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Reduction</w:t>
            </w:r>
          </w:p>
        </w:tc>
      </w:tr>
      <w:tr>
        <w:trPr>
          <w:tblHeader w:val="false"/>
        </w:trPr>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Energy (Wh/user/day)</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58.0</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17.5</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−69.8%</w:t>
            </w:r>
          </w:p>
        </w:tc>
      </w:tr>
      <w:tr>
        <w:trPr>
          <w:tblHeader w:val="false"/>
        </w:trPr>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Water (mL/user/day)</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214.0</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64.7</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−69.6%</w:t>
            </w:r>
          </w:p>
        </w:tc>
      </w:tr>
      <w:tr>
        <w:trPr>
          <w:tblHeader w:val="false"/>
        </w:trPr>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f_local</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0%</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70%</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w:t>
            </w:r>
          </w:p>
        </w:tc>
      </w:tr>
      <w:tr>
        <w:trPr>
          <w:tblHeader w:val="false"/>
        </w:trPr>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M1 sovereign resolution</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N/A</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≥88.7%</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w:t>
            </w:r>
          </w:p>
        </w:tc>
      </w:tr>
      <w:tr>
        <w:trPr>
          <w:tblHeader w:val="false"/>
        </w:trPr>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VEHICLE attractor</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A1 (rigid)</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A4–A5 (governed)</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w:t>
            </w:r>
          </w:p>
        </w:tc>
      </w:tr>
      <w:tr>
        <w:trPr>
          <w:tblHeader w:val="false"/>
        </w:trPr>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T_total (norm.)</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2.000</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0.679</w:t>
            </w:r>
          </w:p>
        </w:tc>
        <w:tc>
          <w:tcPr>
            <w:tcBorders>
              <w:top w:val="single" w:sz="4"/>
              <w:left w:val="single" w:sz="4"/>
              <w:bottom w:val="single" w:sz="4"/>
              <w:right w:val="single" w:sz="4"/>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20"/>
                <w:szCs w:val="20"/>
              </w:rPr>
              <w:t xml:space="preserve">−66.1%</w:t>
            </w:r>
          </w:p>
        </w:tc>
      </w:tr>
    </w:tbl>
    <w:p>
      <w:pPr>
        <w:spacing w:after="0" w:before="0"/>
      </w:pPr>
      <w:r>
        <w:rPr>
          <w:rFonts w:ascii="Times New Roman" w:cs="Times New Roman" w:eastAsia="Times New Roman" w:hAnsi="Times New Roman"/>
        </w:rPr>
        <w:t xml:space="preserve"/>
      </w:r>
    </w:p>
    <w:p>
      <w:pPr>
        <w:spacing w:after="60" w:before="60" w:line="480"/>
        <w:jc w:val="both"/>
      </w:pPr>
      <w:r>
        <w:rPr>
          <w:rFonts w:ascii="Times New Roman" w:cs="Times New Roman" w:eastAsia="Times New Roman" w:hAnsi="Times New Roman"/>
          <w:b w:val="false"/>
          <w:bCs w:val="false"/>
          <w:i/>
          <w:iCs/>
          <w:sz w:val="20"/>
          <w:szCs w:val="20"/>
        </w:rPr>
        <w:t xml:space="preserve">Table 1. Central scenario comparison. f_local = 0.60–0.80 yields 59.8–79.7% energy reduction, fully within hypothesis range of 40–80% and consistent with Alamouti [16] (62–75%). Aggregated across 1 billion users: ~40 GWh/day energy saved, ~149,000 m³/day water saved — equivalent to the annual drinking water supply of ~270,000 people. Full sensitivity analysis in Supplementary Tables S1–S3.</w:t>
      </w:r>
    </w:p>
    <w:p>
      <w:pPr>
        <w:spacing w:after="0" w:before="0"/>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6. Discussion</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The central finding — ~70% reduction in per-user daily energy and water — is consistent with independent evidence: Alamouti [16] reports 62–75% for hybrid agentic workloads; Wan et al. [6] demonstrate the 88.7% M1 floor with current models. The absolute global impact is substantial. MADRE eliminates the information noise cost of permanent connectivity: the execution-idle overhead documented by Lei et al. [10] (10.7% of cluster energy) is structurally avoided because MADRE connects selectively, not permanently.</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In social terms, MADRE functions as a personal cognitive artifact: it strengthens the individual's capacity to retain practical authority over their own intelligence layer (Ostrom [17]; Hess &amp; Ostrom [18]). Politically, the VEHICLE tension framework formalizes how nations routing cognitive work through foreign-controlled infrastructure exhibit high T_ext and structural fragility (Winner [19]). Economically, MADRE reduces demand-side costs for users and infrastructure providers simultaneously — without sacrificing AI capabilities.</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Limitations: (1) Scope 3 LCA absent (estimated 5–8% of operational savings); (2) M1 validated on single-turn queries, not MADRE-specific multi-turn; (3) M2 instrument pending; (4) water intensity globally averaged; (5) training excluded.</w:t>
      </w:r>
    </w:p>
    <w:p>
      <w:pPr>
        <w:spacing w:after="0" w:before="0"/>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7. Conclusion</w:t>
      </w:r>
    </w:p>
    <w:p>
      <w:pPr>
        <w:spacing w:after="60" w:before="60" w:line="480"/>
        <w:jc w:val="both"/>
      </w:pPr>
      <w:r>
        <w:rPr>
          <w:rFonts w:ascii="Times New Roman" w:cs="Times New Roman" w:eastAsia="Times New Roman" w:hAnsi="Times New Roman"/>
          <w:b w:val="false"/>
          <w:bCs w:val="false"/>
          <w:i w:val="false"/>
          <w:iCs w:val="false"/>
          <w:sz w:val="24"/>
          <w:szCs w:val="24"/>
        </w:rPr>
        <w:t xml:space="preserve">VEHICLE-MADRE demonstrates that the transition from centralized cloud inference (Attractor A1) to projection-governed personal AI (Attractor A4–A5) reduces per-user energy and water consumption by approximately 70%, while maintaining ≥88.7% sovereign local resolution. Intelligence does not need to be centralized to be powerful. It needs to be governed. MADRE is presented here in its scientific form; as a formally governed personal architecture and cognitive artifact of the individual, it is designed to reach people — to become the layer through which individuals exercise sovereignty over their own intelligence, their own data, and their own cognitive future.</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pStyle w:val="Heading1"/>
        <w:spacing w:after="120" w:before="240"/>
      </w:pPr>
      <w:r>
        <w:rPr>
          <w:rFonts w:ascii="Times New Roman" w:cs="Times New Roman" w:eastAsia="Times New Roman" w:hAnsi="Times New Roman"/>
          <w:b/>
          <w:bCs/>
          <w:sz w:val="28"/>
          <w:szCs w:val="28"/>
        </w:rPr>
        <w:t xml:space="preserve">References</w:t>
      </w:r>
    </w:p>
    <w:p>
      <w:pPr>
        <w:spacing w:after="40" w:before="40"/>
      </w:pPr>
      <w:r>
        <w:rPr>
          <w:rFonts w:ascii="Times New Roman" w:cs="Times New Roman" w:eastAsia="Times New Roman" w:hAnsi="Times New Roman"/>
          <w:sz w:val="22"/>
          <w:szCs w:val="22"/>
        </w:rPr>
        <w:t xml:space="preserve">[1] Borda Milan, R. (2026). VEHICLE 3D with E.I.A.R.(V). Zenodo. https://doi.org/10.5281/zenodo.19807591</w:t>
      </w:r>
    </w:p>
    <w:p>
      <w:pPr>
        <w:spacing w:after="40" w:before="40"/>
      </w:pPr>
      <w:r>
        <w:rPr>
          <w:rFonts w:ascii="Times New Roman" w:cs="Times New Roman" w:eastAsia="Times New Roman" w:hAnsi="Times New Roman"/>
          <w:sz w:val="22"/>
          <w:szCs w:val="22"/>
        </w:rPr>
        <w:t xml:space="preserve">[2] Borda Milan, R. (2026). The Borda Milan Pyramid v1.0. Zenodo. https://doi.org/10.5281/zenodo.19932124</w:t>
      </w:r>
    </w:p>
    <w:p>
      <w:pPr>
        <w:spacing w:after="40" w:before="40"/>
      </w:pPr>
      <w:r>
        <w:rPr>
          <w:rFonts w:ascii="Times New Roman" w:cs="Times New Roman" w:eastAsia="Times New Roman" w:hAnsi="Times New Roman"/>
          <w:sz w:val="22"/>
          <w:szCs w:val="22"/>
        </w:rPr>
        <w:t xml:space="preserve">[3] Borda Milan, R. (2026). The Borda Milan Pyramid v1.1. Zenodo. https://doi.org/10.5281/zenodo.19981738</w:t>
      </w:r>
    </w:p>
    <w:p>
      <w:pPr>
        <w:spacing w:after="40" w:before="40"/>
      </w:pPr>
      <w:r>
        <w:rPr>
          <w:rFonts w:ascii="Times New Roman" w:cs="Times New Roman" w:eastAsia="Times New Roman" w:hAnsi="Times New Roman"/>
          <w:sz w:val="22"/>
          <w:szCs w:val="22"/>
        </w:rPr>
        <w:t xml:space="preserve">[4] Brookings Institution. (2026). Global energy demands within the AI regulatory landscape.</w:t>
      </w:r>
    </w:p>
    <w:p>
      <w:pPr>
        <w:spacing w:after="40" w:before="40"/>
      </w:pPr>
      <w:r>
        <w:rPr>
          <w:rFonts w:ascii="Times New Roman" w:cs="Times New Roman" w:eastAsia="Times New Roman" w:hAnsi="Times New Roman"/>
          <w:sz w:val="22"/>
          <w:szCs w:val="22"/>
        </w:rPr>
        <w:t xml:space="preserve">[5] Li, P., et al. (2025). Making AI less thirsty. Commun. ACM, 68(7), 54–61.</w:t>
      </w:r>
    </w:p>
    <w:p>
      <w:pPr>
        <w:spacing w:after="40" w:before="40"/>
      </w:pPr>
      <w:r>
        <w:rPr>
          <w:rFonts w:ascii="Times New Roman" w:cs="Times New Roman" w:eastAsia="Times New Roman" w:hAnsi="Times New Roman"/>
          <w:sz w:val="22"/>
          <w:szCs w:val="22"/>
        </w:rPr>
        <w:t xml:space="preserve">[6] Wan, A., et al. (2025). Intelligence per watt. arXiv:2511.07885.</w:t>
      </w:r>
    </w:p>
    <w:p>
      <w:pPr>
        <w:spacing w:after="40" w:before="40"/>
      </w:pPr>
      <w:r>
        <w:rPr>
          <w:rFonts w:ascii="Times New Roman" w:cs="Times New Roman" w:eastAsia="Times New Roman" w:hAnsi="Times New Roman"/>
          <w:sz w:val="22"/>
          <w:szCs w:val="22"/>
        </w:rPr>
        <w:t xml:space="preserve">[7] OpenAI. (2024). Public usage statistics [press statement, December 2024].</w:t>
      </w:r>
    </w:p>
    <w:p>
      <w:pPr>
        <w:spacing w:after="40" w:before="40"/>
      </w:pPr>
      <w:r>
        <w:rPr>
          <w:rFonts w:ascii="Times New Roman" w:cs="Times New Roman" w:eastAsia="Times New Roman" w:hAnsi="Times New Roman"/>
          <w:sz w:val="22"/>
          <w:szCs w:val="22"/>
        </w:rPr>
        <w:t xml:space="preserve">[8] Li, P., et al. (2023). Making AI less thirsty. arXiv:2304.03271.</w:t>
      </w:r>
    </w:p>
    <w:p>
      <w:pPr>
        <w:spacing w:after="40" w:before="40"/>
      </w:pPr>
      <w:r>
        <w:rPr>
          <w:rFonts w:ascii="Times New Roman" w:cs="Times New Roman" w:eastAsia="Times New Roman" w:hAnsi="Times New Roman"/>
          <w:sz w:val="22"/>
          <w:szCs w:val="22"/>
        </w:rPr>
        <w:t xml:space="preserve">[9] IEA. (2025). Energy and AI. https://www.iea.org/reports/energy-and-ai</w:t>
      </w:r>
    </w:p>
    <w:p>
      <w:pPr>
        <w:spacing w:after="40" w:before="40"/>
      </w:pPr>
      <w:r>
        <w:rPr>
          <w:rFonts w:ascii="Times New Roman" w:cs="Times New Roman" w:eastAsia="Times New Roman" w:hAnsi="Times New Roman"/>
          <w:sz w:val="22"/>
          <w:szCs w:val="22"/>
        </w:rPr>
        <w:t xml:space="preserve">[10] Lei, Y., et al. (2025). The energy cost of execution-idle in GPU clusters. arXiv:2604.04745.</w:t>
      </w:r>
    </w:p>
    <w:p>
      <w:pPr>
        <w:spacing w:after="40" w:before="40"/>
      </w:pPr>
      <w:r>
        <w:rPr>
          <w:rFonts w:ascii="Times New Roman" w:cs="Times New Roman" w:eastAsia="Times New Roman" w:hAnsi="Times New Roman"/>
          <w:sz w:val="22"/>
          <w:szCs w:val="22"/>
        </w:rPr>
        <w:t xml:space="preserve">[11] Innovation Endeavors. (2025). The AI data center gold rush. https://www.innovationendeavors.com/insights/future-data-centers</w:t>
      </w:r>
    </w:p>
    <w:p>
      <w:pPr>
        <w:spacing w:after="40" w:before="40"/>
      </w:pPr>
      <w:r>
        <w:rPr>
          <w:rFonts w:ascii="Times New Roman" w:cs="Times New Roman" w:eastAsia="Times New Roman" w:hAnsi="Times New Roman"/>
          <w:sz w:val="22"/>
          <w:szCs w:val="22"/>
        </w:rPr>
        <w:t xml:space="preserve">[12] Strubell, E., Ganesh, A., &amp; McCallum, A. (2019). Energy and policy considerations for deep learning in NLP. ACL 2019.</w:t>
      </w:r>
    </w:p>
    <w:p>
      <w:pPr>
        <w:spacing w:after="40" w:before="40"/>
      </w:pPr>
      <w:r>
        <w:rPr>
          <w:rFonts w:ascii="Times New Roman" w:cs="Times New Roman" w:eastAsia="Times New Roman" w:hAnsi="Times New Roman"/>
          <w:sz w:val="22"/>
          <w:szCs w:val="22"/>
        </w:rPr>
        <w:t xml:space="preserve">[13] U.S. Congressional Research Service. (2024). Data centers and their energy consumption (R48646).</w:t>
      </w:r>
    </w:p>
    <w:p>
      <w:pPr>
        <w:spacing w:after="40" w:before="40"/>
      </w:pPr>
      <w:r>
        <w:rPr>
          <w:rFonts w:ascii="Times New Roman" w:cs="Times New Roman" w:eastAsia="Times New Roman" w:hAnsi="Times New Roman"/>
          <w:sz w:val="22"/>
          <w:szCs w:val="22"/>
        </w:rPr>
        <w:t xml:space="preserve">[14] Google. (2024). Google Environmental Report 2024.</w:t>
      </w:r>
    </w:p>
    <w:p>
      <w:pPr>
        <w:spacing w:after="40" w:before="40"/>
      </w:pPr>
      <w:r>
        <w:rPr>
          <w:rFonts w:ascii="Times New Roman" w:cs="Times New Roman" w:eastAsia="Times New Roman" w:hAnsi="Times New Roman"/>
          <w:sz w:val="22"/>
          <w:szCs w:val="22"/>
        </w:rPr>
        <w:t xml:space="preserve">[15] AIM Multiple. (2024). AI energy consumption statistics.</w:t>
      </w:r>
    </w:p>
    <w:p>
      <w:pPr>
        <w:spacing w:after="40" w:before="40"/>
      </w:pPr>
      <w:r>
        <w:rPr>
          <w:rFonts w:ascii="Times New Roman" w:cs="Times New Roman" w:eastAsia="Times New Roman" w:hAnsi="Times New Roman"/>
          <w:sz w:val="22"/>
          <w:szCs w:val="22"/>
        </w:rPr>
        <w:t xml:space="preserve">[16] Alamouti, S.M. (2025). Quantifying energy and cost benefits of hybrid edge cloud. arXiv:2501.14823.</w:t>
      </w:r>
    </w:p>
    <w:p>
      <w:pPr>
        <w:spacing w:after="40" w:before="40"/>
      </w:pPr>
      <w:r>
        <w:rPr>
          <w:rFonts w:ascii="Times New Roman" w:cs="Times New Roman" w:eastAsia="Times New Roman" w:hAnsi="Times New Roman"/>
          <w:sz w:val="22"/>
          <w:szCs w:val="22"/>
        </w:rPr>
        <w:t xml:space="preserve">[17] Ostrom, E. (1990). Governing the commons. Cambridge University Press.</w:t>
      </w:r>
    </w:p>
    <w:p>
      <w:pPr>
        <w:spacing w:after="40" w:before="40"/>
      </w:pPr>
      <w:r>
        <w:rPr>
          <w:rFonts w:ascii="Times New Roman" w:cs="Times New Roman" w:eastAsia="Times New Roman" w:hAnsi="Times New Roman"/>
          <w:sz w:val="22"/>
          <w:szCs w:val="22"/>
        </w:rPr>
        <w:t xml:space="preserve">[18] Hess, C., &amp; Ostrom, E. (Eds.). (2007). Understanding knowledge as a commons. MIT Press.</w:t>
      </w:r>
    </w:p>
    <w:p>
      <w:pPr>
        <w:spacing w:after="40" w:before="40"/>
      </w:pPr>
      <w:r>
        <w:rPr>
          <w:rFonts w:ascii="Times New Roman" w:cs="Times New Roman" w:eastAsia="Times New Roman" w:hAnsi="Times New Roman"/>
          <w:sz w:val="22"/>
          <w:szCs w:val="22"/>
        </w:rPr>
        <w:t xml:space="preserve">[19] Winner, L. (1980). Do artifacts have politics? Daedalus, 109(1), 121–136.</w:t>
      </w:r>
    </w:p>
    <w:p>
      <w:pPr>
        <w:spacing w:after="40" w:before="40"/>
      </w:pPr>
      <w:r>
        <w:rPr>
          <w:rFonts w:ascii="Times New Roman" w:cs="Times New Roman" w:eastAsia="Times New Roman" w:hAnsi="Times New Roman"/>
          <w:sz w:val="22"/>
          <w:szCs w:val="22"/>
        </w:rPr>
        <w:t xml:space="preserve">[20] Venkatesh, V., et al. (2012). Consumer acceptance and use of information technology. MIS Quarterly, 36(1), 157–178.</w:t>
      </w:r>
    </w:p>
    <w:p>
      <w:pPr>
        <w:spacing w:after="40" w:before="40"/>
      </w:pPr>
      <w:r>
        <w:rPr>
          <w:rFonts w:ascii="Times New Roman" w:cs="Times New Roman" w:eastAsia="Times New Roman" w:hAnsi="Times New Roman"/>
          <w:sz w:val="22"/>
          <w:szCs w:val="22"/>
        </w:rPr>
        <w:t xml:space="preserve">[21] Ng, D.T.K., et al. (2021). AI literacy. Proc. ASIS&amp;T, 58(1), 504–509.</w:t>
      </w:r>
    </w:p>
    <w:p>
      <w:pPr>
        <w:spacing w:after="40" w:before="40"/>
      </w:pPr>
      <w:r>
        <w:rPr>
          <w:rFonts w:ascii="Times New Roman" w:cs="Times New Roman" w:eastAsia="Times New Roman" w:hAnsi="Times New Roman"/>
          <w:sz w:val="22"/>
          <w:szCs w:val="22"/>
        </w:rPr>
        <w:t xml:space="preserve">[22] MarketsandMarkets. (2024). Edge AI chip market report 2024–2029.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Double-spaced — STOTEN format — Borda Milan 2026 — Working Draft v0.4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VEHICLE-MADRE v0.4 — Science of the Total Environment — Pre-submission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2026-05-17T13:27:42.094Z</dcterms:created>
  <dcterms:modified xsi:type="dcterms:W3CDTF">2026-05-17T13:27:42.094Z</dcterms:modified>
</cp:coreProperties>
</file>

<file path=docProps/custom.xml><?xml version="1.0" encoding="utf-8"?>
<Properties xmlns="http://schemas.openxmlformats.org/officeDocument/2006/custom-properties" xmlns:vt="http://schemas.openxmlformats.org/officeDocument/2006/docPropsVTypes"/>
</file>