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Pulso semanal de mercado - semana del 13 al 17 de julio</w:t>
      </w:r>
    </w:p>
    <w:p>
      <w:r>
        <w:rPr>
          <w:sz w:val="22"/>
        </w:rPr>
        <w:t>Atlas S.A. · Seguimiento de mercado para la reunión de los lunes</w:t>
      </w:r>
    </w:p>
    <w:p>
      <w:r>
        <w:t>Preparado por: el pasante (borrador)</w:t>
      </w:r>
    </w:p>
    <w:p>
      <w:pPr>
        <w:pStyle w:val="Heading1"/>
      </w:pPr>
      <w:r>
        <w:t>1. Resumen de la semana</w:t>
      </w:r>
    </w:p>
    <w:p>
      <w:r>
        <w:t>Semana positiva para el sector: las tres empresas que seguimos cerraron al alza, empujadas por el anuncio de nuevos pozos en Vaca Muerta y la demanda de energía de los centros de datos. YPF fue la de mejor desempeño de la semana. Los cierres y variaciones están en la planilla `cotizaciones semana (1).xlsx`.</w:t>
      </w:r>
    </w:p>
    <w:p>
      <w:pPr>
        <w:pStyle w:val="Heading1"/>
      </w:pPr>
      <w:r>
        <w:t>2. Noticias por empresa</w:t>
      </w:r>
    </w:p>
    <w:p>
      <w:r>
        <w:t>YPF: anunció la puesta en marcha de dos pozos nuevos en Vaca Muerta; la acción acompañó con la mejor suba del trío. Vista Energy: presenta resultados el jueves que viene; el mercado espera confirmación del guidance anual. Tenaris: semana sin anuncios propios; el movimiento respondió al precio internacional del acero.</w:t>
      </w:r>
    </w:p>
    <w:p>
      <w:pPr>
        <w:pStyle w:val="Heading1"/>
      </w:pPr>
      <w:r>
        <w:t>3. Qué vigilar</w:t>
      </w:r>
    </w:p>
    <w:p>
      <w:r>
        <w:t>[PENDIENTE DE COMPLETAR: los resultados de Vista del jueves y el dato de actividad de perforación]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