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B0163" w14:textId="77777777" w:rsidR="003C4150" w:rsidRDefault="00000000">
      <w:pPr>
        <w:pStyle w:val="Title"/>
      </w:pPr>
      <w:r>
        <w:t>TEE — HQ Supporting Documents</w:t>
      </w:r>
    </w:p>
    <w:p w14:paraId="4BFB0164" w14:textId="77777777" w:rsidR="003C4150" w:rsidRDefault="00000000">
      <w:pPr>
        <w:spacing w:before="0" w:after="60"/>
        <w:jc w:val="center"/>
      </w:pPr>
      <w:r>
        <w:rPr>
          <w:rFonts w:ascii="Calibri(Headings)" w:eastAsia="Calibri(Headings)" w:hAnsi="Calibri(Headings)" w:cs="Calibri(Headings)"/>
          <w:i/>
          <w:iCs/>
          <w:color w:val="4F81BD"/>
          <w:sz w:val="28"/>
          <w:szCs w:val="28"/>
        </w:rPr>
        <w:t>Strategic Summary &amp; Analysis</w:t>
      </w:r>
    </w:p>
    <w:p w14:paraId="4BFB0165" w14:textId="77777777" w:rsidR="003C4150" w:rsidRDefault="00000000">
      <w:pPr>
        <w:spacing w:before="0" w:after="360"/>
        <w:jc w:val="center"/>
      </w:pPr>
      <w:r>
        <w:rPr>
          <w:color w:val="888888"/>
          <w:sz w:val="20"/>
          <w:szCs w:val="20"/>
        </w:rPr>
        <w:t>Tracie Walker (</w:t>
      </w:r>
      <w:proofErr w:type="gramStart"/>
      <w:r>
        <w:rPr>
          <w:color w:val="888888"/>
          <w:sz w:val="20"/>
          <w:szCs w:val="20"/>
        </w:rPr>
        <w:t>Tee)  |</w:t>
      </w:r>
      <w:proofErr w:type="gramEnd"/>
      <w:r>
        <w:rPr>
          <w:color w:val="888888"/>
          <w:sz w:val="20"/>
          <w:szCs w:val="20"/>
        </w:rPr>
        <w:t xml:space="preserve">  Leeds, </w:t>
      </w:r>
      <w:proofErr w:type="gramStart"/>
      <w:r>
        <w:rPr>
          <w:color w:val="888888"/>
          <w:sz w:val="20"/>
          <w:szCs w:val="20"/>
        </w:rPr>
        <w:t>UK  |</w:t>
      </w:r>
      <w:proofErr w:type="gramEnd"/>
      <w:r>
        <w:rPr>
          <w:color w:val="888888"/>
          <w:sz w:val="20"/>
          <w:szCs w:val="20"/>
        </w:rPr>
        <w:t xml:space="preserve">  July 2026</w:t>
      </w:r>
    </w:p>
    <w:p w14:paraId="4BFB0166" w14:textId="77777777" w:rsidR="003C4150" w:rsidRDefault="00000000">
      <w:pPr>
        <w:pStyle w:val="Heading1"/>
      </w:pPr>
      <w:r>
        <w:t>Table of Contents</w:t>
      </w:r>
    </w:p>
    <w:p w14:paraId="4BFB0167" w14:textId="77777777" w:rsidR="003C4150" w:rsidRDefault="00000000">
      <w:pPr>
        <w:spacing w:before="60" w:after="60"/>
      </w:pPr>
      <w:hyperlink w:anchor="section-1" w:history="1">
        <w:r>
          <w:rPr>
            <w:rStyle w:val="Hyperlink"/>
            <w:sz w:val="22"/>
            <w:szCs w:val="22"/>
          </w:rPr>
          <w:t>1. Who Tee Is — The Bigger Picture</w:t>
        </w:r>
      </w:hyperlink>
    </w:p>
    <w:p w14:paraId="4BFB0168" w14:textId="77777777" w:rsidR="003C4150" w:rsidRDefault="00000000">
      <w:pPr>
        <w:spacing w:before="60" w:after="60"/>
      </w:pPr>
      <w:hyperlink w:anchor="section-2" w:history="1">
        <w:r>
          <w:rPr>
            <w:rStyle w:val="Hyperlink"/>
            <w:sz w:val="22"/>
            <w:szCs w:val="22"/>
          </w:rPr>
          <w:t>2. Document-by-Document Review</w:t>
        </w:r>
      </w:hyperlink>
    </w:p>
    <w:p w14:paraId="4BFB0169" w14:textId="77777777" w:rsidR="003C4150" w:rsidRDefault="00000000">
      <w:pPr>
        <w:spacing w:before="60" w:after="60"/>
      </w:pPr>
      <w:hyperlink w:anchor="section-21" w:history="1">
        <w:r>
          <w:rPr>
            <w:rStyle w:val="Hyperlink"/>
            <w:sz w:val="22"/>
            <w:szCs w:val="22"/>
          </w:rPr>
          <w:t xml:space="preserve">   </w:t>
        </w:r>
        <w:proofErr w:type="gramStart"/>
        <w:r>
          <w:rPr>
            <w:rStyle w:val="Hyperlink"/>
            <w:sz w:val="22"/>
            <w:szCs w:val="22"/>
          </w:rPr>
          <w:t>2.1  Professional</w:t>
        </w:r>
        <w:proofErr w:type="gramEnd"/>
        <w:r>
          <w:rPr>
            <w:rStyle w:val="Hyperlink"/>
            <w:sz w:val="22"/>
            <w:szCs w:val="22"/>
          </w:rPr>
          <w:t xml:space="preserve"> Persona</w:t>
        </w:r>
      </w:hyperlink>
    </w:p>
    <w:p w14:paraId="4BFB016A" w14:textId="77777777" w:rsidR="003C4150" w:rsidRDefault="00000000">
      <w:pPr>
        <w:spacing w:before="60" w:after="60"/>
      </w:pPr>
      <w:hyperlink w:anchor="section-22" w:history="1">
        <w:r>
          <w:rPr>
            <w:rStyle w:val="Hyperlink"/>
            <w:sz w:val="22"/>
            <w:szCs w:val="22"/>
          </w:rPr>
          <w:t xml:space="preserve">   </w:t>
        </w:r>
        <w:proofErr w:type="gramStart"/>
        <w:r>
          <w:rPr>
            <w:rStyle w:val="Hyperlink"/>
            <w:sz w:val="22"/>
            <w:szCs w:val="22"/>
          </w:rPr>
          <w:t>2.2  Master</w:t>
        </w:r>
        <w:proofErr w:type="gramEnd"/>
        <w:r>
          <w:rPr>
            <w:rStyle w:val="Hyperlink"/>
            <w:sz w:val="22"/>
            <w:szCs w:val="22"/>
          </w:rPr>
          <w:t xml:space="preserve"> Project &amp; Goals Inventory</w:t>
        </w:r>
      </w:hyperlink>
    </w:p>
    <w:p w14:paraId="4BFB016B" w14:textId="77777777" w:rsidR="003C4150" w:rsidRDefault="00000000">
      <w:pPr>
        <w:spacing w:before="60" w:after="60"/>
      </w:pPr>
      <w:hyperlink w:anchor="section-23" w:history="1">
        <w:r>
          <w:rPr>
            <w:rStyle w:val="Hyperlink"/>
            <w:sz w:val="22"/>
            <w:szCs w:val="22"/>
          </w:rPr>
          <w:t xml:space="preserve">   </w:t>
        </w:r>
        <w:proofErr w:type="gramStart"/>
        <w:r>
          <w:rPr>
            <w:rStyle w:val="Hyperlink"/>
            <w:sz w:val="22"/>
            <w:szCs w:val="22"/>
          </w:rPr>
          <w:t>2.3  Mission</w:t>
        </w:r>
        <w:proofErr w:type="gramEnd"/>
        <w:r>
          <w:rPr>
            <w:rStyle w:val="Hyperlink"/>
            <w:sz w:val="22"/>
            <w:szCs w:val="22"/>
          </w:rPr>
          <w:t xml:space="preserve"> Control — Gantt Board</w:t>
        </w:r>
      </w:hyperlink>
    </w:p>
    <w:p w14:paraId="4BFB016C" w14:textId="77777777" w:rsidR="003C4150" w:rsidRDefault="00000000">
      <w:pPr>
        <w:spacing w:before="60" w:after="60"/>
      </w:pPr>
      <w:hyperlink w:anchor="section-24" w:history="1">
        <w:r>
          <w:rPr>
            <w:rStyle w:val="Hyperlink"/>
            <w:sz w:val="22"/>
            <w:szCs w:val="22"/>
          </w:rPr>
          <w:t xml:space="preserve">   </w:t>
        </w:r>
        <w:proofErr w:type="gramStart"/>
        <w:r>
          <w:rPr>
            <w:rStyle w:val="Hyperlink"/>
            <w:sz w:val="22"/>
            <w:szCs w:val="22"/>
          </w:rPr>
          <w:t>2.4  Baseline</w:t>
        </w:r>
        <w:proofErr w:type="gramEnd"/>
        <w:r>
          <w:rPr>
            <w:rStyle w:val="Hyperlink"/>
            <w:sz w:val="22"/>
            <w:szCs w:val="22"/>
          </w:rPr>
          <w:t xml:space="preserve"> Intake Workspace (Interactive)</w:t>
        </w:r>
      </w:hyperlink>
    </w:p>
    <w:p w14:paraId="4BFB016D" w14:textId="77777777" w:rsidR="003C4150" w:rsidRDefault="00000000">
      <w:pPr>
        <w:spacing w:before="60" w:after="60"/>
      </w:pPr>
      <w:hyperlink w:anchor="section-25" w:history="1">
        <w:r>
          <w:rPr>
            <w:rStyle w:val="Hyperlink"/>
            <w:sz w:val="22"/>
            <w:szCs w:val="22"/>
          </w:rPr>
          <w:t xml:space="preserve">   </w:t>
        </w:r>
        <w:proofErr w:type="gramStart"/>
        <w:r>
          <w:rPr>
            <w:rStyle w:val="Hyperlink"/>
            <w:sz w:val="22"/>
            <w:szCs w:val="22"/>
          </w:rPr>
          <w:t>2.5  Visual</w:t>
        </w:r>
        <w:proofErr w:type="gramEnd"/>
        <w:r>
          <w:rPr>
            <w:rStyle w:val="Hyperlink"/>
            <w:sz w:val="22"/>
            <w:szCs w:val="22"/>
          </w:rPr>
          <w:t xml:space="preserve"> &amp; Image-Based Files</w:t>
        </w:r>
      </w:hyperlink>
    </w:p>
    <w:p w14:paraId="4BFB016E" w14:textId="77777777" w:rsidR="003C4150" w:rsidRDefault="00000000">
      <w:pPr>
        <w:spacing w:before="60" w:after="60"/>
      </w:pPr>
      <w:hyperlink w:anchor="section-3" w:history="1">
        <w:r>
          <w:rPr>
            <w:rStyle w:val="Hyperlink"/>
            <w:sz w:val="22"/>
            <w:szCs w:val="22"/>
          </w:rPr>
          <w:t>3. Overarching Surmise</w:t>
        </w:r>
      </w:hyperlink>
    </w:p>
    <w:p w14:paraId="4BFB016F" w14:textId="77777777" w:rsidR="003C4150" w:rsidRDefault="00000000">
      <w:pPr>
        <w:spacing w:before="60" w:after="60"/>
      </w:pPr>
      <w:hyperlink w:anchor="section-4" w:history="1">
        <w:r>
          <w:rPr>
            <w:rStyle w:val="Hyperlink"/>
            <w:sz w:val="22"/>
            <w:szCs w:val="22"/>
          </w:rPr>
          <w:t>4. Key Themes Across All Documents</w:t>
        </w:r>
      </w:hyperlink>
    </w:p>
    <w:p w14:paraId="4BFB0170" w14:textId="77777777" w:rsidR="003C4150" w:rsidRDefault="00000000">
      <w:pPr>
        <w:spacing w:before="60" w:after="60"/>
      </w:pPr>
      <w:hyperlink w:anchor="section-5" w:history="1">
        <w:r>
          <w:rPr>
            <w:rStyle w:val="Hyperlink"/>
            <w:sz w:val="22"/>
            <w:szCs w:val="22"/>
          </w:rPr>
          <w:t>5. Strategic Recommendations</w:t>
        </w:r>
      </w:hyperlink>
    </w:p>
    <w:p w14:paraId="73629FF2" w14:textId="77777777" w:rsidR="00EC6497" w:rsidRDefault="00EC6497"/>
    <w:p w14:paraId="53B3094C" w14:textId="77777777" w:rsidR="00EC6497" w:rsidRDefault="00EC6497"/>
    <w:p w14:paraId="4BFB0171" w14:textId="299EFF40" w:rsidR="003C4150" w:rsidRDefault="00000000">
      <w:r>
        <w:br w:type="page"/>
      </w:r>
    </w:p>
    <w:p w14:paraId="4BFB0172" w14:textId="77777777" w:rsidR="003C4150" w:rsidRDefault="00000000">
      <w:pPr>
        <w:pStyle w:val="Heading1"/>
      </w:pPr>
      <w:bookmarkStart w:id="0" w:name="section-1"/>
      <w:r>
        <w:t>1. Who Tee Is — The Bigger Picture</w:t>
      </w:r>
      <w:bookmarkEnd w:id="0"/>
    </w:p>
    <w:p w14:paraId="4BFB0173" w14:textId="77777777" w:rsidR="003C4150" w:rsidRDefault="00000000">
      <w:pPr>
        <w:pBdr>
          <w:left w:val="single" w:sz="12" w:space="0" w:color="4F81BD"/>
        </w:pBdr>
        <w:spacing w:after="240"/>
        <w:ind w:left="360"/>
      </w:pPr>
      <w:r>
        <w:rPr>
          <w:i/>
          <w:iCs/>
          <w:color w:val="1F3864"/>
        </w:rPr>
        <w:t>Tee is not simply a content creator, a reseller, or a technologist. She is a multi-layered systems architect operating across commercial, intellectual, and esoteric domains simultaneously — and building the infrastructure to unify them.</w:t>
      </w:r>
    </w:p>
    <w:p w14:paraId="4BFB0174" w14:textId="77777777" w:rsidR="003C4150" w:rsidRDefault="00000000">
      <w:r>
        <w:t xml:space="preserve">Based in Leeds, UK, Tracie Walker — known as Tee — operates under the brand </w:t>
      </w:r>
      <w:r>
        <w:rPr>
          <w:b/>
          <w:bCs/>
        </w:rPr>
        <w:t>Veil Cartography</w:t>
      </w:r>
      <w:r>
        <w:t>, a systems-focused practice that bridges science, philosophy, and digital product creation. Her work spans four distinct but interconnected domains:</w:t>
      </w:r>
    </w:p>
    <w:p w14:paraId="4BFB0175" w14:textId="77777777" w:rsidR="003C4150" w:rsidRDefault="00000000">
      <w:pPr>
        <w:pStyle w:val="ListParagraph"/>
        <w:numPr>
          <w:ilvl w:val="0"/>
          <w:numId w:val="2"/>
        </w:numPr>
      </w:pPr>
      <w:r>
        <w:rPr>
          <w:b/>
          <w:bCs/>
        </w:rPr>
        <w:t>Technology Architecture &amp; AI Workflow Consulting</w:t>
      </w:r>
    </w:p>
    <w:p w14:paraId="4BFB0176" w14:textId="77777777" w:rsidR="003C4150" w:rsidRDefault="00000000">
      <w:pPr>
        <w:pStyle w:val="ListParagraph"/>
        <w:numPr>
          <w:ilvl w:val="0"/>
          <w:numId w:val="2"/>
        </w:numPr>
      </w:pPr>
      <w:r>
        <w:rPr>
          <w:b/>
          <w:bCs/>
        </w:rPr>
        <w:t>Esoteric &amp; Philosophical Product Development</w:t>
      </w:r>
      <w:r>
        <w:t xml:space="preserve"> (Gnostic Oracle, consciousness research)</w:t>
      </w:r>
    </w:p>
    <w:p w14:paraId="4BFB0177" w14:textId="77777777" w:rsidR="003C4150" w:rsidRDefault="00000000">
      <w:pPr>
        <w:pStyle w:val="ListParagraph"/>
        <w:numPr>
          <w:ilvl w:val="0"/>
          <w:numId w:val="2"/>
        </w:numPr>
      </w:pPr>
      <w:r>
        <w:rPr>
          <w:b/>
          <w:bCs/>
        </w:rPr>
        <w:t>Content Creation &amp; Media Systems</w:t>
      </w:r>
      <w:r>
        <w:t xml:space="preserve"> (YouTube, short-form, written content)</w:t>
      </w:r>
    </w:p>
    <w:p w14:paraId="4BFB0178" w14:textId="77777777" w:rsidR="003C4150" w:rsidRDefault="00000000">
      <w:pPr>
        <w:pStyle w:val="ListParagraph"/>
        <w:numPr>
          <w:ilvl w:val="0"/>
          <w:numId w:val="2"/>
        </w:numPr>
      </w:pPr>
      <w:r>
        <w:rPr>
          <w:b/>
          <w:bCs/>
        </w:rPr>
        <w:t>Commercial Operations</w:t>
      </w:r>
      <w:r>
        <w:t xml:space="preserve"> (UK resale business — Vinted, eBay, Facebook Marketplace)</w:t>
      </w:r>
    </w:p>
    <w:p w14:paraId="4BFB0179" w14:textId="77777777" w:rsidR="003C4150" w:rsidRDefault="00000000">
      <w:pPr>
        <w:spacing w:before="200"/>
      </w:pPr>
      <w:r>
        <w:t xml:space="preserve">She works in deep-focus, late-night sessions, uses AI tools for synthesis and automation, and maintains structured workflows and tracking systems. Her current evolution is characterised by a deliberate shift: </w:t>
      </w:r>
      <w:r>
        <w:rPr>
          <w:b/>
          <w:bCs/>
        </w:rPr>
        <w:t xml:space="preserve">from theory into functional, teachable, </w:t>
      </w:r>
      <w:proofErr w:type="spellStart"/>
      <w:r>
        <w:rPr>
          <w:b/>
          <w:bCs/>
        </w:rPr>
        <w:t>monetisable</w:t>
      </w:r>
      <w:proofErr w:type="spellEnd"/>
      <w:r>
        <w:rPr>
          <w:b/>
          <w:bCs/>
        </w:rPr>
        <w:t xml:space="preserve"> products.</w:t>
      </w:r>
    </w:p>
    <w:p w14:paraId="4BFB017A" w14:textId="77777777" w:rsidR="003C4150" w:rsidRDefault="00000000">
      <w:r>
        <w:br w:type="page"/>
      </w:r>
    </w:p>
    <w:p w14:paraId="4BFB017B" w14:textId="77777777" w:rsidR="003C4150" w:rsidRDefault="00000000">
      <w:pPr>
        <w:pStyle w:val="Heading1"/>
      </w:pPr>
      <w:bookmarkStart w:id="1" w:name="section-2"/>
      <w:r>
        <w:t>2. Document-by-Document Review</w:t>
      </w:r>
      <w:bookmarkEnd w:id="1"/>
    </w:p>
    <w:p w14:paraId="4BFB017C" w14:textId="77777777" w:rsidR="003C4150" w:rsidRDefault="00000000">
      <w:pPr>
        <w:pStyle w:val="Heading2"/>
      </w:pPr>
      <w:bookmarkStart w:id="2" w:name="section-21"/>
      <w:proofErr w:type="gramStart"/>
      <w:r>
        <w:t>2.1  Professional</w:t>
      </w:r>
      <w:proofErr w:type="gramEnd"/>
      <w:r>
        <w:t xml:space="preserve"> Persona</w:t>
      </w:r>
      <w:bookmarkEnd w:id="2"/>
    </w:p>
    <w:p w14:paraId="4BFB017D" w14:textId="77777777" w:rsidR="003C4150" w:rsidRDefault="00000000">
      <w:r>
        <w:rPr>
          <w:b/>
          <w:bCs/>
        </w:rPr>
        <w:t xml:space="preserve">Source: </w:t>
      </w:r>
      <w:r>
        <w:rPr>
          <w:i/>
          <w:iCs/>
          <w:color w:val="888888"/>
        </w:rPr>
        <w:t>professional_persona_clean_print.pdf</w:t>
      </w:r>
    </w:p>
    <w:p w14:paraId="4BFB017E" w14:textId="77777777" w:rsidR="003C4150" w:rsidRDefault="00000000">
      <w:r>
        <w:t>This document establishes the foundational identity layer. It defines Tee as a researcher, content architect, and operator — three roles that are not in conflict but are currently competing for bandwidth. Key behavioural patterns noted:</w:t>
      </w:r>
    </w:p>
    <w:p w14:paraId="4BFB017F" w14:textId="77777777" w:rsidR="003C4150" w:rsidRDefault="00000000">
      <w:pPr>
        <w:pStyle w:val="ListParagraph"/>
        <w:numPr>
          <w:ilvl w:val="0"/>
          <w:numId w:val="3"/>
        </w:numPr>
      </w:pPr>
      <w:r>
        <w:t>Strong filtering of information quality — she is selective, not scattered</w:t>
      </w:r>
    </w:p>
    <w:p w14:paraId="4BFB0180" w14:textId="77777777" w:rsidR="003C4150" w:rsidRDefault="00000000">
      <w:pPr>
        <w:pStyle w:val="ListParagraph"/>
        <w:numPr>
          <w:ilvl w:val="0"/>
          <w:numId w:val="3"/>
        </w:numPr>
      </w:pPr>
      <w:r>
        <w:t>Combines technical thinking with conceptual models — rare and valuable</w:t>
      </w:r>
    </w:p>
    <w:p w14:paraId="4BFB0181" w14:textId="77777777" w:rsidR="003C4150" w:rsidRDefault="00000000">
      <w:pPr>
        <w:pStyle w:val="ListParagraph"/>
        <w:numPr>
          <w:ilvl w:val="0"/>
          <w:numId w:val="3"/>
        </w:numPr>
      </w:pPr>
      <w:r>
        <w:t>Balances local operations (reselling) with global/system thinking (AI, philosophy)</w:t>
      </w:r>
    </w:p>
    <w:p w14:paraId="4BFB0182" w14:textId="77777777" w:rsidR="003C4150" w:rsidRDefault="00000000">
      <w:pPr>
        <w:pStyle w:val="ListParagraph"/>
        <w:numPr>
          <w:ilvl w:val="0"/>
          <w:numId w:val="3"/>
        </w:numPr>
      </w:pPr>
      <w:r>
        <w:t>Currently formalising workflows into repeatable, teachable methods</w:t>
      </w:r>
    </w:p>
    <w:p w14:paraId="4BFB0183" w14:textId="77777777" w:rsidR="003C4150" w:rsidRDefault="00000000">
      <w:pPr>
        <w:pStyle w:val="Heading2"/>
      </w:pPr>
      <w:bookmarkStart w:id="3" w:name="section-22"/>
      <w:proofErr w:type="gramStart"/>
      <w:r>
        <w:t>2.2  Master</w:t>
      </w:r>
      <w:proofErr w:type="gramEnd"/>
      <w:r>
        <w:t xml:space="preserve"> Project &amp; Goals Inventory</w:t>
      </w:r>
      <w:bookmarkEnd w:id="3"/>
    </w:p>
    <w:p w14:paraId="4BFB0184" w14:textId="77777777" w:rsidR="003C4150" w:rsidRDefault="00000000">
      <w:r>
        <w:rPr>
          <w:b/>
          <w:bCs/>
        </w:rPr>
        <w:t xml:space="preserve">Source: </w:t>
      </w:r>
      <w:r>
        <w:rPr>
          <w:i/>
          <w:iCs/>
          <w:color w:val="888888"/>
        </w:rPr>
        <w:t>LIST OF PROJECTS AND ANYTHING.docx</w:t>
      </w:r>
    </w:p>
    <w:p w14:paraId="4BFB0185" w14:textId="77777777" w:rsidR="003C4150" w:rsidRDefault="00000000">
      <w:r>
        <w:t>This is a 12-section strategic self-audit framework — a structured template for mapping, evaluating, and filtering the full project ecosystem. It is notably self-aware: the document itself is a diagnostic tool, not a finished plan.</w:t>
      </w:r>
    </w:p>
    <w:p w14:paraId="4BFB0186" w14:textId="77777777" w:rsidR="003C4150" w:rsidRDefault="00000000">
      <w:pPr>
        <w:spacing w:before="160" w:after="80"/>
      </w:pPr>
      <w:r>
        <w:rPr>
          <w:b/>
          <w:bCs/>
          <w:color w:val="1F3864"/>
        </w:rPr>
        <w:t>Active Project Categories</w:t>
      </w:r>
    </w:p>
    <w:tbl>
      <w:tblPr>
        <w:tblW w:w="10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80" w:type="dxa"/>
          <w:left w:w="180" w:type="dxa"/>
          <w:bottom w:w="80" w:type="dxa"/>
          <w:right w:w="180" w:type="dxa"/>
        </w:tblCellMar>
        <w:tblLook w:val="0000" w:firstRow="0" w:lastRow="0" w:firstColumn="0" w:lastColumn="0" w:noHBand="0" w:noVBand="0"/>
      </w:tblPr>
      <w:tblGrid>
        <w:gridCol w:w="2800"/>
        <w:gridCol w:w="6200"/>
      </w:tblGrid>
      <w:tr w:rsidR="003C4150" w14:paraId="4BFB0189" w14:textId="77777777">
        <w:trPr>
          <w:tblHeader/>
        </w:trPr>
        <w:tc>
          <w:tcPr>
            <w:tcW w:w="2800" w:type="dxa"/>
            <w:tcBorders>
              <w:top w:val="none" w:sz="0" w:space="0" w:color="FFFFFF"/>
              <w:left w:val="none" w:sz="0" w:space="0" w:color="FFFFFF"/>
              <w:bottom w:val="single" w:sz="6" w:space="0" w:color="4F81BD"/>
              <w:right w:val="none" w:sz="0" w:space="0" w:color="FFFFFF"/>
            </w:tcBorders>
          </w:tcPr>
          <w:p w14:paraId="4BFB0187" w14:textId="77777777" w:rsidR="003C4150" w:rsidRDefault="00000000">
            <w:r>
              <w:rPr>
                <w:rFonts w:ascii="Calibri(Headings)" w:eastAsia="Calibri(Headings)" w:hAnsi="Calibri(Headings)" w:cs="Calibri(Headings)"/>
                <w:b/>
                <w:bCs/>
                <w:color w:val="1F3864"/>
                <w:sz w:val="22"/>
                <w:szCs w:val="22"/>
              </w:rPr>
              <w:t>Category</w:t>
            </w:r>
          </w:p>
        </w:tc>
        <w:tc>
          <w:tcPr>
            <w:tcW w:w="6200" w:type="dxa"/>
            <w:tcBorders>
              <w:top w:val="none" w:sz="0" w:space="0" w:color="FFFFFF"/>
              <w:left w:val="none" w:sz="0" w:space="0" w:color="FFFFFF"/>
              <w:bottom w:val="single" w:sz="6" w:space="0" w:color="4F81BD"/>
              <w:right w:val="none" w:sz="0" w:space="0" w:color="FFFFFF"/>
            </w:tcBorders>
          </w:tcPr>
          <w:p w14:paraId="4BFB0188" w14:textId="77777777" w:rsidR="003C4150" w:rsidRDefault="00000000">
            <w:r>
              <w:rPr>
                <w:rFonts w:ascii="Calibri(Headings)" w:eastAsia="Calibri(Headings)" w:hAnsi="Calibri(Headings)" w:cs="Calibri(Headings)"/>
                <w:b/>
                <w:bCs/>
                <w:color w:val="1F3864"/>
                <w:sz w:val="22"/>
                <w:szCs w:val="22"/>
              </w:rPr>
              <w:t>Key Items</w:t>
            </w:r>
          </w:p>
        </w:tc>
      </w:tr>
      <w:tr w:rsidR="003C4150" w14:paraId="4BFB018C" w14:textId="77777777">
        <w:tc>
          <w:tcPr>
            <w:tcW w:w="2800" w:type="dxa"/>
            <w:tcBorders>
              <w:top w:val="none" w:sz="0" w:space="0" w:color="FFFFFF"/>
              <w:left w:val="none" w:sz="0" w:space="0" w:color="FFFFFF"/>
              <w:bottom w:val="none" w:sz="0" w:space="0" w:color="FFFFFF"/>
              <w:right w:val="none" w:sz="0" w:space="0" w:color="FFFFFF"/>
            </w:tcBorders>
          </w:tcPr>
          <w:p w14:paraId="4BFB018A" w14:textId="77777777" w:rsidR="003C4150" w:rsidRDefault="00000000">
            <w:r>
              <w:rPr>
                <w:b/>
                <w:bCs/>
                <w:color w:val="4F81BD"/>
                <w:sz w:val="22"/>
                <w:szCs w:val="22"/>
              </w:rPr>
              <w:t>Content Creation</w:t>
            </w:r>
          </w:p>
        </w:tc>
        <w:tc>
          <w:tcPr>
            <w:tcW w:w="6200" w:type="dxa"/>
            <w:tcBorders>
              <w:top w:val="none" w:sz="0" w:space="0" w:color="FFFFFF"/>
              <w:left w:val="none" w:sz="0" w:space="0" w:color="FFFFFF"/>
              <w:bottom w:val="none" w:sz="0" w:space="0" w:color="FFFFFF"/>
              <w:right w:val="none" w:sz="0" w:space="0" w:color="FFFFFF"/>
            </w:tcBorders>
          </w:tcPr>
          <w:p w14:paraId="4BFB018B" w14:textId="77777777" w:rsidR="003C4150" w:rsidRDefault="00000000">
            <w:r>
              <w:rPr>
                <w:sz w:val="22"/>
                <w:szCs w:val="22"/>
              </w:rPr>
              <w:t>YouTube deep-dives, philosophy/spirituality videos, Gnostic content, TikTok, Reels, SEO articles, newsletters, scripts</w:t>
            </w:r>
          </w:p>
        </w:tc>
      </w:tr>
      <w:tr w:rsidR="003C4150" w14:paraId="4BFB018F" w14:textId="77777777">
        <w:tc>
          <w:tcPr>
            <w:tcW w:w="2800" w:type="dxa"/>
            <w:tcBorders>
              <w:top w:val="none" w:sz="0" w:space="0" w:color="FFFFFF"/>
              <w:left w:val="none" w:sz="0" w:space="0" w:color="FFFFFF"/>
              <w:bottom w:val="none" w:sz="0" w:space="0" w:color="FFFFFF"/>
              <w:right w:val="none" w:sz="0" w:space="0" w:color="FFFFFF"/>
            </w:tcBorders>
          </w:tcPr>
          <w:p w14:paraId="4BFB018D" w14:textId="77777777" w:rsidR="003C4150" w:rsidRDefault="00000000">
            <w:r>
              <w:rPr>
                <w:b/>
                <w:bCs/>
                <w:color w:val="4F81BD"/>
                <w:sz w:val="22"/>
                <w:szCs w:val="22"/>
              </w:rPr>
              <w:t>Digital Products</w:t>
            </w:r>
          </w:p>
        </w:tc>
        <w:tc>
          <w:tcPr>
            <w:tcW w:w="6200" w:type="dxa"/>
            <w:tcBorders>
              <w:top w:val="none" w:sz="0" w:space="0" w:color="FFFFFF"/>
              <w:left w:val="none" w:sz="0" w:space="0" w:color="FFFFFF"/>
              <w:bottom w:val="none" w:sz="0" w:space="0" w:color="FFFFFF"/>
              <w:right w:val="none" w:sz="0" w:space="0" w:color="FFFFFF"/>
            </w:tcBorders>
          </w:tcPr>
          <w:p w14:paraId="4BFB018E" w14:textId="77777777" w:rsidR="003C4150" w:rsidRDefault="00000000">
            <w:r>
              <w:rPr>
                <w:sz w:val="22"/>
                <w:szCs w:val="22"/>
              </w:rPr>
              <w:t xml:space="preserve">Courses, Notion templates, PDFs, prompt packs, </w:t>
            </w:r>
            <w:proofErr w:type="spellStart"/>
            <w:r>
              <w:rPr>
                <w:sz w:val="22"/>
                <w:szCs w:val="22"/>
              </w:rPr>
              <w:t>Gumroad</w:t>
            </w:r>
            <w:proofErr w:type="spellEnd"/>
            <w:r>
              <w:rPr>
                <w:sz w:val="22"/>
                <w:szCs w:val="22"/>
              </w:rPr>
              <w:t xml:space="preserve"> products, Etsy digital products</w:t>
            </w:r>
          </w:p>
        </w:tc>
      </w:tr>
      <w:tr w:rsidR="003C4150" w14:paraId="4BFB0192" w14:textId="77777777">
        <w:tc>
          <w:tcPr>
            <w:tcW w:w="2800" w:type="dxa"/>
            <w:tcBorders>
              <w:top w:val="none" w:sz="0" w:space="0" w:color="FFFFFF"/>
              <w:left w:val="none" w:sz="0" w:space="0" w:color="FFFFFF"/>
              <w:bottom w:val="none" w:sz="0" w:space="0" w:color="FFFFFF"/>
              <w:right w:val="none" w:sz="0" w:space="0" w:color="FFFFFF"/>
            </w:tcBorders>
          </w:tcPr>
          <w:p w14:paraId="4BFB0190" w14:textId="77777777" w:rsidR="003C4150" w:rsidRDefault="00000000">
            <w:r>
              <w:rPr>
                <w:b/>
                <w:bCs/>
                <w:color w:val="4F81BD"/>
                <w:sz w:val="22"/>
                <w:szCs w:val="22"/>
              </w:rPr>
              <w:t>Business / Income</w:t>
            </w:r>
          </w:p>
        </w:tc>
        <w:tc>
          <w:tcPr>
            <w:tcW w:w="6200" w:type="dxa"/>
            <w:tcBorders>
              <w:top w:val="none" w:sz="0" w:space="0" w:color="FFFFFF"/>
              <w:left w:val="none" w:sz="0" w:space="0" w:color="FFFFFF"/>
              <w:bottom w:val="none" w:sz="0" w:space="0" w:color="FFFFFF"/>
              <w:right w:val="none" w:sz="0" w:space="0" w:color="FFFFFF"/>
            </w:tcBorders>
          </w:tcPr>
          <w:p w14:paraId="4BFB0191" w14:textId="77777777" w:rsidR="003C4150" w:rsidRDefault="00000000">
            <w:r>
              <w:rPr>
                <w:sz w:val="22"/>
                <w:szCs w:val="22"/>
              </w:rPr>
              <w:t>Vinted, eBay, Facebook Marketplace, marketing strategy consulting, AI workflow consulting</w:t>
            </w:r>
          </w:p>
        </w:tc>
      </w:tr>
      <w:tr w:rsidR="003C4150" w14:paraId="4BFB0195" w14:textId="77777777">
        <w:tc>
          <w:tcPr>
            <w:tcW w:w="2800" w:type="dxa"/>
            <w:tcBorders>
              <w:top w:val="none" w:sz="0" w:space="0" w:color="FFFFFF"/>
              <w:left w:val="none" w:sz="0" w:space="0" w:color="FFFFFF"/>
              <w:bottom w:val="none" w:sz="0" w:space="0" w:color="FFFFFF"/>
              <w:right w:val="none" w:sz="0" w:space="0" w:color="FFFFFF"/>
            </w:tcBorders>
          </w:tcPr>
          <w:p w14:paraId="4BFB0193" w14:textId="77777777" w:rsidR="003C4150" w:rsidRDefault="00000000">
            <w:r>
              <w:rPr>
                <w:b/>
                <w:bCs/>
                <w:color w:val="4F81BD"/>
                <w:sz w:val="22"/>
                <w:szCs w:val="22"/>
              </w:rPr>
              <w:t>Mission-Based</w:t>
            </w:r>
          </w:p>
        </w:tc>
        <w:tc>
          <w:tcPr>
            <w:tcW w:w="6200" w:type="dxa"/>
            <w:tcBorders>
              <w:top w:val="none" w:sz="0" w:space="0" w:color="FFFFFF"/>
              <w:left w:val="none" w:sz="0" w:space="0" w:color="FFFFFF"/>
              <w:bottom w:val="none" w:sz="0" w:space="0" w:color="FFFFFF"/>
              <w:right w:val="none" w:sz="0" w:space="0" w:color="FFFFFF"/>
            </w:tcBorders>
          </w:tcPr>
          <w:p w14:paraId="4BFB0194" w14:textId="77777777" w:rsidR="003C4150" w:rsidRDefault="00000000">
            <w:proofErr w:type="spellStart"/>
            <w:r>
              <w:rPr>
                <w:sz w:val="22"/>
                <w:szCs w:val="22"/>
              </w:rPr>
              <w:t>Pisatahua</w:t>
            </w:r>
            <w:proofErr w:type="spellEnd"/>
            <w:r>
              <w:rPr>
                <w:sz w:val="22"/>
                <w:szCs w:val="22"/>
              </w:rPr>
              <w:t>, Sustainable Bolivia, conservation/media work, educational ecosystems</w:t>
            </w:r>
          </w:p>
        </w:tc>
      </w:tr>
      <w:tr w:rsidR="003C4150" w14:paraId="4BFB0198" w14:textId="77777777">
        <w:tc>
          <w:tcPr>
            <w:tcW w:w="2800" w:type="dxa"/>
            <w:tcBorders>
              <w:top w:val="none" w:sz="0" w:space="0" w:color="FFFFFF"/>
              <w:left w:val="none" w:sz="0" w:space="0" w:color="FFFFFF"/>
              <w:bottom w:val="none" w:sz="0" w:space="0" w:color="FFFFFF"/>
              <w:right w:val="none" w:sz="0" w:space="0" w:color="FFFFFF"/>
            </w:tcBorders>
          </w:tcPr>
          <w:p w14:paraId="4BFB0196" w14:textId="77777777" w:rsidR="003C4150" w:rsidRDefault="00000000">
            <w:r>
              <w:rPr>
                <w:b/>
                <w:bCs/>
                <w:color w:val="4F81BD"/>
                <w:sz w:val="22"/>
                <w:szCs w:val="22"/>
              </w:rPr>
              <w:t>Knowledge Systems</w:t>
            </w:r>
          </w:p>
        </w:tc>
        <w:tc>
          <w:tcPr>
            <w:tcW w:w="6200" w:type="dxa"/>
            <w:tcBorders>
              <w:top w:val="none" w:sz="0" w:space="0" w:color="FFFFFF"/>
              <w:left w:val="none" w:sz="0" w:space="0" w:color="FFFFFF"/>
              <w:bottom w:val="none" w:sz="0" w:space="0" w:color="FFFFFF"/>
              <w:right w:val="none" w:sz="0" w:space="0" w:color="FFFFFF"/>
            </w:tcBorders>
          </w:tcPr>
          <w:p w14:paraId="4BFB0197" w14:textId="77777777" w:rsidR="003C4150" w:rsidRDefault="00000000">
            <w:r>
              <w:rPr>
                <w:sz w:val="22"/>
                <w:szCs w:val="22"/>
              </w:rPr>
              <w:t xml:space="preserve">Gnosticism, AI systems, consciousness, philosophy — stored in </w:t>
            </w:r>
            <w:proofErr w:type="spellStart"/>
            <w:r>
              <w:rPr>
                <w:sz w:val="22"/>
                <w:szCs w:val="22"/>
              </w:rPr>
              <w:t>NotebookLM</w:t>
            </w:r>
            <w:proofErr w:type="spellEnd"/>
            <w:r>
              <w:rPr>
                <w:sz w:val="22"/>
                <w:szCs w:val="22"/>
              </w:rPr>
              <w:t>, Notion, Obsidian</w:t>
            </w:r>
          </w:p>
        </w:tc>
      </w:tr>
    </w:tbl>
    <w:p w14:paraId="4BFB0199" w14:textId="77777777" w:rsidR="003C4150" w:rsidRDefault="00000000">
      <w:pPr>
        <w:spacing w:before="200" w:after="80"/>
      </w:pPr>
      <w:r>
        <w:rPr>
          <w:b/>
          <w:bCs/>
          <w:color w:val="1F3864"/>
        </w:rPr>
        <w:t>Identified Bottlenecks</w:t>
      </w:r>
    </w:p>
    <w:p w14:paraId="4BFB019A" w14:textId="77777777" w:rsidR="003C4150" w:rsidRDefault="00000000">
      <w:r>
        <w:t>The document is candid about what is slowing progress across four domains:</w:t>
      </w:r>
    </w:p>
    <w:p w14:paraId="4BFB019B" w14:textId="77777777" w:rsidR="003C4150" w:rsidRDefault="00000000">
      <w:pPr>
        <w:pStyle w:val="ListParagraph"/>
        <w:numPr>
          <w:ilvl w:val="0"/>
          <w:numId w:val="4"/>
        </w:numPr>
      </w:pPr>
      <w:r>
        <w:rPr>
          <w:b/>
          <w:bCs/>
        </w:rPr>
        <w:t xml:space="preserve">Production: </w:t>
      </w:r>
      <w:r>
        <w:t>editing, scripting, recording, publishing consistency</w:t>
      </w:r>
    </w:p>
    <w:p w14:paraId="4BFB019C" w14:textId="77777777" w:rsidR="003C4150" w:rsidRDefault="00000000">
      <w:pPr>
        <w:pStyle w:val="ListParagraph"/>
        <w:numPr>
          <w:ilvl w:val="0"/>
          <w:numId w:val="4"/>
        </w:numPr>
      </w:pPr>
      <w:r>
        <w:rPr>
          <w:b/>
          <w:bCs/>
        </w:rPr>
        <w:t xml:space="preserve">Operations: </w:t>
      </w:r>
      <w:r>
        <w:t>inbox overload, tool sprawl, file duplication, decision fatigue</w:t>
      </w:r>
    </w:p>
    <w:p w14:paraId="4BFB019D" w14:textId="77777777" w:rsidR="003C4150" w:rsidRDefault="00000000">
      <w:pPr>
        <w:pStyle w:val="ListParagraph"/>
        <w:numPr>
          <w:ilvl w:val="0"/>
          <w:numId w:val="4"/>
        </w:numPr>
      </w:pPr>
      <w:r>
        <w:rPr>
          <w:b/>
          <w:bCs/>
        </w:rPr>
        <w:t xml:space="preserve">Ecommerce: </w:t>
      </w:r>
      <w:r>
        <w:t>listing creation, cross-posting, inventory management</w:t>
      </w:r>
    </w:p>
    <w:p w14:paraId="4BFB019E" w14:textId="77777777" w:rsidR="003C4150" w:rsidRDefault="00000000">
      <w:pPr>
        <w:pStyle w:val="ListParagraph"/>
        <w:numPr>
          <w:ilvl w:val="0"/>
          <w:numId w:val="4"/>
        </w:numPr>
      </w:pPr>
      <w:r>
        <w:rPr>
          <w:b/>
          <w:bCs/>
        </w:rPr>
        <w:t xml:space="preserve">Mental/Creative: </w:t>
      </w:r>
      <w:r>
        <w:t>too many ideas, perfectionism, fear of committing to one direction, maintaining too many identities</w:t>
      </w:r>
    </w:p>
    <w:p w14:paraId="4BFB019F" w14:textId="77777777" w:rsidR="003C4150" w:rsidRDefault="00000000">
      <w:pPr>
        <w:spacing w:before="160"/>
      </w:pPr>
      <w:r>
        <w:rPr>
          <w:i/>
          <w:iCs/>
        </w:rPr>
        <w:t>The AI/Automation Strategy section identifies clear targets for delegation: editing, transcription, shorts clipping, SEO optimisation, research summarisation, workflow management, listing generation, and course formatting.</w:t>
      </w:r>
    </w:p>
    <w:p w14:paraId="4BFB01A0" w14:textId="77777777" w:rsidR="003C4150" w:rsidRDefault="00000000">
      <w:pPr>
        <w:pStyle w:val="Heading2"/>
      </w:pPr>
      <w:bookmarkStart w:id="4" w:name="section-23"/>
      <w:proofErr w:type="gramStart"/>
      <w:r>
        <w:t>2.3  Mission</w:t>
      </w:r>
      <w:proofErr w:type="gramEnd"/>
      <w:r>
        <w:t xml:space="preserve"> Control — Gantt Board</w:t>
      </w:r>
      <w:bookmarkEnd w:id="4"/>
    </w:p>
    <w:p w14:paraId="4BFB01A1" w14:textId="77777777" w:rsidR="003C4150" w:rsidRDefault="00000000">
      <w:r>
        <w:rPr>
          <w:b/>
          <w:bCs/>
        </w:rPr>
        <w:t xml:space="preserve">Source: </w:t>
      </w:r>
      <w:r>
        <w:rPr>
          <w:i/>
          <w:iCs/>
          <w:color w:val="888888"/>
        </w:rPr>
        <w:t>tee-gantt-board-guide.md.docx</w:t>
      </w:r>
    </w:p>
    <w:p w14:paraId="4BFB01A2" w14:textId="77777777" w:rsidR="003C4150" w:rsidRDefault="00000000">
      <w:r>
        <w:t xml:space="preserve">A complete user guide for a custom-built pre-departure planning application at </w:t>
      </w:r>
      <w:proofErr w:type="spellStart"/>
      <w:r>
        <w:rPr>
          <w:b/>
          <w:bCs/>
        </w:rPr>
        <w:t>teegantt-</w:t>
      </w:r>
      <w:proofErr w:type="gramStart"/>
      <w:r>
        <w:rPr>
          <w:b/>
          <w:bCs/>
        </w:rPr>
        <w:t>ecmihrmj.manus</w:t>
      </w:r>
      <w:proofErr w:type="gramEnd"/>
      <w:r>
        <w:rPr>
          <w:b/>
          <w:bCs/>
        </w:rPr>
        <w:t>.space</w:t>
      </w:r>
      <w:proofErr w:type="spellEnd"/>
      <w:r>
        <w:t>. This is the execution layer of Tee's current operational reality.</w:t>
      </w:r>
    </w:p>
    <w:p w14:paraId="4BFB01A3" w14:textId="77777777" w:rsidR="003C4150" w:rsidRDefault="00000000">
      <w:pPr>
        <w:spacing w:before="160" w:after="80"/>
      </w:pPr>
      <w:r>
        <w:rPr>
          <w:b/>
          <w:bCs/>
          <w:color w:val="1F3864"/>
        </w:rPr>
        <w:t>Core Purpose</w:t>
      </w:r>
    </w:p>
    <w:p w14:paraId="4BFB01A4" w14:textId="77777777" w:rsidR="003C4150" w:rsidRDefault="00000000">
      <w:r>
        <w:t xml:space="preserve">Get UK affairs in order before departing to </w:t>
      </w:r>
      <w:r>
        <w:rPr>
          <w:b/>
          <w:bCs/>
        </w:rPr>
        <w:t>Bolivia</w:t>
      </w:r>
      <w:r>
        <w:t xml:space="preserve"> for ESL volunteering and an ayahuasca retreat at </w:t>
      </w:r>
      <w:proofErr w:type="spellStart"/>
      <w:r>
        <w:t>Pisatahua</w:t>
      </w:r>
      <w:proofErr w:type="spellEnd"/>
      <w:r>
        <w:t>. The app tracks 15 projects and 35+ tasks across April–August 2026.</w:t>
      </w:r>
    </w:p>
    <w:p w14:paraId="4BFB01A5" w14:textId="77777777" w:rsidR="003C4150" w:rsidRDefault="00000000">
      <w:pPr>
        <w:spacing w:before="160" w:after="80"/>
      </w:pPr>
      <w:r>
        <w:rPr>
          <w:b/>
          <w:bCs/>
          <w:color w:val="1F3864"/>
        </w:rPr>
        <w:t>Mission Roles Tracked</w:t>
      </w:r>
    </w:p>
    <w:tbl>
      <w:tblPr>
        <w:tblW w:w="10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80" w:type="dxa"/>
          <w:left w:w="180" w:type="dxa"/>
          <w:bottom w:w="80" w:type="dxa"/>
          <w:right w:w="180" w:type="dxa"/>
        </w:tblCellMar>
        <w:tblLook w:val="0000" w:firstRow="0" w:lastRow="0" w:firstColumn="0" w:lastColumn="0" w:noHBand="0" w:noVBand="0"/>
      </w:tblPr>
      <w:tblGrid>
        <w:gridCol w:w="1905"/>
        <w:gridCol w:w="2182"/>
        <w:gridCol w:w="5299"/>
      </w:tblGrid>
      <w:tr w:rsidR="003C4150" w14:paraId="4BFB01A9" w14:textId="77777777">
        <w:trPr>
          <w:tblHeader/>
        </w:trPr>
        <w:tc>
          <w:tcPr>
            <w:tcW w:w="1800" w:type="dxa"/>
            <w:tcBorders>
              <w:top w:val="none" w:sz="0" w:space="0" w:color="FFFFFF"/>
              <w:left w:val="none" w:sz="0" w:space="0" w:color="FFFFFF"/>
              <w:bottom w:val="single" w:sz="6" w:space="0" w:color="4F81BD"/>
              <w:right w:val="none" w:sz="0" w:space="0" w:color="FFFFFF"/>
            </w:tcBorders>
          </w:tcPr>
          <w:p w14:paraId="4BFB01A6" w14:textId="77777777" w:rsidR="003C4150" w:rsidRDefault="00000000">
            <w:r>
              <w:rPr>
                <w:rFonts w:ascii="Calibri(Headings)" w:eastAsia="Calibri(Headings)" w:hAnsi="Calibri(Headings)" w:cs="Calibri(Headings)"/>
                <w:b/>
                <w:bCs/>
                <w:color w:val="1F3864"/>
                <w:sz w:val="22"/>
                <w:szCs w:val="22"/>
              </w:rPr>
              <w:t>Role</w:t>
            </w:r>
          </w:p>
        </w:tc>
        <w:tc>
          <w:tcPr>
            <w:tcW w:w="2200" w:type="dxa"/>
            <w:tcBorders>
              <w:top w:val="none" w:sz="0" w:space="0" w:color="FFFFFF"/>
              <w:left w:val="none" w:sz="0" w:space="0" w:color="FFFFFF"/>
              <w:bottom w:val="single" w:sz="6" w:space="0" w:color="4F81BD"/>
              <w:right w:val="none" w:sz="0" w:space="0" w:color="FFFFFF"/>
            </w:tcBorders>
          </w:tcPr>
          <w:p w14:paraId="4BFB01A7" w14:textId="77777777" w:rsidR="003C4150" w:rsidRDefault="00000000">
            <w:r>
              <w:rPr>
                <w:rFonts w:ascii="Calibri(Headings)" w:eastAsia="Calibri(Headings)" w:hAnsi="Calibri(Headings)" w:cs="Calibri(Headings)"/>
                <w:b/>
                <w:bCs/>
                <w:color w:val="1F3864"/>
                <w:sz w:val="22"/>
                <w:szCs w:val="22"/>
              </w:rPr>
              <w:t>Colour</w:t>
            </w:r>
          </w:p>
        </w:tc>
        <w:tc>
          <w:tcPr>
            <w:tcW w:w="5360" w:type="dxa"/>
            <w:tcBorders>
              <w:top w:val="none" w:sz="0" w:space="0" w:color="FFFFFF"/>
              <w:left w:val="none" w:sz="0" w:space="0" w:color="FFFFFF"/>
              <w:bottom w:val="single" w:sz="6" w:space="0" w:color="4F81BD"/>
              <w:right w:val="none" w:sz="0" w:space="0" w:color="FFFFFF"/>
            </w:tcBorders>
          </w:tcPr>
          <w:p w14:paraId="4BFB01A8" w14:textId="77777777" w:rsidR="003C4150" w:rsidRDefault="00000000">
            <w:r>
              <w:rPr>
                <w:rFonts w:ascii="Calibri(Headings)" w:eastAsia="Calibri(Headings)" w:hAnsi="Calibri(Headings)" w:cs="Calibri(Headings)"/>
                <w:b/>
                <w:bCs/>
                <w:color w:val="1F3864"/>
                <w:sz w:val="22"/>
                <w:szCs w:val="22"/>
              </w:rPr>
              <w:t>What It Covers</w:t>
            </w:r>
          </w:p>
        </w:tc>
      </w:tr>
      <w:tr w:rsidR="003C4150" w14:paraId="4BFB01AD" w14:textId="77777777">
        <w:tc>
          <w:tcPr>
            <w:tcW w:w="1800" w:type="dxa"/>
            <w:tcBorders>
              <w:top w:val="none" w:sz="0" w:space="0" w:color="FFFFFF"/>
              <w:left w:val="none" w:sz="0" w:space="0" w:color="FFFFFF"/>
              <w:bottom w:val="none" w:sz="0" w:space="0" w:color="FFFFFF"/>
              <w:right w:val="none" w:sz="0" w:space="0" w:color="FFFFFF"/>
            </w:tcBorders>
          </w:tcPr>
          <w:p w14:paraId="4BFB01AA" w14:textId="77777777" w:rsidR="003C4150" w:rsidRDefault="00000000">
            <w:r>
              <w:rPr>
                <w:b/>
                <w:bCs/>
                <w:color w:val="4F81BD"/>
                <w:sz w:val="22"/>
                <w:szCs w:val="22"/>
              </w:rPr>
              <w:t>BLOCKERS</w:t>
            </w:r>
          </w:p>
        </w:tc>
        <w:tc>
          <w:tcPr>
            <w:tcW w:w="2200" w:type="dxa"/>
            <w:tcBorders>
              <w:top w:val="none" w:sz="0" w:space="0" w:color="FFFFFF"/>
              <w:left w:val="none" w:sz="0" w:space="0" w:color="FFFFFF"/>
              <w:bottom w:val="none" w:sz="0" w:space="0" w:color="FFFFFF"/>
              <w:right w:val="none" w:sz="0" w:space="0" w:color="FFFFFF"/>
            </w:tcBorders>
          </w:tcPr>
          <w:p w14:paraId="4BFB01AB" w14:textId="77777777" w:rsidR="003C4150" w:rsidRDefault="00000000">
            <w:r>
              <w:rPr>
                <w:sz w:val="22"/>
                <w:szCs w:val="22"/>
              </w:rPr>
              <w:t>Red</w:t>
            </w:r>
          </w:p>
        </w:tc>
        <w:tc>
          <w:tcPr>
            <w:tcW w:w="5360" w:type="dxa"/>
            <w:tcBorders>
              <w:top w:val="none" w:sz="0" w:space="0" w:color="FFFFFF"/>
              <w:left w:val="none" w:sz="0" w:space="0" w:color="FFFFFF"/>
              <w:bottom w:val="none" w:sz="0" w:space="0" w:color="FFFFFF"/>
              <w:right w:val="none" w:sz="0" w:space="0" w:color="FFFFFF"/>
            </w:tcBorders>
          </w:tcPr>
          <w:p w14:paraId="4BFB01AC" w14:textId="77777777" w:rsidR="003C4150" w:rsidRDefault="00000000">
            <w:r>
              <w:rPr>
                <w:sz w:val="22"/>
                <w:szCs w:val="22"/>
              </w:rPr>
              <w:t>Legal dispute, CICA application — things stopping everything else</w:t>
            </w:r>
          </w:p>
        </w:tc>
      </w:tr>
      <w:tr w:rsidR="003C4150" w14:paraId="4BFB01B1" w14:textId="77777777">
        <w:tc>
          <w:tcPr>
            <w:tcW w:w="1800" w:type="dxa"/>
            <w:tcBorders>
              <w:top w:val="none" w:sz="0" w:space="0" w:color="FFFFFF"/>
              <w:left w:val="none" w:sz="0" w:space="0" w:color="FFFFFF"/>
              <w:bottom w:val="none" w:sz="0" w:space="0" w:color="FFFFFF"/>
              <w:right w:val="none" w:sz="0" w:space="0" w:color="FFFFFF"/>
            </w:tcBorders>
          </w:tcPr>
          <w:p w14:paraId="4BFB01AE" w14:textId="77777777" w:rsidR="003C4150" w:rsidRDefault="00000000">
            <w:r>
              <w:rPr>
                <w:b/>
                <w:bCs/>
                <w:color w:val="4F81BD"/>
                <w:sz w:val="22"/>
                <w:szCs w:val="22"/>
              </w:rPr>
              <w:t>MAINTENANCE</w:t>
            </w:r>
          </w:p>
        </w:tc>
        <w:tc>
          <w:tcPr>
            <w:tcW w:w="2200" w:type="dxa"/>
            <w:tcBorders>
              <w:top w:val="none" w:sz="0" w:space="0" w:color="FFFFFF"/>
              <w:left w:val="none" w:sz="0" w:space="0" w:color="FFFFFF"/>
              <w:bottom w:val="none" w:sz="0" w:space="0" w:color="FFFFFF"/>
              <w:right w:val="none" w:sz="0" w:space="0" w:color="FFFFFF"/>
            </w:tcBorders>
          </w:tcPr>
          <w:p w14:paraId="4BFB01AF" w14:textId="77777777" w:rsidR="003C4150" w:rsidRDefault="00000000">
            <w:r>
              <w:rPr>
                <w:sz w:val="22"/>
                <w:szCs w:val="22"/>
              </w:rPr>
              <w:t>Green</w:t>
            </w:r>
          </w:p>
        </w:tc>
        <w:tc>
          <w:tcPr>
            <w:tcW w:w="5360" w:type="dxa"/>
            <w:tcBorders>
              <w:top w:val="none" w:sz="0" w:space="0" w:color="FFFFFF"/>
              <w:left w:val="none" w:sz="0" w:space="0" w:color="FFFFFF"/>
              <w:bottom w:val="none" w:sz="0" w:space="0" w:color="FFFFFF"/>
              <w:right w:val="none" w:sz="0" w:space="0" w:color="FFFFFF"/>
            </w:tcBorders>
          </w:tcPr>
          <w:p w14:paraId="4BFB01B0" w14:textId="77777777" w:rsidR="003C4150" w:rsidRDefault="00000000">
            <w:r>
              <w:rPr>
                <w:sz w:val="22"/>
                <w:szCs w:val="22"/>
              </w:rPr>
              <w:t>Health — GP, dentist, optician, dog health, vaccinations</w:t>
            </w:r>
          </w:p>
        </w:tc>
      </w:tr>
      <w:tr w:rsidR="003C4150" w14:paraId="4BFB01B5" w14:textId="77777777">
        <w:tc>
          <w:tcPr>
            <w:tcW w:w="1800" w:type="dxa"/>
            <w:tcBorders>
              <w:top w:val="none" w:sz="0" w:space="0" w:color="FFFFFF"/>
              <w:left w:val="none" w:sz="0" w:space="0" w:color="FFFFFF"/>
              <w:bottom w:val="none" w:sz="0" w:space="0" w:color="FFFFFF"/>
              <w:right w:val="none" w:sz="0" w:space="0" w:color="FFFFFF"/>
            </w:tcBorders>
          </w:tcPr>
          <w:p w14:paraId="4BFB01B2" w14:textId="77777777" w:rsidR="003C4150" w:rsidRDefault="00000000">
            <w:r>
              <w:rPr>
                <w:b/>
                <w:bCs/>
                <w:color w:val="4F81BD"/>
                <w:sz w:val="22"/>
                <w:szCs w:val="22"/>
              </w:rPr>
              <w:t>FUNDING</w:t>
            </w:r>
          </w:p>
        </w:tc>
        <w:tc>
          <w:tcPr>
            <w:tcW w:w="2200" w:type="dxa"/>
            <w:tcBorders>
              <w:top w:val="none" w:sz="0" w:space="0" w:color="FFFFFF"/>
              <w:left w:val="none" w:sz="0" w:space="0" w:color="FFFFFF"/>
              <w:bottom w:val="none" w:sz="0" w:space="0" w:color="FFFFFF"/>
              <w:right w:val="none" w:sz="0" w:space="0" w:color="FFFFFF"/>
            </w:tcBorders>
          </w:tcPr>
          <w:p w14:paraId="4BFB01B3" w14:textId="77777777" w:rsidR="003C4150" w:rsidRDefault="00000000">
            <w:r>
              <w:rPr>
                <w:sz w:val="22"/>
                <w:szCs w:val="22"/>
              </w:rPr>
              <w:t>Amber</w:t>
            </w:r>
          </w:p>
        </w:tc>
        <w:tc>
          <w:tcPr>
            <w:tcW w:w="5360" w:type="dxa"/>
            <w:tcBorders>
              <w:top w:val="none" w:sz="0" w:space="0" w:color="FFFFFF"/>
              <w:left w:val="none" w:sz="0" w:space="0" w:color="FFFFFF"/>
              <w:bottom w:val="none" w:sz="0" w:space="0" w:color="FFFFFF"/>
              <w:right w:val="none" w:sz="0" w:space="0" w:color="FFFFFF"/>
            </w:tcBorders>
          </w:tcPr>
          <w:p w14:paraId="4BFB01B4" w14:textId="77777777" w:rsidR="003C4150" w:rsidRDefault="00000000">
            <w:r>
              <w:rPr>
                <w:sz w:val="22"/>
                <w:szCs w:val="22"/>
              </w:rPr>
              <w:t>Financial — stock liquidation, Airbnb setup, budget, Pardner</w:t>
            </w:r>
          </w:p>
        </w:tc>
      </w:tr>
      <w:tr w:rsidR="003C4150" w14:paraId="4BFB01B9" w14:textId="77777777">
        <w:tc>
          <w:tcPr>
            <w:tcW w:w="1800" w:type="dxa"/>
            <w:tcBorders>
              <w:top w:val="none" w:sz="0" w:space="0" w:color="FFFFFF"/>
              <w:left w:val="none" w:sz="0" w:space="0" w:color="FFFFFF"/>
              <w:bottom w:val="none" w:sz="0" w:space="0" w:color="FFFFFF"/>
              <w:right w:val="none" w:sz="0" w:space="0" w:color="FFFFFF"/>
            </w:tcBorders>
          </w:tcPr>
          <w:p w14:paraId="4BFB01B6" w14:textId="77777777" w:rsidR="003C4150" w:rsidRDefault="00000000">
            <w:r>
              <w:rPr>
                <w:b/>
                <w:bCs/>
                <w:color w:val="4F81BD"/>
                <w:sz w:val="22"/>
                <w:szCs w:val="22"/>
              </w:rPr>
              <w:t>ENVIRONMENT</w:t>
            </w:r>
          </w:p>
        </w:tc>
        <w:tc>
          <w:tcPr>
            <w:tcW w:w="2200" w:type="dxa"/>
            <w:tcBorders>
              <w:top w:val="none" w:sz="0" w:space="0" w:color="FFFFFF"/>
              <w:left w:val="none" w:sz="0" w:space="0" w:color="FFFFFF"/>
              <w:bottom w:val="none" w:sz="0" w:space="0" w:color="FFFFFF"/>
              <w:right w:val="none" w:sz="0" w:space="0" w:color="FFFFFF"/>
            </w:tcBorders>
          </w:tcPr>
          <w:p w14:paraId="4BFB01B7" w14:textId="77777777" w:rsidR="003C4150" w:rsidRDefault="00000000">
            <w:r>
              <w:rPr>
                <w:sz w:val="22"/>
                <w:szCs w:val="22"/>
              </w:rPr>
              <w:t>Orange</w:t>
            </w:r>
          </w:p>
        </w:tc>
        <w:tc>
          <w:tcPr>
            <w:tcW w:w="5360" w:type="dxa"/>
            <w:tcBorders>
              <w:top w:val="none" w:sz="0" w:space="0" w:color="FFFFFF"/>
              <w:left w:val="none" w:sz="0" w:space="0" w:color="FFFFFF"/>
              <w:bottom w:val="none" w:sz="0" w:space="0" w:color="FFFFFF"/>
              <w:right w:val="none" w:sz="0" w:space="0" w:color="FFFFFF"/>
            </w:tcBorders>
          </w:tcPr>
          <w:p w14:paraId="4BFB01B8" w14:textId="77777777" w:rsidR="003C4150" w:rsidRDefault="00000000">
            <w:r>
              <w:rPr>
                <w:sz w:val="22"/>
                <w:szCs w:val="22"/>
              </w:rPr>
              <w:t>Practical — home renovation, clearance, furnishing</w:t>
            </w:r>
          </w:p>
        </w:tc>
      </w:tr>
      <w:tr w:rsidR="003C4150" w14:paraId="4BFB01BD" w14:textId="77777777">
        <w:tc>
          <w:tcPr>
            <w:tcW w:w="1800" w:type="dxa"/>
            <w:tcBorders>
              <w:top w:val="none" w:sz="0" w:space="0" w:color="FFFFFF"/>
              <w:left w:val="none" w:sz="0" w:space="0" w:color="FFFFFF"/>
              <w:bottom w:val="none" w:sz="0" w:space="0" w:color="FFFFFF"/>
              <w:right w:val="none" w:sz="0" w:space="0" w:color="FFFFFF"/>
            </w:tcBorders>
          </w:tcPr>
          <w:p w14:paraId="4BFB01BA" w14:textId="77777777" w:rsidR="003C4150" w:rsidRDefault="00000000">
            <w:r>
              <w:rPr>
                <w:b/>
                <w:bCs/>
                <w:color w:val="4F81BD"/>
                <w:sz w:val="22"/>
                <w:szCs w:val="22"/>
              </w:rPr>
              <w:t>DEPARTURE</w:t>
            </w:r>
          </w:p>
        </w:tc>
        <w:tc>
          <w:tcPr>
            <w:tcW w:w="2200" w:type="dxa"/>
            <w:tcBorders>
              <w:top w:val="none" w:sz="0" w:space="0" w:color="FFFFFF"/>
              <w:left w:val="none" w:sz="0" w:space="0" w:color="FFFFFF"/>
              <w:bottom w:val="none" w:sz="0" w:space="0" w:color="FFFFFF"/>
              <w:right w:val="none" w:sz="0" w:space="0" w:color="FFFFFF"/>
            </w:tcBorders>
          </w:tcPr>
          <w:p w14:paraId="4BFB01BB" w14:textId="77777777" w:rsidR="003C4150" w:rsidRDefault="00000000">
            <w:r>
              <w:rPr>
                <w:sz w:val="22"/>
                <w:szCs w:val="22"/>
              </w:rPr>
              <w:t>Blue</w:t>
            </w:r>
          </w:p>
        </w:tc>
        <w:tc>
          <w:tcPr>
            <w:tcW w:w="5360" w:type="dxa"/>
            <w:tcBorders>
              <w:top w:val="none" w:sz="0" w:space="0" w:color="FFFFFF"/>
              <w:left w:val="none" w:sz="0" w:space="0" w:color="FFFFFF"/>
              <w:bottom w:val="none" w:sz="0" w:space="0" w:color="FFFFFF"/>
              <w:right w:val="none" w:sz="0" w:space="0" w:color="FFFFFF"/>
            </w:tcBorders>
          </w:tcPr>
          <w:p w14:paraId="4BFB01BC" w14:textId="77777777" w:rsidR="003C4150" w:rsidRDefault="00000000">
            <w:r>
              <w:rPr>
                <w:sz w:val="22"/>
                <w:szCs w:val="22"/>
              </w:rPr>
              <w:t>Travel — visa, passport, flights, trip planning</w:t>
            </w:r>
          </w:p>
        </w:tc>
      </w:tr>
      <w:tr w:rsidR="003C4150" w14:paraId="4BFB01C1" w14:textId="77777777">
        <w:tc>
          <w:tcPr>
            <w:tcW w:w="1800" w:type="dxa"/>
            <w:tcBorders>
              <w:top w:val="none" w:sz="0" w:space="0" w:color="FFFFFF"/>
              <w:left w:val="none" w:sz="0" w:space="0" w:color="FFFFFF"/>
              <w:bottom w:val="none" w:sz="0" w:space="0" w:color="FFFFFF"/>
              <w:right w:val="none" w:sz="0" w:space="0" w:color="FFFFFF"/>
            </w:tcBorders>
          </w:tcPr>
          <w:p w14:paraId="4BFB01BE" w14:textId="77777777" w:rsidR="003C4150" w:rsidRDefault="00000000">
            <w:r>
              <w:rPr>
                <w:b/>
                <w:bCs/>
                <w:color w:val="4F81BD"/>
                <w:sz w:val="22"/>
                <w:szCs w:val="22"/>
              </w:rPr>
              <w:t>OUTPUT</w:t>
            </w:r>
          </w:p>
        </w:tc>
        <w:tc>
          <w:tcPr>
            <w:tcW w:w="2200" w:type="dxa"/>
            <w:tcBorders>
              <w:top w:val="none" w:sz="0" w:space="0" w:color="FFFFFF"/>
              <w:left w:val="none" w:sz="0" w:space="0" w:color="FFFFFF"/>
              <w:bottom w:val="none" w:sz="0" w:space="0" w:color="FFFFFF"/>
              <w:right w:val="none" w:sz="0" w:space="0" w:color="FFFFFF"/>
            </w:tcBorders>
          </w:tcPr>
          <w:p w14:paraId="4BFB01BF" w14:textId="77777777" w:rsidR="003C4150" w:rsidRDefault="00000000">
            <w:r>
              <w:rPr>
                <w:sz w:val="22"/>
                <w:szCs w:val="22"/>
              </w:rPr>
              <w:t>Pink</w:t>
            </w:r>
          </w:p>
        </w:tc>
        <w:tc>
          <w:tcPr>
            <w:tcW w:w="5360" w:type="dxa"/>
            <w:tcBorders>
              <w:top w:val="none" w:sz="0" w:space="0" w:color="FFFFFF"/>
              <w:left w:val="none" w:sz="0" w:space="0" w:color="FFFFFF"/>
              <w:bottom w:val="none" w:sz="0" w:space="0" w:color="FFFFFF"/>
              <w:right w:val="none" w:sz="0" w:space="0" w:color="FFFFFF"/>
            </w:tcBorders>
          </w:tcPr>
          <w:p w14:paraId="4BFB01C0" w14:textId="77777777" w:rsidR="003C4150" w:rsidRDefault="00000000">
            <w:r>
              <w:rPr>
                <w:sz w:val="22"/>
                <w:szCs w:val="22"/>
              </w:rPr>
              <w:t xml:space="preserve">Vocational — ESL prep, </w:t>
            </w:r>
            <w:proofErr w:type="spellStart"/>
            <w:r>
              <w:rPr>
                <w:sz w:val="22"/>
                <w:szCs w:val="22"/>
              </w:rPr>
              <w:t>Pisatahua</w:t>
            </w:r>
            <w:proofErr w:type="spellEnd"/>
            <w:r>
              <w:rPr>
                <w:sz w:val="22"/>
                <w:szCs w:val="22"/>
              </w:rPr>
              <w:t xml:space="preserve"> content, blog, Amazon Crafts</w:t>
            </w:r>
          </w:p>
        </w:tc>
      </w:tr>
      <w:tr w:rsidR="003C4150" w14:paraId="4BFB01C5" w14:textId="77777777">
        <w:tc>
          <w:tcPr>
            <w:tcW w:w="1800" w:type="dxa"/>
            <w:tcBorders>
              <w:top w:val="none" w:sz="0" w:space="0" w:color="FFFFFF"/>
              <w:left w:val="none" w:sz="0" w:space="0" w:color="FFFFFF"/>
              <w:bottom w:val="none" w:sz="0" w:space="0" w:color="FFFFFF"/>
              <w:right w:val="none" w:sz="0" w:space="0" w:color="FFFFFF"/>
            </w:tcBorders>
          </w:tcPr>
          <w:p w14:paraId="4BFB01C2" w14:textId="77777777" w:rsidR="003C4150" w:rsidRDefault="00000000">
            <w:r>
              <w:rPr>
                <w:b/>
                <w:bCs/>
                <w:color w:val="4F81BD"/>
                <w:sz w:val="22"/>
                <w:szCs w:val="22"/>
              </w:rPr>
              <w:t>ALIGNMENT</w:t>
            </w:r>
          </w:p>
        </w:tc>
        <w:tc>
          <w:tcPr>
            <w:tcW w:w="2200" w:type="dxa"/>
            <w:tcBorders>
              <w:top w:val="none" w:sz="0" w:space="0" w:color="FFFFFF"/>
              <w:left w:val="none" w:sz="0" w:space="0" w:color="FFFFFF"/>
              <w:bottom w:val="none" w:sz="0" w:space="0" w:color="FFFFFF"/>
              <w:right w:val="none" w:sz="0" w:space="0" w:color="FFFFFF"/>
            </w:tcBorders>
          </w:tcPr>
          <w:p w14:paraId="4BFB01C3" w14:textId="77777777" w:rsidR="003C4150" w:rsidRDefault="00000000">
            <w:r>
              <w:rPr>
                <w:sz w:val="22"/>
                <w:szCs w:val="22"/>
              </w:rPr>
              <w:t>Purple</w:t>
            </w:r>
          </w:p>
        </w:tc>
        <w:tc>
          <w:tcPr>
            <w:tcW w:w="5360" w:type="dxa"/>
            <w:tcBorders>
              <w:top w:val="none" w:sz="0" w:space="0" w:color="FFFFFF"/>
              <w:left w:val="none" w:sz="0" w:space="0" w:color="FFFFFF"/>
              <w:bottom w:val="none" w:sz="0" w:space="0" w:color="FFFFFF"/>
              <w:right w:val="none" w:sz="0" w:space="0" w:color="FFFFFF"/>
            </w:tcBorders>
          </w:tcPr>
          <w:p w14:paraId="4BFB01C4" w14:textId="77777777" w:rsidR="003C4150" w:rsidRDefault="00000000">
            <w:r>
              <w:rPr>
                <w:sz w:val="22"/>
                <w:szCs w:val="22"/>
              </w:rPr>
              <w:t>Spiritual — Gnostic Eye, retreat preparation</w:t>
            </w:r>
          </w:p>
        </w:tc>
      </w:tr>
    </w:tbl>
    <w:p w14:paraId="4BFB01C6" w14:textId="77777777" w:rsidR="003C4150" w:rsidRDefault="00000000">
      <w:pPr>
        <w:spacing w:before="160"/>
      </w:pPr>
      <w:r>
        <w:t>The readiness score (Red 0–39% → Amber 40–74% → Green 75–100%) is weighted toward BLOCKERS and MAINTENANCE completion — correctly prioritising the legal and health foundations before departure logistics.</w:t>
      </w:r>
    </w:p>
    <w:p w14:paraId="4BFB01C7" w14:textId="77777777" w:rsidR="003C4150" w:rsidRDefault="00000000">
      <w:pPr>
        <w:pStyle w:val="Heading2"/>
      </w:pPr>
      <w:bookmarkStart w:id="5" w:name="section-24"/>
      <w:proofErr w:type="gramStart"/>
      <w:r>
        <w:t>2.4  Baseline</w:t>
      </w:r>
      <w:proofErr w:type="gramEnd"/>
      <w:r>
        <w:t xml:space="preserve"> Intake Workspace (Interactive)</w:t>
      </w:r>
      <w:bookmarkEnd w:id="5"/>
    </w:p>
    <w:p w14:paraId="4BFB01C8" w14:textId="77777777" w:rsidR="003C4150" w:rsidRDefault="00000000">
      <w:r>
        <w:rPr>
          <w:b/>
          <w:bCs/>
        </w:rPr>
        <w:t xml:space="preserve">Source: </w:t>
      </w:r>
      <w:r>
        <w:rPr>
          <w:i/>
          <w:iCs/>
          <w:color w:val="888888"/>
        </w:rPr>
        <w:t>INTERACTIVE.pdf</w:t>
      </w:r>
      <w:r>
        <w:rPr>
          <w:color w:val="888888"/>
        </w:rPr>
        <w:t xml:space="preserve"> (dated 29 May 2026)</w:t>
      </w:r>
    </w:p>
    <w:p w14:paraId="4BFB01C9" w14:textId="77777777" w:rsidR="003C4150" w:rsidRDefault="00000000">
      <w:r>
        <w:t>A custom-built dark-mode HTML web application — a client-facing or community-facing AI onboarding tool. It collects user baseline parameters (tools used, working style, preferences, desired outcomes) and generates a personalised AI Playbook via Gemini API integration.</w:t>
      </w:r>
    </w:p>
    <w:p w14:paraId="4BFB01CA" w14:textId="77777777" w:rsidR="003C4150" w:rsidRDefault="00000000">
      <w:pPr>
        <w:pStyle w:val="ListParagraph"/>
        <w:numPr>
          <w:ilvl w:val="0"/>
          <w:numId w:val="5"/>
        </w:numPr>
      </w:pPr>
      <w:r>
        <w:t>Supports voice dictation, JSON export, and local archive saving</w:t>
      </w:r>
    </w:p>
    <w:p w14:paraId="4BFB01CB" w14:textId="77777777" w:rsidR="003C4150" w:rsidRDefault="00000000">
      <w:pPr>
        <w:pStyle w:val="ListParagraph"/>
        <w:numPr>
          <w:ilvl w:val="0"/>
          <w:numId w:val="5"/>
        </w:numPr>
      </w:pPr>
      <w:r>
        <w:t>Onboarding styles: Dive In / Quick Guide / Deep Dive</w:t>
      </w:r>
    </w:p>
    <w:p w14:paraId="4BFB01CC" w14:textId="77777777" w:rsidR="003C4150" w:rsidRDefault="00000000">
      <w:pPr>
        <w:pStyle w:val="ListParagraph"/>
        <w:numPr>
          <w:ilvl w:val="0"/>
          <w:numId w:val="5"/>
        </w:numPr>
      </w:pPr>
      <w:r>
        <w:t>Timeline options: Sprint (3–5 days) / Standard (1 week) / Adaptive (Ongoing)</w:t>
      </w:r>
    </w:p>
    <w:p w14:paraId="4BFB01CD" w14:textId="77777777" w:rsidR="003C4150" w:rsidRDefault="00000000">
      <w:pPr>
        <w:pStyle w:val="ListParagraph"/>
        <w:numPr>
          <w:ilvl w:val="0"/>
          <w:numId w:val="5"/>
        </w:numPr>
      </w:pPr>
      <w:r>
        <w:t>Clipboard fallback for users without a Gemini API key (works with ChatGPT or Claude)</w:t>
      </w:r>
    </w:p>
    <w:p w14:paraId="4BFB01CE" w14:textId="77777777" w:rsidR="003C4150" w:rsidRDefault="00000000">
      <w:pPr>
        <w:spacing w:before="160"/>
      </w:pPr>
      <w:r>
        <w:t xml:space="preserve">This tool is the </w:t>
      </w:r>
      <w:r>
        <w:rPr>
          <w:b/>
          <w:bCs/>
        </w:rPr>
        <w:t>built implementation</w:t>
      </w:r>
      <w:r>
        <w:t xml:space="preserve"> of the AI Onboarding Map (created February 2026). It represents Tee productising her own onboarding experience into something teachable and repeatable — consistent with her stated evolution toward structured systems and teaching.</w:t>
      </w:r>
    </w:p>
    <w:p w14:paraId="4BFB01CF" w14:textId="77777777" w:rsidR="003C4150" w:rsidRDefault="00000000">
      <w:pPr>
        <w:pStyle w:val="Heading2"/>
      </w:pPr>
      <w:bookmarkStart w:id="6" w:name="section-25"/>
      <w:proofErr w:type="gramStart"/>
      <w:r>
        <w:t>2.5  Visual</w:t>
      </w:r>
      <w:proofErr w:type="gramEnd"/>
      <w:r>
        <w:t xml:space="preserve"> &amp; Image-Based Files</w:t>
      </w:r>
      <w:bookmarkEnd w:id="6"/>
    </w:p>
    <w:p w14:paraId="4BFB01D0" w14:textId="77777777" w:rsidR="003C4150" w:rsidRDefault="00000000">
      <w:r>
        <w:rPr>
          <w:b/>
          <w:bCs/>
        </w:rPr>
        <w:t xml:space="preserve">Sources: </w:t>
      </w:r>
      <w:r>
        <w:rPr>
          <w:i/>
          <w:iCs/>
          <w:color w:val="888888"/>
        </w:rPr>
        <w:t>PORTFOLIO.pdf, pddf.pdf, AI-Onboarding-Map.pdf</w:t>
      </w:r>
    </w:p>
    <w:tbl>
      <w:tblPr>
        <w:tblW w:w="10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80" w:type="dxa"/>
          <w:left w:w="180" w:type="dxa"/>
          <w:bottom w:w="80" w:type="dxa"/>
          <w:right w:w="180" w:type="dxa"/>
        </w:tblCellMar>
        <w:tblLook w:val="0000" w:firstRow="0" w:lastRow="0" w:firstColumn="0" w:lastColumn="0" w:noHBand="0" w:noVBand="0"/>
      </w:tblPr>
      <w:tblGrid>
        <w:gridCol w:w="2398"/>
        <w:gridCol w:w="1998"/>
        <w:gridCol w:w="4990"/>
      </w:tblGrid>
      <w:tr w:rsidR="003C4150" w14:paraId="4BFB01D4" w14:textId="77777777">
        <w:trPr>
          <w:tblHeader/>
        </w:trPr>
        <w:tc>
          <w:tcPr>
            <w:tcW w:w="2400" w:type="dxa"/>
            <w:tcBorders>
              <w:top w:val="none" w:sz="0" w:space="0" w:color="FFFFFF"/>
              <w:left w:val="none" w:sz="0" w:space="0" w:color="FFFFFF"/>
              <w:bottom w:val="single" w:sz="6" w:space="0" w:color="4F81BD"/>
              <w:right w:val="none" w:sz="0" w:space="0" w:color="FFFFFF"/>
            </w:tcBorders>
          </w:tcPr>
          <w:p w14:paraId="4BFB01D1" w14:textId="77777777" w:rsidR="003C4150" w:rsidRDefault="00000000">
            <w:r>
              <w:rPr>
                <w:rFonts w:ascii="Calibri(Headings)" w:eastAsia="Calibri(Headings)" w:hAnsi="Calibri(Headings)" w:cs="Calibri(Headings)"/>
                <w:b/>
                <w:bCs/>
                <w:color w:val="1F3864"/>
                <w:sz w:val="22"/>
                <w:szCs w:val="22"/>
              </w:rPr>
              <w:t>File</w:t>
            </w:r>
          </w:p>
        </w:tc>
        <w:tc>
          <w:tcPr>
            <w:tcW w:w="2000" w:type="dxa"/>
            <w:tcBorders>
              <w:top w:val="none" w:sz="0" w:space="0" w:color="FFFFFF"/>
              <w:left w:val="none" w:sz="0" w:space="0" w:color="FFFFFF"/>
              <w:bottom w:val="single" w:sz="6" w:space="0" w:color="4F81BD"/>
              <w:right w:val="none" w:sz="0" w:space="0" w:color="FFFFFF"/>
            </w:tcBorders>
          </w:tcPr>
          <w:p w14:paraId="4BFB01D2" w14:textId="77777777" w:rsidR="003C4150" w:rsidRDefault="00000000">
            <w:r>
              <w:rPr>
                <w:rFonts w:ascii="Calibri(Headings)" w:eastAsia="Calibri(Headings)" w:hAnsi="Calibri(Headings)" w:cs="Calibri(Headings)"/>
                <w:b/>
                <w:bCs/>
                <w:color w:val="1F3864"/>
                <w:sz w:val="22"/>
                <w:szCs w:val="22"/>
              </w:rPr>
              <w:t>Structure</w:t>
            </w:r>
          </w:p>
        </w:tc>
        <w:tc>
          <w:tcPr>
            <w:tcW w:w="5000" w:type="dxa"/>
            <w:tcBorders>
              <w:top w:val="none" w:sz="0" w:space="0" w:color="FFFFFF"/>
              <w:left w:val="none" w:sz="0" w:space="0" w:color="FFFFFF"/>
              <w:bottom w:val="single" w:sz="6" w:space="0" w:color="4F81BD"/>
              <w:right w:val="none" w:sz="0" w:space="0" w:color="FFFFFF"/>
            </w:tcBorders>
          </w:tcPr>
          <w:p w14:paraId="4BFB01D3" w14:textId="77777777" w:rsidR="003C4150" w:rsidRDefault="00000000">
            <w:r>
              <w:rPr>
                <w:rFonts w:ascii="Calibri(Headings)" w:eastAsia="Calibri(Headings)" w:hAnsi="Calibri(Headings)" w:cs="Calibri(Headings)"/>
                <w:b/>
                <w:bCs/>
                <w:color w:val="1F3864"/>
                <w:sz w:val="22"/>
                <w:szCs w:val="22"/>
              </w:rPr>
              <w:t>Surmise</w:t>
            </w:r>
          </w:p>
        </w:tc>
      </w:tr>
      <w:tr w:rsidR="003C4150" w14:paraId="4BFB01D8" w14:textId="77777777">
        <w:tc>
          <w:tcPr>
            <w:tcW w:w="2400" w:type="dxa"/>
            <w:tcBorders>
              <w:top w:val="none" w:sz="0" w:space="0" w:color="FFFFFF"/>
              <w:left w:val="none" w:sz="0" w:space="0" w:color="FFFFFF"/>
              <w:bottom w:val="none" w:sz="0" w:space="0" w:color="FFFFFF"/>
              <w:right w:val="none" w:sz="0" w:space="0" w:color="FFFFFF"/>
            </w:tcBorders>
          </w:tcPr>
          <w:p w14:paraId="4BFB01D5" w14:textId="77777777" w:rsidR="003C4150" w:rsidRDefault="00000000">
            <w:r>
              <w:rPr>
                <w:b/>
                <w:bCs/>
                <w:color w:val="4F81BD"/>
                <w:sz w:val="20"/>
                <w:szCs w:val="20"/>
              </w:rPr>
              <w:t>PORTFOLIO.pdf</w:t>
            </w:r>
          </w:p>
        </w:tc>
        <w:tc>
          <w:tcPr>
            <w:tcW w:w="2000" w:type="dxa"/>
            <w:tcBorders>
              <w:top w:val="none" w:sz="0" w:space="0" w:color="FFFFFF"/>
              <w:left w:val="none" w:sz="0" w:space="0" w:color="FFFFFF"/>
              <w:bottom w:val="none" w:sz="0" w:space="0" w:color="FFFFFF"/>
              <w:right w:val="none" w:sz="0" w:space="0" w:color="FFFFFF"/>
            </w:tcBorders>
          </w:tcPr>
          <w:p w14:paraId="4BFB01D6" w14:textId="77777777" w:rsidR="003C4150" w:rsidRDefault="00000000">
            <w:r>
              <w:rPr>
                <w:i/>
                <w:iCs/>
                <w:sz w:val="20"/>
                <w:szCs w:val="20"/>
              </w:rPr>
              <w:t xml:space="preserve">32 pages, 118 thumbnail images, </w:t>
            </w:r>
            <w:proofErr w:type="gramStart"/>
            <w:r>
              <w:rPr>
                <w:i/>
                <w:iCs/>
                <w:sz w:val="20"/>
                <w:szCs w:val="20"/>
              </w:rPr>
              <w:t>317 page</w:t>
            </w:r>
            <w:proofErr w:type="gramEnd"/>
            <w:r>
              <w:rPr>
                <w:i/>
                <w:iCs/>
                <w:sz w:val="20"/>
                <w:szCs w:val="20"/>
              </w:rPr>
              <w:t xml:space="preserve"> refs</w:t>
            </w:r>
          </w:p>
        </w:tc>
        <w:tc>
          <w:tcPr>
            <w:tcW w:w="5000" w:type="dxa"/>
            <w:tcBorders>
              <w:top w:val="none" w:sz="0" w:space="0" w:color="FFFFFF"/>
              <w:left w:val="none" w:sz="0" w:space="0" w:color="FFFFFF"/>
              <w:bottom w:val="none" w:sz="0" w:space="0" w:color="FFFFFF"/>
              <w:right w:val="none" w:sz="0" w:space="0" w:color="FFFFFF"/>
            </w:tcBorders>
          </w:tcPr>
          <w:p w14:paraId="4BFB01D7" w14:textId="77777777" w:rsidR="003C4150" w:rsidRDefault="00000000">
            <w:r>
              <w:rPr>
                <w:sz w:val="20"/>
                <w:szCs w:val="20"/>
              </w:rPr>
              <w:t>Product/platform showcase catalogue — likely displaying Gnostic Oracle, course products, AI tools, or resale inventory systems. Recurring header/logo elements confirm consistent branding.</w:t>
            </w:r>
          </w:p>
        </w:tc>
      </w:tr>
      <w:tr w:rsidR="003C4150" w14:paraId="4BFB01DC" w14:textId="77777777">
        <w:tc>
          <w:tcPr>
            <w:tcW w:w="2400" w:type="dxa"/>
            <w:tcBorders>
              <w:top w:val="none" w:sz="0" w:space="0" w:color="FFFFFF"/>
              <w:left w:val="none" w:sz="0" w:space="0" w:color="FFFFFF"/>
              <w:bottom w:val="none" w:sz="0" w:space="0" w:color="FFFFFF"/>
              <w:right w:val="none" w:sz="0" w:space="0" w:color="FFFFFF"/>
            </w:tcBorders>
          </w:tcPr>
          <w:p w14:paraId="4BFB01D9" w14:textId="77777777" w:rsidR="003C4150" w:rsidRDefault="00000000">
            <w:r>
              <w:rPr>
                <w:b/>
                <w:bCs/>
                <w:color w:val="4F81BD"/>
                <w:sz w:val="20"/>
                <w:szCs w:val="20"/>
              </w:rPr>
              <w:t>pddf.pdf</w:t>
            </w:r>
          </w:p>
        </w:tc>
        <w:tc>
          <w:tcPr>
            <w:tcW w:w="2000" w:type="dxa"/>
            <w:tcBorders>
              <w:top w:val="none" w:sz="0" w:space="0" w:color="FFFFFF"/>
              <w:left w:val="none" w:sz="0" w:space="0" w:color="FFFFFF"/>
              <w:bottom w:val="none" w:sz="0" w:space="0" w:color="FFFFFF"/>
              <w:right w:val="none" w:sz="0" w:space="0" w:color="FFFFFF"/>
            </w:tcBorders>
          </w:tcPr>
          <w:p w14:paraId="4BFB01DA" w14:textId="77777777" w:rsidR="003C4150" w:rsidRDefault="00000000">
            <w:r>
              <w:rPr>
                <w:i/>
                <w:iCs/>
                <w:sz w:val="20"/>
                <w:szCs w:val="20"/>
              </w:rPr>
              <w:t>23 pages, each with 3 images at 1920×500px</w:t>
            </w:r>
          </w:p>
        </w:tc>
        <w:tc>
          <w:tcPr>
            <w:tcW w:w="5000" w:type="dxa"/>
            <w:tcBorders>
              <w:top w:val="none" w:sz="0" w:space="0" w:color="FFFFFF"/>
              <w:left w:val="none" w:sz="0" w:space="0" w:color="FFFFFF"/>
              <w:bottom w:val="none" w:sz="0" w:space="0" w:color="FFFFFF"/>
              <w:right w:val="none" w:sz="0" w:space="0" w:color="FFFFFF"/>
            </w:tcBorders>
          </w:tcPr>
          <w:p w14:paraId="4BFB01DB" w14:textId="77777777" w:rsidR="003C4150" w:rsidRDefault="00000000">
            <w:r>
              <w:rPr>
                <w:sz w:val="20"/>
                <w:szCs w:val="20"/>
              </w:rPr>
              <w:t xml:space="preserve">PDF export of a website or landing page series. The 1920×500 banner format is a standard web hero image dimension — likely </w:t>
            </w:r>
            <w:proofErr w:type="spellStart"/>
            <w:r>
              <w:rPr>
                <w:sz w:val="20"/>
                <w:szCs w:val="20"/>
              </w:rPr>
              <w:t>Pisatahua</w:t>
            </w:r>
            <w:proofErr w:type="spellEnd"/>
            <w:r>
              <w:rPr>
                <w:sz w:val="20"/>
                <w:szCs w:val="20"/>
              </w:rPr>
              <w:t>, Veil Cartography, or a product sales page.</w:t>
            </w:r>
          </w:p>
        </w:tc>
      </w:tr>
      <w:tr w:rsidR="003C4150" w14:paraId="4BFB01E0" w14:textId="77777777">
        <w:tc>
          <w:tcPr>
            <w:tcW w:w="2400" w:type="dxa"/>
            <w:tcBorders>
              <w:top w:val="none" w:sz="0" w:space="0" w:color="FFFFFF"/>
              <w:left w:val="none" w:sz="0" w:space="0" w:color="FFFFFF"/>
              <w:bottom w:val="none" w:sz="0" w:space="0" w:color="FFFFFF"/>
              <w:right w:val="none" w:sz="0" w:space="0" w:color="FFFFFF"/>
            </w:tcBorders>
          </w:tcPr>
          <w:p w14:paraId="4BFB01DD" w14:textId="77777777" w:rsidR="003C4150" w:rsidRDefault="00000000">
            <w:r>
              <w:rPr>
                <w:b/>
                <w:bCs/>
                <w:color w:val="4F81BD"/>
                <w:sz w:val="20"/>
                <w:szCs w:val="20"/>
              </w:rPr>
              <w:t>AI-Onboarding-Map.pdf</w:t>
            </w:r>
          </w:p>
        </w:tc>
        <w:tc>
          <w:tcPr>
            <w:tcW w:w="2000" w:type="dxa"/>
            <w:tcBorders>
              <w:top w:val="none" w:sz="0" w:space="0" w:color="FFFFFF"/>
              <w:left w:val="none" w:sz="0" w:space="0" w:color="FFFFFF"/>
              <w:bottom w:val="none" w:sz="0" w:space="0" w:color="FFFFFF"/>
              <w:right w:val="none" w:sz="0" w:space="0" w:color="FFFFFF"/>
            </w:tcBorders>
          </w:tcPr>
          <w:p w14:paraId="4BFB01DE" w14:textId="77777777" w:rsidR="003C4150" w:rsidRDefault="00000000">
            <w:r>
              <w:rPr>
                <w:i/>
                <w:iCs/>
                <w:sz w:val="20"/>
                <w:szCs w:val="20"/>
              </w:rPr>
              <w:t>1 page, image-only, created Feb 2026</w:t>
            </w:r>
          </w:p>
        </w:tc>
        <w:tc>
          <w:tcPr>
            <w:tcW w:w="5000" w:type="dxa"/>
            <w:tcBorders>
              <w:top w:val="none" w:sz="0" w:space="0" w:color="FFFFFF"/>
              <w:left w:val="none" w:sz="0" w:space="0" w:color="FFFFFF"/>
              <w:bottom w:val="none" w:sz="0" w:space="0" w:color="FFFFFF"/>
              <w:right w:val="none" w:sz="0" w:space="0" w:color="FFFFFF"/>
            </w:tcBorders>
          </w:tcPr>
          <w:p w14:paraId="4BFB01DF" w14:textId="77777777" w:rsidR="003C4150" w:rsidRDefault="00000000">
            <w:r>
              <w:rPr>
                <w:sz w:val="20"/>
                <w:szCs w:val="20"/>
              </w:rPr>
              <w:t>Original blueprint — a flowchart or mind map for the AI onboarding system. The INTERACTIVE.pdf is its built implementation.</w:t>
            </w:r>
          </w:p>
        </w:tc>
      </w:tr>
    </w:tbl>
    <w:p w14:paraId="4BFB01E1" w14:textId="77777777" w:rsidR="003C4150" w:rsidRDefault="00000000">
      <w:r>
        <w:br w:type="page"/>
      </w:r>
    </w:p>
    <w:p w14:paraId="4BFB01E2" w14:textId="77777777" w:rsidR="003C4150" w:rsidRDefault="00000000">
      <w:pPr>
        <w:pStyle w:val="Heading1"/>
      </w:pPr>
      <w:bookmarkStart w:id="7" w:name="section-3"/>
      <w:r>
        <w:t>3. Overarching Surmise</w:t>
      </w:r>
      <w:bookmarkEnd w:id="7"/>
    </w:p>
    <w:p w14:paraId="4BFB01E3" w14:textId="77777777" w:rsidR="003C4150" w:rsidRDefault="00000000">
      <w:pPr>
        <w:pBdr>
          <w:left w:val="single" w:sz="12" w:space="0" w:color="4F81BD"/>
        </w:pBdr>
        <w:spacing w:after="240"/>
        <w:ind w:left="360"/>
      </w:pPr>
      <w:r>
        <w:rPr>
          <w:i/>
          <w:iCs/>
          <w:color w:val="1F3864"/>
        </w:rPr>
        <w:t>Tee is a systems architect in the middle of a deliberate life restructure — using AI, structured workflows, and esoteric frameworks to transition from a fragmented multi-project operator into a focused, teachable, and scalable creative and intellectual enterprise, with Bolivia as the physical and symbolic threshold of that transition.</w:t>
      </w:r>
    </w:p>
    <w:p w14:paraId="4BFB01E4" w14:textId="77777777" w:rsidR="003C4150" w:rsidRDefault="00000000">
      <w:pPr>
        <w:pStyle w:val="Heading2"/>
      </w:pPr>
      <w:proofErr w:type="gramStart"/>
      <w:r>
        <w:t>3.1  She</w:t>
      </w:r>
      <w:proofErr w:type="gramEnd"/>
      <w:r>
        <w:t xml:space="preserve"> Is Building a Personal Operating System</w:t>
      </w:r>
    </w:p>
    <w:p w14:paraId="4BFB01E5" w14:textId="77777777" w:rsidR="003C4150" w:rsidRDefault="00000000">
      <w:r>
        <w:t>Every document is a layer of the same underlying architecture:</w:t>
      </w:r>
    </w:p>
    <w:p w14:paraId="4BFB01E6" w14:textId="77777777" w:rsidR="003C4150" w:rsidRDefault="00000000">
      <w:pPr>
        <w:pStyle w:val="ListParagraph"/>
        <w:numPr>
          <w:ilvl w:val="0"/>
          <w:numId w:val="6"/>
        </w:numPr>
      </w:pPr>
      <w:r>
        <w:rPr>
          <w:b/>
          <w:bCs/>
        </w:rPr>
        <w:t>Persona doc</w:t>
      </w:r>
      <w:r>
        <w:t xml:space="preserve"> = the identity layer</w:t>
      </w:r>
    </w:p>
    <w:p w14:paraId="4BFB01E7" w14:textId="77777777" w:rsidR="003C4150" w:rsidRDefault="00000000">
      <w:pPr>
        <w:pStyle w:val="ListParagraph"/>
        <w:numPr>
          <w:ilvl w:val="0"/>
          <w:numId w:val="6"/>
        </w:numPr>
      </w:pPr>
      <w:r>
        <w:rPr>
          <w:b/>
          <w:bCs/>
        </w:rPr>
        <w:t>Project Inventory</w:t>
      </w:r>
      <w:r>
        <w:t xml:space="preserve"> = the strategic layer</w:t>
      </w:r>
    </w:p>
    <w:p w14:paraId="4BFB01E8" w14:textId="77777777" w:rsidR="003C4150" w:rsidRDefault="00000000">
      <w:pPr>
        <w:pStyle w:val="ListParagraph"/>
        <w:numPr>
          <w:ilvl w:val="0"/>
          <w:numId w:val="6"/>
        </w:numPr>
      </w:pPr>
      <w:r>
        <w:rPr>
          <w:b/>
          <w:bCs/>
        </w:rPr>
        <w:t>Gantt / Mission Control</w:t>
      </w:r>
      <w:r>
        <w:t xml:space="preserve"> = the execution layer</w:t>
      </w:r>
    </w:p>
    <w:p w14:paraId="4BFB01E9" w14:textId="77777777" w:rsidR="003C4150" w:rsidRDefault="00000000">
      <w:pPr>
        <w:pStyle w:val="ListParagraph"/>
        <w:numPr>
          <w:ilvl w:val="0"/>
          <w:numId w:val="6"/>
        </w:numPr>
      </w:pPr>
      <w:r>
        <w:rPr>
          <w:b/>
          <w:bCs/>
        </w:rPr>
        <w:t>AI Onboarding Map + Baseline Intake Workspace</w:t>
      </w:r>
      <w:r>
        <w:t xml:space="preserve"> = the automation/AI layer</w:t>
      </w:r>
    </w:p>
    <w:p w14:paraId="4BFB01EA" w14:textId="77777777" w:rsidR="003C4150" w:rsidRDefault="00000000">
      <w:pPr>
        <w:pStyle w:val="ListParagraph"/>
        <w:numPr>
          <w:ilvl w:val="0"/>
          <w:numId w:val="6"/>
        </w:numPr>
      </w:pPr>
      <w:r>
        <w:rPr>
          <w:b/>
          <w:bCs/>
        </w:rPr>
        <w:t>Portfolio + PDDF</w:t>
      </w:r>
      <w:r>
        <w:t xml:space="preserve"> = the output/presentation layer</w:t>
      </w:r>
    </w:p>
    <w:p w14:paraId="4BFB01EB" w14:textId="77777777" w:rsidR="003C4150" w:rsidRDefault="00000000">
      <w:pPr>
        <w:pStyle w:val="Heading2"/>
      </w:pPr>
      <w:proofErr w:type="gramStart"/>
      <w:r>
        <w:t>3.2  She</w:t>
      </w:r>
      <w:proofErr w:type="gramEnd"/>
      <w:r>
        <w:t xml:space="preserve"> Is at a Critical Inflection Point</w:t>
      </w:r>
    </w:p>
    <w:p w14:paraId="4BFB01EC" w14:textId="77777777" w:rsidR="003C4150" w:rsidRDefault="00000000">
      <w:r>
        <w:t xml:space="preserve">The Bolivia departure is not a holiday — it is a </w:t>
      </w:r>
      <w:r>
        <w:rPr>
          <w:b/>
          <w:bCs/>
        </w:rPr>
        <w:t>deliberate reset</w:t>
      </w:r>
      <w:r>
        <w:t xml:space="preserve">. The urgency of the Gantt board (legal disputes, CICA application, Airbnb setup, dog care, health checks) signals that Tee is actively liquidating her current UK life structure to create space for something fundamentally different. The </w:t>
      </w:r>
      <w:proofErr w:type="spellStart"/>
      <w:r>
        <w:t>Pisatahua</w:t>
      </w:r>
      <w:proofErr w:type="spellEnd"/>
      <w:r>
        <w:t xml:space="preserve"> and Gnostic Oracle work are not side projects — they appear to be the core direction she is moving toward.</w:t>
      </w:r>
    </w:p>
    <w:p w14:paraId="4BFB01ED" w14:textId="77777777" w:rsidR="003C4150" w:rsidRDefault="00000000">
      <w:pPr>
        <w:pStyle w:val="Heading2"/>
      </w:pPr>
      <w:proofErr w:type="gramStart"/>
      <w:r>
        <w:t>3.3  The</w:t>
      </w:r>
      <w:proofErr w:type="gramEnd"/>
      <w:r>
        <w:t xml:space="preserve"> Bottleneck Is Bandwidth, Not Capability</w:t>
      </w:r>
    </w:p>
    <w:p w14:paraId="4BFB01EE" w14:textId="77777777" w:rsidR="003C4150" w:rsidRDefault="00000000">
      <w:r>
        <w:t xml:space="preserve">The Project Inventory document is remarkably self-aware. Tee has identified her own blockers precisely: too many identities, decision fatigue, perfectionism, maintaining too many projects simultaneously. She has the skills, the tools, and the vision. What she is actively solving for is </w:t>
      </w:r>
      <w:r>
        <w:rPr>
          <w:b/>
          <w:bCs/>
        </w:rPr>
        <w:t>focus and simplification.</w:t>
      </w:r>
    </w:p>
    <w:p w14:paraId="4BFB01EF" w14:textId="77777777" w:rsidR="003C4150" w:rsidRDefault="00000000">
      <w:pPr>
        <w:pStyle w:val="Heading2"/>
      </w:pPr>
      <w:proofErr w:type="gramStart"/>
      <w:r>
        <w:t>3.4  She</w:t>
      </w:r>
      <w:proofErr w:type="gramEnd"/>
      <w:r>
        <w:t xml:space="preserve"> Is Building for Others, Not Just Herself</w:t>
      </w:r>
    </w:p>
    <w:p w14:paraId="4BFB01F0" w14:textId="77777777" w:rsidR="003C4150" w:rsidRDefault="00000000">
      <w:r>
        <w:t xml:space="preserve">The Baseline Intake Workspace and AI Onboarding Map are not personal tools — they are client-facing or community-facing products. She is productising her own onboarding experience into something teachable and repeatable. This aligns with her stated evolution: </w:t>
      </w:r>
      <w:r>
        <w:rPr>
          <w:i/>
          <w:iCs/>
        </w:rPr>
        <w:t>"formalising workflows into repeatable methods"</w:t>
      </w:r>
      <w:r>
        <w:t xml:space="preserve"> and </w:t>
      </w:r>
      <w:r>
        <w:rPr>
          <w:i/>
          <w:iCs/>
        </w:rPr>
        <w:t>"expanding into structured systems and teaching."</w:t>
      </w:r>
    </w:p>
    <w:p w14:paraId="4BFB01F1" w14:textId="77777777" w:rsidR="003C4150" w:rsidRDefault="00000000">
      <w:pPr>
        <w:pStyle w:val="Heading2"/>
      </w:pPr>
      <w:proofErr w:type="gramStart"/>
      <w:r>
        <w:t>3.5  The</w:t>
      </w:r>
      <w:proofErr w:type="gramEnd"/>
      <w:r>
        <w:t xml:space="preserve"> Esoteric and the Technical Are Not Separate</w:t>
      </w:r>
    </w:p>
    <w:p w14:paraId="4BFB01F2" w14:textId="77777777" w:rsidR="003C4150" w:rsidRDefault="00000000">
      <w:r>
        <w:t xml:space="preserve">What might appear as two different worlds — technology architecture and Gnostic/consciousness research — are, for Tee, the same project viewed from different angles. </w:t>
      </w:r>
      <w:r>
        <w:rPr>
          <w:b/>
          <w:bCs/>
        </w:rPr>
        <w:t>Veil Cartography</w:t>
      </w:r>
      <w:r>
        <w:t xml:space="preserve"> as a brand name signals this precisely: cartography (mapping systems) + veil (the esoteric/hidden). She is mapping the territory between the visible and invisible, the technical and the philosophical.</w:t>
      </w:r>
    </w:p>
    <w:p w14:paraId="4BFB01F3" w14:textId="77777777" w:rsidR="003C4150" w:rsidRDefault="00000000">
      <w:r>
        <w:br w:type="page"/>
      </w:r>
    </w:p>
    <w:p w14:paraId="4BFB01F4" w14:textId="77777777" w:rsidR="003C4150" w:rsidRDefault="00000000">
      <w:pPr>
        <w:pStyle w:val="Heading1"/>
      </w:pPr>
      <w:bookmarkStart w:id="8" w:name="section-4"/>
      <w:r>
        <w:t>4. Key Themes Across All Documents</w:t>
      </w:r>
      <w:bookmarkEnd w:id="8"/>
    </w:p>
    <w:tbl>
      <w:tblPr>
        <w:tblW w:w="10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600"/>
        <w:gridCol w:w="6760"/>
      </w:tblGrid>
      <w:tr w:rsidR="003C4150" w14:paraId="4BFB01F7" w14:textId="77777777">
        <w:trPr>
          <w:tblHeader/>
        </w:trPr>
        <w:tc>
          <w:tcPr>
            <w:tcW w:w="2600" w:type="dxa"/>
            <w:tcBorders>
              <w:top w:val="none" w:sz="0" w:space="0" w:color="FFFFFF"/>
              <w:left w:val="none" w:sz="0" w:space="0" w:color="FFFFFF"/>
              <w:bottom w:val="single" w:sz="6" w:space="0" w:color="4F81BD"/>
              <w:right w:val="none" w:sz="0" w:space="0" w:color="FFFFFF"/>
            </w:tcBorders>
          </w:tcPr>
          <w:p w14:paraId="4BFB01F5" w14:textId="77777777" w:rsidR="003C4150" w:rsidRDefault="00000000">
            <w:r>
              <w:rPr>
                <w:rFonts w:ascii="Calibri(Headings)" w:eastAsia="Calibri(Headings)" w:hAnsi="Calibri(Headings)" w:cs="Calibri(Headings)"/>
                <w:b/>
                <w:bCs/>
                <w:color w:val="1F3864"/>
                <w:sz w:val="22"/>
                <w:szCs w:val="22"/>
              </w:rPr>
              <w:t>Theme</w:t>
            </w:r>
          </w:p>
        </w:tc>
        <w:tc>
          <w:tcPr>
            <w:tcW w:w="6760" w:type="dxa"/>
            <w:tcBorders>
              <w:top w:val="none" w:sz="0" w:space="0" w:color="FFFFFF"/>
              <w:left w:val="none" w:sz="0" w:space="0" w:color="FFFFFF"/>
              <w:bottom w:val="single" w:sz="6" w:space="0" w:color="4F81BD"/>
              <w:right w:val="none" w:sz="0" w:space="0" w:color="FFFFFF"/>
            </w:tcBorders>
          </w:tcPr>
          <w:p w14:paraId="4BFB01F6" w14:textId="77777777" w:rsidR="003C4150" w:rsidRDefault="00000000">
            <w:r>
              <w:rPr>
                <w:rFonts w:ascii="Calibri(Headings)" w:eastAsia="Calibri(Headings)" w:hAnsi="Calibri(Headings)" w:cs="Calibri(Headings)"/>
                <w:b/>
                <w:bCs/>
                <w:color w:val="1F3864"/>
                <w:sz w:val="22"/>
                <w:szCs w:val="22"/>
              </w:rPr>
              <w:t>Evidence &amp; Significance</w:t>
            </w:r>
          </w:p>
        </w:tc>
      </w:tr>
      <w:tr w:rsidR="003C4150" w14:paraId="4BFB01FA" w14:textId="77777777">
        <w:tc>
          <w:tcPr>
            <w:tcW w:w="2600" w:type="dxa"/>
            <w:tcBorders>
              <w:top w:val="none" w:sz="0" w:space="0" w:color="FFFFFF"/>
              <w:left w:val="none" w:sz="0" w:space="0" w:color="FFFFFF"/>
              <w:bottom w:val="none" w:sz="0" w:space="0" w:color="FFFFFF"/>
              <w:right w:val="none" w:sz="0" w:space="0" w:color="FFFFFF"/>
            </w:tcBorders>
          </w:tcPr>
          <w:p w14:paraId="4BFB01F8" w14:textId="77777777" w:rsidR="003C4150" w:rsidRDefault="00000000">
            <w:r>
              <w:rPr>
                <w:b/>
                <w:bCs/>
                <w:color w:val="4F81BD"/>
                <w:sz w:val="22"/>
                <w:szCs w:val="22"/>
              </w:rPr>
              <w:t>Pre-departure urgency</w:t>
            </w:r>
          </w:p>
        </w:tc>
        <w:tc>
          <w:tcPr>
            <w:tcW w:w="6760" w:type="dxa"/>
            <w:tcBorders>
              <w:top w:val="none" w:sz="0" w:space="0" w:color="FFFFFF"/>
              <w:left w:val="none" w:sz="0" w:space="0" w:color="FFFFFF"/>
              <w:bottom w:val="none" w:sz="0" w:space="0" w:color="FFFFFF"/>
              <w:right w:val="none" w:sz="0" w:space="0" w:color="FFFFFF"/>
            </w:tcBorders>
          </w:tcPr>
          <w:p w14:paraId="4BFB01F9" w14:textId="77777777" w:rsidR="003C4150" w:rsidRDefault="00000000">
            <w:r>
              <w:rPr>
                <w:sz w:val="22"/>
                <w:szCs w:val="22"/>
              </w:rPr>
              <w:t>Bolivia/</w:t>
            </w:r>
            <w:proofErr w:type="spellStart"/>
            <w:r>
              <w:rPr>
                <w:sz w:val="22"/>
                <w:szCs w:val="22"/>
              </w:rPr>
              <w:t>Pisatahua</w:t>
            </w:r>
            <w:proofErr w:type="spellEnd"/>
            <w:r>
              <w:rPr>
                <w:sz w:val="22"/>
                <w:szCs w:val="22"/>
              </w:rPr>
              <w:t xml:space="preserve"> departure is the near-term operational priority. A dedicated custom-built tracking system (15 projects, 35+ tasks) has been built entirely around it.</w:t>
            </w:r>
          </w:p>
        </w:tc>
      </w:tr>
      <w:tr w:rsidR="003C4150" w14:paraId="4BFB01FD" w14:textId="77777777">
        <w:tc>
          <w:tcPr>
            <w:tcW w:w="2600" w:type="dxa"/>
            <w:tcBorders>
              <w:top w:val="none" w:sz="0" w:space="0" w:color="FFFFFF"/>
              <w:left w:val="none" w:sz="0" w:space="0" w:color="FFFFFF"/>
              <w:bottom w:val="none" w:sz="0" w:space="0" w:color="FFFFFF"/>
              <w:right w:val="none" w:sz="0" w:space="0" w:color="FFFFFF"/>
            </w:tcBorders>
          </w:tcPr>
          <w:p w14:paraId="4BFB01FB" w14:textId="77777777" w:rsidR="003C4150" w:rsidRDefault="00000000">
            <w:r>
              <w:rPr>
                <w:b/>
                <w:bCs/>
                <w:color w:val="4F81BD"/>
                <w:sz w:val="22"/>
                <w:szCs w:val="22"/>
              </w:rPr>
              <w:t>Systems over chaos</w:t>
            </w:r>
          </w:p>
        </w:tc>
        <w:tc>
          <w:tcPr>
            <w:tcW w:w="6760" w:type="dxa"/>
            <w:tcBorders>
              <w:top w:val="none" w:sz="0" w:space="0" w:color="FFFFFF"/>
              <w:left w:val="none" w:sz="0" w:space="0" w:color="FFFFFF"/>
              <w:bottom w:val="none" w:sz="0" w:space="0" w:color="FFFFFF"/>
              <w:right w:val="none" w:sz="0" w:space="0" w:color="FFFFFF"/>
            </w:tcBorders>
          </w:tcPr>
          <w:p w14:paraId="4BFB01FC" w14:textId="77777777" w:rsidR="003C4150" w:rsidRDefault="00000000">
            <w:r>
              <w:rPr>
                <w:sz w:val="22"/>
                <w:szCs w:val="22"/>
              </w:rPr>
              <w:t>Tee is actively building repeatable, structured workflows to replace ad-hoc working patterns — across every domain from reselling to AI consulting.</w:t>
            </w:r>
          </w:p>
        </w:tc>
      </w:tr>
      <w:tr w:rsidR="003C4150" w14:paraId="4BFB0200" w14:textId="77777777">
        <w:tc>
          <w:tcPr>
            <w:tcW w:w="2600" w:type="dxa"/>
            <w:tcBorders>
              <w:top w:val="none" w:sz="0" w:space="0" w:color="FFFFFF"/>
              <w:left w:val="none" w:sz="0" w:space="0" w:color="FFFFFF"/>
              <w:bottom w:val="none" w:sz="0" w:space="0" w:color="FFFFFF"/>
              <w:right w:val="none" w:sz="0" w:space="0" w:color="FFFFFF"/>
            </w:tcBorders>
          </w:tcPr>
          <w:p w14:paraId="4BFB01FE" w14:textId="77777777" w:rsidR="003C4150" w:rsidRDefault="00000000">
            <w:r>
              <w:rPr>
                <w:b/>
                <w:bCs/>
                <w:color w:val="4F81BD"/>
                <w:sz w:val="22"/>
                <w:szCs w:val="22"/>
              </w:rPr>
              <w:t>AI as infrastructure</w:t>
            </w:r>
          </w:p>
        </w:tc>
        <w:tc>
          <w:tcPr>
            <w:tcW w:w="6760" w:type="dxa"/>
            <w:tcBorders>
              <w:top w:val="none" w:sz="0" w:space="0" w:color="FFFFFF"/>
              <w:left w:val="none" w:sz="0" w:space="0" w:color="FFFFFF"/>
              <w:bottom w:val="none" w:sz="0" w:space="0" w:color="FFFFFF"/>
              <w:right w:val="none" w:sz="0" w:space="0" w:color="FFFFFF"/>
            </w:tcBorders>
          </w:tcPr>
          <w:p w14:paraId="4BFB01FF" w14:textId="77777777" w:rsidR="003C4150" w:rsidRDefault="00000000">
            <w:r>
              <w:rPr>
                <w:sz w:val="22"/>
                <w:szCs w:val="22"/>
              </w:rPr>
              <w:t>AI tools are embedded across research, content, onboarding, task management, and automation. Not a novelty — a core operational layer.</w:t>
            </w:r>
          </w:p>
        </w:tc>
      </w:tr>
      <w:tr w:rsidR="003C4150" w14:paraId="4BFB0203" w14:textId="77777777">
        <w:tc>
          <w:tcPr>
            <w:tcW w:w="2600" w:type="dxa"/>
            <w:tcBorders>
              <w:top w:val="none" w:sz="0" w:space="0" w:color="FFFFFF"/>
              <w:left w:val="none" w:sz="0" w:space="0" w:color="FFFFFF"/>
              <w:bottom w:val="none" w:sz="0" w:space="0" w:color="FFFFFF"/>
              <w:right w:val="none" w:sz="0" w:space="0" w:color="FFFFFF"/>
            </w:tcBorders>
          </w:tcPr>
          <w:p w14:paraId="4BFB0201" w14:textId="77777777" w:rsidR="003C4150" w:rsidRDefault="00000000">
            <w:r>
              <w:rPr>
                <w:b/>
                <w:bCs/>
                <w:color w:val="4F81BD"/>
                <w:sz w:val="22"/>
                <w:szCs w:val="22"/>
              </w:rPr>
              <w:t>Project overload → filtering</w:t>
            </w:r>
          </w:p>
        </w:tc>
        <w:tc>
          <w:tcPr>
            <w:tcW w:w="6760" w:type="dxa"/>
            <w:tcBorders>
              <w:top w:val="none" w:sz="0" w:space="0" w:color="FFFFFF"/>
              <w:left w:val="none" w:sz="0" w:space="0" w:color="FFFFFF"/>
              <w:bottom w:val="none" w:sz="0" w:space="0" w:color="FFFFFF"/>
              <w:right w:val="none" w:sz="0" w:space="0" w:color="FFFFFF"/>
            </w:tcBorders>
          </w:tcPr>
          <w:p w14:paraId="4BFB0202" w14:textId="77777777" w:rsidR="003C4150" w:rsidRDefault="00000000">
            <w:r>
              <w:rPr>
                <w:sz w:val="22"/>
                <w:szCs w:val="22"/>
              </w:rPr>
              <w:t>The inventory document signals awareness of too many active threads. The Gantt board and project filter framework are the resolution tools.</w:t>
            </w:r>
          </w:p>
        </w:tc>
      </w:tr>
      <w:tr w:rsidR="003C4150" w14:paraId="4BFB0206" w14:textId="77777777">
        <w:tc>
          <w:tcPr>
            <w:tcW w:w="2600" w:type="dxa"/>
            <w:tcBorders>
              <w:top w:val="none" w:sz="0" w:space="0" w:color="FFFFFF"/>
              <w:left w:val="none" w:sz="0" w:space="0" w:color="FFFFFF"/>
              <w:bottom w:val="none" w:sz="0" w:space="0" w:color="FFFFFF"/>
              <w:right w:val="none" w:sz="0" w:space="0" w:color="FFFFFF"/>
            </w:tcBorders>
          </w:tcPr>
          <w:p w14:paraId="4BFB0204" w14:textId="77777777" w:rsidR="003C4150" w:rsidRDefault="00000000">
            <w:r>
              <w:rPr>
                <w:b/>
                <w:bCs/>
                <w:color w:val="4F81BD"/>
                <w:sz w:val="22"/>
                <w:szCs w:val="22"/>
              </w:rPr>
              <w:t>Dual identity</w:t>
            </w:r>
          </w:p>
        </w:tc>
        <w:tc>
          <w:tcPr>
            <w:tcW w:w="6760" w:type="dxa"/>
            <w:tcBorders>
              <w:top w:val="none" w:sz="0" w:space="0" w:color="FFFFFF"/>
              <w:left w:val="none" w:sz="0" w:space="0" w:color="FFFFFF"/>
              <w:bottom w:val="none" w:sz="0" w:space="0" w:color="FFFFFF"/>
              <w:right w:val="none" w:sz="0" w:space="0" w:color="FFFFFF"/>
            </w:tcBorders>
          </w:tcPr>
          <w:p w14:paraId="4BFB0205" w14:textId="77777777" w:rsidR="003C4150" w:rsidRDefault="00000000">
            <w:r>
              <w:rPr>
                <w:sz w:val="22"/>
                <w:szCs w:val="22"/>
              </w:rPr>
              <w:t xml:space="preserve">Commercial/technical operator (reselling, consulting, architecture) running in parallel with esoteric/philosophical work (Gnostic Oracle, </w:t>
            </w:r>
            <w:proofErr w:type="spellStart"/>
            <w:r>
              <w:rPr>
                <w:sz w:val="22"/>
                <w:szCs w:val="22"/>
              </w:rPr>
              <w:t>Pisatahua</w:t>
            </w:r>
            <w:proofErr w:type="spellEnd"/>
            <w:r>
              <w:rPr>
                <w:sz w:val="22"/>
                <w:szCs w:val="22"/>
              </w:rPr>
              <w:t>, consciousness research).</w:t>
            </w:r>
          </w:p>
        </w:tc>
      </w:tr>
      <w:tr w:rsidR="003C4150" w14:paraId="4BFB0209" w14:textId="77777777">
        <w:tc>
          <w:tcPr>
            <w:tcW w:w="2600" w:type="dxa"/>
            <w:tcBorders>
              <w:top w:val="none" w:sz="0" w:space="0" w:color="FFFFFF"/>
              <w:left w:val="none" w:sz="0" w:space="0" w:color="FFFFFF"/>
              <w:bottom w:val="none" w:sz="0" w:space="0" w:color="FFFFFF"/>
              <w:right w:val="none" w:sz="0" w:space="0" w:color="FFFFFF"/>
            </w:tcBorders>
          </w:tcPr>
          <w:p w14:paraId="4BFB0207" w14:textId="77777777" w:rsidR="003C4150" w:rsidRDefault="00000000">
            <w:r>
              <w:rPr>
                <w:b/>
                <w:bCs/>
                <w:color w:val="4F81BD"/>
                <w:sz w:val="22"/>
                <w:szCs w:val="22"/>
              </w:rPr>
              <w:t>Formalisation phase</w:t>
            </w:r>
          </w:p>
        </w:tc>
        <w:tc>
          <w:tcPr>
            <w:tcW w:w="6760" w:type="dxa"/>
            <w:tcBorders>
              <w:top w:val="none" w:sz="0" w:space="0" w:color="FFFFFF"/>
              <w:left w:val="none" w:sz="0" w:space="0" w:color="FFFFFF"/>
              <w:bottom w:val="none" w:sz="0" w:space="0" w:color="FFFFFF"/>
              <w:right w:val="none" w:sz="0" w:space="0" w:color="FFFFFF"/>
            </w:tcBorders>
          </w:tcPr>
          <w:p w14:paraId="4BFB0208" w14:textId="77777777" w:rsidR="003C4150" w:rsidRDefault="00000000">
            <w:r>
              <w:rPr>
                <w:sz w:val="22"/>
                <w:szCs w:val="22"/>
              </w:rPr>
              <w:t xml:space="preserve">Moving from exploratory/theoretical into structured, teachable, </w:t>
            </w:r>
            <w:proofErr w:type="spellStart"/>
            <w:r>
              <w:rPr>
                <w:sz w:val="22"/>
                <w:szCs w:val="22"/>
              </w:rPr>
              <w:t>monetisable</w:t>
            </w:r>
            <w:proofErr w:type="spellEnd"/>
            <w:r>
              <w:rPr>
                <w:sz w:val="22"/>
                <w:szCs w:val="22"/>
              </w:rPr>
              <w:t xml:space="preserve"> systems. The Baseline Intake Workspace is the clearest evidence of this.</w:t>
            </w:r>
          </w:p>
        </w:tc>
      </w:tr>
    </w:tbl>
    <w:p w14:paraId="4BFB020A" w14:textId="77777777" w:rsidR="003C4150" w:rsidRDefault="00000000">
      <w:r>
        <w:br w:type="page"/>
      </w:r>
    </w:p>
    <w:p w14:paraId="4BFB020B" w14:textId="77777777" w:rsidR="003C4150" w:rsidRDefault="00000000">
      <w:pPr>
        <w:pStyle w:val="Heading1"/>
      </w:pPr>
      <w:bookmarkStart w:id="9" w:name="section-5"/>
      <w:r>
        <w:t>5. Strategic Recommendations</w:t>
      </w:r>
      <w:bookmarkEnd w:id="9"/>
    </w:p>
    <w:p w14:paraId="4BFB020C" w14:textId="77777777" w:rsidR="003C4150" w:rsidRDefault="00000000">
      <w:r>
        <w:t>Based on the full review of all supporting documents, the following strategic recommendations emerge:</w:t>
      </w:r>
    </w:p>
    <w:p w14:paraId="4BFB020D" w14:textId="77777777" w:rsidR="003C4150" w:rsidRDefault="00000000">
      <w:pPr>
        <w:pStyle w:val="Heading2"/>
      </w:pPr>
      <w:proofErr w:type="gramStart"/>
      <w:r>
        <w:t>5.1  Commit</w:t>
      </w:r>
      <w:proofErr w:type="gramEnd"/>
      <w:r>
        <w:t xml:space="preserve"> to the Core Three</w:t>
      </w:r>
    </w:p>
    <w:p w14:paraId="4BFB020E" w14:textId="77777777" w:rsidR="003C4150" w:rsidRDefault="00000000">
      <w:r>
        <w:t>The Project Inventory's Section 10 asks: "If I could only keep THREE major projects, what would they be?" This is the most important question in the entire document set. Based on the evidence, the natural core three appear to be:</w:t>
      </w:r>
    </w:p>
    <w:p w14:paraId="4BFB020F" w14:textId="77777777" w:rsidR="003C4150" w:rsidRDefault="00000000">
      <w:pPr>
        <w:pStyle w:val="ListParagraph"/>
        <w:numPr>
          <w:ilvl w:val="0"/>
          <w:numId w:val="7"/>
        </w:numPr>
      </w:pPr>
      <w:r>
        <w:rPr>
          <w:b/>
          <w:bCs/>
        </w:rPr>
        <w:t>Gnostic Oracle / Veil Cartography</w:t>
      </w:r>
      <w:r>
        <w:t xml:space="preserve"> — the foundational intellectual and esoteric product system</w:t>
      </w:r>
    </w:p>
    <w:p w14:paraId="4BFB0210" w14:textId="77777777" w:rsidR="003C4150" w:rsidRDefault="00000000">
      <w:pPr>
        <w:pStyle w:val="ListParagraph"/>
        <w:numPr>
          <w:ilvl w:val="0"/>
          <w:numId w:val="7"/>
        </w:numPr>
      </w:pPr>
      <w:r>
        <w:rPr>
          <w:b/>
          <w:bCs/>
        </w:rPr>
        <w:t>AI Workflow Systems &amp; Teaching</w:t>
      </w:r>
      <w:r>
        <w:t xml:space="preserve"> — the Baseline Intake Workspace, onboarding tools, and consulting</w:t>
      </w:r>
    </w:p>
    <w:p w14:paraId="4BFB0211" w14:textId="77777777" w:rsidR="003C4150" w:rsidRDefault="00000000">
      <w:pPr>
        <w:pStyle w:val="ListParagraph"/>
        <w:numPr>
          <w:ilvl w:val="0"/>
          <w:numId w:val="7"/>
        </w:numPr>
      </w:pPr>
      <w:proofErr w:type="spellStart"/>
      <w:r>
        <w:rPr>
          <w:b/>
          <w:bCs/>
        </w:rPr>
        <w:t>Pisatahua</w:t>
      </w:r>
      <w:proofErr w:type="spellEnd"/>
      <w:r>
        <w:rPr>
          <w:b/>
          <w:bCs/>
        </w:rPr>
        <w:t xml:space="preserve"> / Bolivia Mission</w:t>
      </w:r>
      <w:r>
        <w:t xml:space="preserve"> — the community and conservation work that gives the whole ecosystem meaning</w:t>
      </w:r>
    </w:p>
    <w:p w14:paraId="4BFB0212" w14:textId="77777777" w:rsidR="003C4150" w:rsidRDefault="00000000">
      <w:pPr>
        <w:pStyle w:val="Heading2"/>
      </w:pPr>
      <w:proofErr w:type="gramStart"/>
      <w:r>
        <w:t>5.2  Use</w:t>
      </w:r>
      <w:proofErr w:type="gramEnd"/>
      <w:r>
        <w:t xml:space="preserve"> Bolivia as the Hard Reset</w:t>
      </w:r>
    </w:p>
    <w:p w14:paraId="4BFB0213" w14:textId="77777777" w:rsidR="003C4150" w:rsidRDefault="00000000">
      <w:r>
        <w:t>The departure is not just logistical — it is the natural forcing function to archive, automate, or shelve everything that does not belong in the core three. Use the pre-departure period to make those decisions explicitly, not by default.</w:t>
      </w:r>
    </w:p>
    <w:p w14:paraId="4BFB0214" w14:textId="77777777" w:rsidR="003C4150" w:rsidRDefault="00000000">
      <w:pPr>
        <w:pStyle w:val="Heading2"/>
      </w:pPr>
      <w:proofErr w:type="gramStart"/>
      <w:r>
        <w:t>5.3  Automate</w:t>
      </w:r>
      <w:proofErr w:type="gramEnd"/>
      <w:r>
        <w:t xml:space="preserve"> the Commercial Layer</w:t>
      </w:r>
    </w:p>
    <w:p w14:paraId="4BFB0215" w14:textId="77777777" w:rsidR="003C4150" w:rsidRDefault="00000000">
      <w:r>
        <w:t xml:space="preserve">The reselling operation (Vinted, eBay, Facebook Marketplace) is a necessary income stream but a bandwidth </w:t>
      </w:r>
      <w:proofErr w:type="gramStart"/>
      <w:r>
        <w:t>drain</w:t>
      </w:r>
      <w:proofErr w:type="gramEnd"/>
      <w:r>
        <w:t>. The AI/Automation Strategy section already identifies listing generation and cross-posting as targets. Prioritise automating these before departure so they can run passively.</w:t>
      </w:r>
    </w:p>
    <w:p w14:paraId="4BFB0216" w14:textId="77777777" w:rsidR="003C4150" w:rsidRDefault="00000000">
      <w:pPr>
        <w:pStyle w:val="Heading2"/>
      </w:pPr>
      <w:proofErr w:type="gramStart"/>
      <w:r>
        <w:t>5.4  Productise</w:t>
      </w:r>
      <w:proofErr w:type="gramEnd"/>
      <w:r>
        <w:t xml:space="preserve"> the Onboarding System</w:t>
      </w:r>
    </w:p>
    <w:p w14:paraId="4BFB0217" w14:textId="77777777" w:rsidR="003C4150" w:rsidRDefault="00000000">
      <w:r>
        <w:t>The Baseline Intake Workspace is already built. The next step is to package it as a standalone product or service offering — with a clear entry point, pricing, and delivery mechanism. This is the fastest path from "tool I built for myself" to "product I sell to others."</w:t>
      </w:r>
    </w:p>
    <w:p w14:paraId="4BFB0218" w14:textId="77777777" w:rsidR="003C4150" w:rsidRDefault="00000000">
      <w:pPr>
        <w:pStyle w:val="Heading2"/>
      </w:pPr>
      <w:proofErr w:type="gramStart"/>
      <w:r>
        <w:t>5.5  Resolve</w:t>
      </w:r>
      <w:proofErr w:type="gramEnd"/>
      <w:r>
        <w:t xml:space="preserve"> the BLOCKERS First</w:t>
      </w:r>
    </w:p>
    <w:p w14:paraId="4BFB0219" w14:textId="77777777" w:rsidR="003C4150" w:rsidRDefault="00000000">
      <w:r>
        <w:t>The Gantt board correctly weights BLOCKERS (legal dispute, CICA application) as the highest-priority category. Nothing else can move at full speed while these remain open. The readiness score will not reach Green until these are resolved — and neither will the mental bandwidth required for the deeper creative and strategic work.</w:t>
      </w:r>
    </w:p>
    <w:p w14:paraId="4BFB021A" w14:textId="77777777" w:rsidR="003C4150" w:rsidRDefault="00000000">
      <w:r>
        <w:br w:type="page"/>
      </w:r>
    </w:p>
    <w:p w14:paraId="4BFB021B" w14:textId="77777777" w:rsidR="003C4150" w:rsidRDefault="00000000">
      <w:pPr>
        <w:pBdr>
          <w:top w:val="single" w:sz="4" w:space="0" w:color="4F81BD"/>
          <w:bottom w:val="single" w:sz="4" w:space="0" w:color="4F81BD"/>
        </w:pBdr>
        <w:spacing w:before="480" w:after="240"/>
        <w:jc w:val="center"/>
      </w:pPr>
      <w:r>
        <w:rPr>
          <w:rFonts w:ascii="Calibri(Headings)" w:eastAsia="Calibri(Headings)" w:hAnsi="Calibri(Headings)" w:cs="Calibri(Headings)"/>
          <w:b/>
          <w:bCs/>
          <w:i/>
          <w:iCs/>
          <w:color w:val="1F3864"/>
          <w:sz w:val="28"/>
          <w:szCs w:val="28"/>
        </w:rPr>
        <w:t>The architecture is sound. The vision is clear. The work now is simplification.</w:t>
      </w:r>
    </w:p>
    <w:p w14:paraId="4BFB021C" w14:textId="77777777" w:rsidR="003C4150" w:rsidRDefault="00000000">
      <w:pPr>
        <w:spacing w:before="240"/>
        <w:jc w:val="center"/>
      </w:pPr>
      <w:r>
        <w:rPr>
          <w:i/>
          <w:iCs/>
          <w:color w:val="888888"/>
          <w:sz w:val="20"/>
          <w:szCs w:val="20"/>
        </w:rPr>
        <w:t xml:space="preserve">Document prepared by Office </w:t>
      </w:r>
      <w:proofErr w:type="gramStart"/>
      <w:r>
        <w:rPr>
          <w:i/>
          <w:iCs/>
          <w:color w:val="888888"/>
          <w:sz w:val="20"/>
          <w:szCs w:val="20"/>
        </w:rPr>
        <w:t>Agent  |</w:t>
      </w:r>
      <w:proofErr w:type="gramEnd"/>
      <w:r>
        <w:rPr>
          <w:i/>
          <w:iCs/>
          <w:color w:val="888888"/>
          <w:sz w:val="20"/>
          <w:szCs w:val="20"/>
        </w:rPr>
        <w:t xml:space="preserve">  July 2026</w:t>
      </w:r>
    </w:p>
    <w:sectPr w:rsidR="003C4150">
      <w:pgSz w:w="11906" w:h="16838"/>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Heading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B5E44"/>
    <w:multiLevelType w:val="hybridMultilevel"/>
    <w:tmpl w:val="49081F2A"/>
    <w:lvl w:ilvl="0" w:tplc="00CCCB54">
      <w:start w:val="1"/>
      <w:numFmt w:val="bullet"/>
      <w:lvlText w:val="•"/>
      <w:lvlJc w:val="left"/>
      <w:pPr>
        <w:ind w:left="720" w:hanging="480"/>
      </w:pPr>
    </w:lvl>
    <w:lvl w:ilvl="1" w:tplc="07BC1F28">
      <w:numFmt w:val="decimal"/>
      <w:lvlText w:val=""/>
      <w:lvlJc w:val="left"/>
    </w:lvl>
    <w:lvl w:ilvl="2" w:tplc="B40264AC">
      <w:numFmt w:val="decimal"/>
      <w:lvlText w:val=""/>
      <w:lvlJc w:val="left"/>
    </w:lvl>
    <w:lvl w:ilvl="3" w:tplc="A9F6D9DE">
      <w:numFmt w:val="decimal"/>
      <w:lvlText w:val=""/>
      <w:lvlJc w:val="left"/>
    </w:lvl>
    <w:lvl w:ilvl="4" w:tplc="CF1E5C26">
      <w:numFmt w:val="decimal"/>
      <w:lvlText w:val=""/>
      <w:lvlJc w:val="left"/>
    </w:lvl>
    <w:lvl w:ilvl="5" w:tplc="7838794C">
      <w:numFmt w:val="decimal"/>
      <w:lvlText w:val=""/>
      <w:lvlJc w:val="left"/>
    </w:lvl>
    <w:lvl w:ilvl="6" w:tplc="C5C49EF6">
      <w:numFmt w:val="decimal"/>
      <w:lvlText w:val=""/>
      <w:lvlJc w:val="left"/>
    </w:lvl>
    <w:lvl w:ilvl="7" w:tplc="ADFC2B9E">
      <w:numFmt w:val="decimal"/>
      <w:lvlText w:val=""/>
      <w:lvlJc w:val="left"/>
    </w:lvl>
    <w:lvl w:ilvl="8" w:tplc="D690155A">
      <w:numFmt w:val="decimal"/>
      <w:lvlText w:val=""/>
      <w:lvlJc w:val="left"/>
    </w:lvl>
  </w:abstractNum>
  <w:abstractNum w:abstractNumId="1" w15:restartNumberingAfterBreak="0">
    <w:nsid w:val="060638CB"/>
    <w:multiLevelType w:val="hybridMultilevel"/>
    <w:tmpl w:val="092E8A14"/>
    <w:lvl w:ilvl="0" w:tplc="89CAB12A">
      <w:start w:val="1"/>
      <w:numFmt w:val="bullet"/>
      <w:lvlText w:val="•"/>
      <w:lvlJc w:val="left"/>
      <w:pPr>
        <w:ind w:left="720" w:hanging="480"/>
      </w:pPr>
    </w:lvl>
    <w:lvl w:ilvl="1" w:tplc="2E9456B2">
      <w:numFmt w:val="decimal"/>
      <w:lvlText w:val=""/>
      <w:lvlJc w:val="left"/>
    </w:lvl>
    <w:lvl w:ilvl="2" w:tplc="3E64DCA0">
      <w:numFmt w:val="decimal"/>
      <w:lvlText w:val=""/>
      <w:lvlJc w:val="left"/>
    </w:lvl>
    <w:lvl w:ilvl="3" w:tplc="6EA413E2">
      <w:numFmt w:val="decimal"/>
      <w:lvlText w:val=""/>
      <w:lvlJc w:val="left"/>
    </w:lvl>
    <w:lvl w:ilvl="4" w:tplc="0A1C56FC">
      <w:numFmt w:val="decimal"/>
      <w:lvlText w:val=""/>
      <w:lvlJc w:val="left"/>
    </w:lvl>
    <w:lvl w:ilvl="5" w:tplc="76064038">
      <w:numFmt w:val="decimal"/>
      <w:lvlText w:val=""/>
      <w:lvlJc w:val="left"/>
    </w:lvl>
    <w:lvl w:ilvl="6" w:tplc="060425A6">
      <w:numFmt w:val="decimal"/>
      <w:lvlText w:val=""/>
      <w:lvlJc w:val="left"/>
    </w:lvl>
    <w:lvl w:ilvl="7" w:tplc="AAB2DF24">
      <w:numFmt w:val="decimal"/>
      <w:lvlText w:val=""/>
      <w:lvlJc w:val="left"/>
    </w:lvl>
    <w:lvl w:ilvl="8" w:tplc="0CEE6B50">
      <w:numFmt w:val="decimal"/>
      <w:lvlText w:val=""/>
      <w:lvlJc w:val="left"/>
    </w:lvl>
  </w:abstractNum>
  <w:abstractNum w:abstractNumId="2" w15:restartNumberingAfterBreak="0">
    <w:nsid w:val="0CF545D9"/>
    <w:multiLevelType w:val="hybridMultilevel"/>
    <w:tmpl w:val="BBA0966E"/>
    <w:lvl w:ilvl="0" w:tplc="88E8B8E4">
      <w:start w:val="1"/>
      <w:numFmt w:val="bullet"/>
      <w:lvlText w:val="•"/>
      <w:lvlJc w:val="left"/>
      <w:pPr>
        <w:ind w:left="720" w:hanging="480"/>
      </w:pPr>
    </w:lvl>
    <w:lvl w:ilvl="1" w:tplc="87684262">
      <w:numFmt w:val="decimal"/>
      <w:lvlText w:val=""/>
      <w:lvlJc w:val="left"/>
    </w:lvl>
    <w:lvl w:ilvl="2" w:tplc="15248638">
      <w:numFmt w:val="decimal"/>
      <w:lvlText w:val=""/>
      <w:lvlJc w:val="left"/>
    </w:lvl>
    <w:lvl w:ilvl="3" w:tplc="9642C678">
      <w:numFmt w:val="decimal"/>
      <w:lvlText w:val=""/>
      <w:lvlJc w:val="left"/>
    </w:lvl>
    <w:lvl w:ilvl="4" w:tplc="81F4FF34">
      <w:numFmt w:val="decimal"/>
      <w:lvlText w:val=""/>
      <w:lvlJc w:val="left"/>
    </w:lvl>
    <w:lvl w:ilvl="5" w:tplc="F7668796">
      <w:numFmt w:val="decimal"/>
      <w:lvlText w:val=""/>
      <w:lvlJc w:val="left"/>
    </w:lvl>
    <w:lvl w:ilvl="6" w:tplc="1D1077D6">
      <w:numFmt w:val="decimal"/>
      <w:lvlText w:val=""/>
      <w:lvlJc w:val="left"/>
    </w:lvl>
    <w:lvl w:ilvl="7" w:tplc="BAD61474">
      <w:numFmt w:val="decimal"/>
      <w:lvlText w:val=""/>
      <w:lvlJc w:val="left"/>
    </w:lvl>
    <w:lvl w:ilvl="8" w:tplc="F602533C">
      <w:numFmt w:val="decimal"/>
      <w:lvlText w:val=""/>
      <w:lvlJc w:val="left"/>
    </w:lvl>
  </w:abstractNum>
  <w:abstractNum w:abstractNumId="3" w15:restartNumberingAfterBreak="0">
    <w:nsid w:val="19DC3922"/>
    <w:multiLevelType w:val="hybridMultilevel"/>
    <w:tmpl w:val="1B46BD3A"/>
    <w:lvl w:ilvl="0" w:tplc="F81E52FE">
      <w:start w:val="1"/>
      <w:numFmt w:val="bullet"/>
      <w:lvlText w:val="•"/>
      <w:lvlJc w:val="left"/>
      <w:pPr>
        <w:ind w:left="720" w:hanging="480"/>
      </w:pPr>
    </w:lvl>
    <w:lvl w:ilvl="1" w:tplc="6ECE368C">
      <w:numFmt w:val="decimal"/>
      <w:lvlText w:val=""/>
      <w:lvlJc w:val="left"/>
    </w:lvl>
    <w:lvl w:ilvl="2" w:tplc="1DB4DBD2">
      <w:numFmt w:val="decimal"/>
      <w:lvlText w:val=""/>
      <w:lvlJc w:val="left"/>
    </w:lvl>
    <w:lvl w:ilvl="3" w:tplc="C4800B7E">
      <w:numFmt w:val="decimal"/>
      <w:lvlText w:val=""/>
      <w:lvlJc w:val="left"/>
    </w:lvl>
    <w:lvl w:ilvl="4" w:tplc="49F0D6E0">
      <w:numFmt w:val="decimal"/>
      <w:lvlText w:val=""/>
      <w:lvlJc w:val="left"/>
    </w:lvl>
    <w:lvl w:ilvl="5" w:tplc="104815A2">
      <w:numFmt w:val="decimal"/>
      <w:lvlText w:val=""/>
      <w:lvlJc w:val="left"/>
    </w:lvl>
    <w:lvl w:ilvl="6" w:tplc="2AE02E96">
      <w:numFmt w:val="decimal"/>
      <w:lvlText w:val=""/>
      <w:lvlJc w:val="left"/>
    </w:lvl>
    <w:lvl w:ilvl="7" w:tplc="9524FC76">
      <w:numFmt w:val="decimal"/>
      <w:lvlText w:val=""/>
      <w:lvlJc w:val="left"/>
    </w:lvl>
    <w:lvl w:ilvl="8" w:tplc="C26ACF4E">
      <w:numFmt w:val="decimal"/>
      <w:lvlText w:val=""/>
      <w:lvlJc w:val="left"/>
    </w:lvl>
  </w:abstractNum>
  <w:abstractNum w:abstractNumId="4" w15:restartNumberingAfterBreak="0">
    <w:nsid w:val="348C28B4"/>
    <w:multiLevelType w:val="hybridMultilevel"/>
    <w:tmpl w:val="54B4F006"/>
    <w:lvl w:ilvl="0" w:tplc="A1302CBC">
      <w:start w:val="1"/>
      <w:numFmt w:val="bullet"/>
      <w:lvlText w:val="•"/>
      <w:lvlJc w:val="left"/>
      <w:pPr>
        <w:ind w:left="720" w:hanging="480"/>
      </w:pPr>
    </w:lvl>
    <w:lvl w:ilvl="1" w:tplc="97AC431E">
      <w:numFmt w:val="decimal"/>
      <w:lvlText w:val=""/>
      <w:lvlJc w:val="left"/>
    </w:lvl>
    <w:lvl w:ilvl="2" w:tplc="35FA2CC0">
      <w:numFmt w:val="decimal"/>
      <w:lvlText w:val=""/>
      <w:lvlJc w:val="left"/>
    </w:lvl>
    <w:lvl w:ilvl="3" w:tplc="355A08E6">
      <w:numFmt w:val="decimal"/>
      <w:lvlText w:val=""/>
      <w:lvlJc w:val="left"/>
    </w:lvl>
    <w:lvl w:ilvl="4" w:tplc="A724BD8E">
      <w:numFmt w:val="decimal"/>
      <w:lvlText w:val=""/>
      <w:lvlJc w:val="left"/>
    </w:lvl>
    <w:lvl w:ilvl="5" w:tplc="7550E4EC">
      <w:numFmt w:val="decimal"/>
      <w:lvlText w:val=""/>
      <w:lvlJc w:val="left"/>
    </w:lvl>
    <w:lvl w:ilvl="6" w:tplc="EC18FA1E">
      <w:numFmt w:val="decimal"/>
      <w:lvlText w:val=""/>
      <w:lvlJc w:val="left"/>
    </w:lvl>
    <w:lvl w:ilvl="7" w:tplc="DC1A879C">
      <w:numFmt w:val="decimal"/>
      <w:lvlText w:val=""/>
      <w:lvlJc w:val="left"/>
    </w:lvl>
    <w:lvl w:ilvl="8" w:tplc="122EF6D6">
      <w:numFmt w:val="decimal"/>
      <w:lvlText w:val=""/>
      <w:lvlJc w:val="left"/>
    </w:lvl>
  </w:abstractNum>
  <w:abstractNum w:abstractNumId="5" w15:restartNumberingAfterBreak="0">
    <w:nsid w:val="511263FA"/>
    <w:multiLevelType w:val="hybridMultilevel"/>
    <w:tmpl w:val="8B56FE88"/>
    <w:lvl w:ilvl="0" w:tplc="4AAAF2CA">
      <w:start w:val="1"/>
      <w:numFmt w:val="bullet"/>
      <w:lvlText w:val="•"/>
      <w:lvlJc w:val="left"/>
      <w:pPr>
        <w:ind w:left="720" w:hanging="480"/>
      </w:pPr>
    </w:lvl>
    <w:lvl w:ilvl="1" w:tplc="B8089402">
      <w:numFmt w:val="decimal"/>
      <w:lvlText w:val=""/>
      <w:lvlJc w:val="left"/>
    </w:lvl>
    <w:lvl w:ilvl="2" w:tplc="A70AAB78">
      <w:numFmt w:val="decimal"/>
      <w:lvlText w:val=""/>
      <w:lvlJc w:val="left"/>
    </w:lvl>
    <w:lvl w:ilvl="3" w:tplc="BDF4E566">
      <w:numFmt w:val="decimal"/>
      <w:lvlText w:val=""/>
      <w:lvlJc w:val="left"/>
    </w:lvl>
    <w:lvl w:ilvl="4" w:tplc="39FAB066">
      <w:numFmt w:val="decimal"/>
      <w:lvlText w:val=""/>
      <w:lvlJc w:val="left"/>
    </w:lvl>
    <w:lvl w:ilvl="5" w:tplc="CA6AE8D6">
      <w:numFmt w:val="decimal"/>
      <w:lvlText w:val=""/>
      <w:lvlJc w:val="left"/>
    </w:lvl>
    <w:lvl w:ilvl="6" w:tplc="2222CF1E">
      <w:numFmt w:val="decimal"/>
      <w:lvlText w:val=""/>
      <w:lvlJc w:val="left"/>
    </w:lvl>
    <w:lvl w:ilvl="7" w:tplc="5002AB8C">
      <w:numFmt w:val="decimal"/>
      <w:lvlText w:val=""/>
      <w:lvlJc w:val="left"/>
    </w:lvl>
    <w:lvl w:ilvl="8" w:tplc="C37E726A">
      <w:numFmt w:val="decimal"/>
      <w:lvlText w:val=""/>
      <w:lvlJc w:val="left"/>
    </w:lvl>
  </w:abstractNum>
  <w:abstractNum w:abstractNumId="6" w15:restartNumberingAfterBreak="0">
    <w:nsid w:val="51FC7A76"/>
    <w:multiLevelType w:val="hybridMultilevel"/>
    <w:tmpl w:val="B4165390"/>
    <w:lvl w:ilvl="0" w:tplc="11B80856">
      <w:start w:val="1"/>
      <w:numFmt w:val="bullet"/>
      <w:lvlText w:val="•"/>
      <w:lvlJc w:val="left"/>
      <w:pPr>
        <w:ind w:left="720" w:hanging="480"/>
      </w:pPr>
    </w:lvl>
    <w:lvl w:ilvl="1" w:tplc="4148E4B6">
      <w:numFmt w:val="decimal"/>
      <w:lvlText w:val=""/>
      <w:lvlJc w:val="left"/>
    </w:lvl>
    <w:lvl w:ilvl="2" w:tplc="DCF89866">
      <w:numFmt w:val="decimal"/>
      <w:lvlText w:val=""/>
      <w:lvlJc w:val="left"/>
    </w:lvl>
    <w:lvl w:ilvl="3" w:tplc="29A87C3A">
      <w:numFmt w:val="decimal"/>
      <w:lvlText w:val=""/>
      <w:lvlJc w:val="left"/>
    </w:lvl>
    <w:lvl w:ilvl="4" w:tplc="2CFC1C0C">
      <w:numFmt w:val="decimal"/>
      <w:lvlText w:val=""/>
      <w:lvlJc w:val="left"/>
    </w:lvl>
    <w:lvl w:ilvl="5" w:tplc="5F12C21E">
      <w:numFmt w:val="decimal"/>
      <w:lvlText w:val=""/>
      <w:lvlJc w:val="left"/>
    </w:lvl>
    <w:lvl w:ilvl="6" w:tplc="A3F475C8">
      <w:numFmt w:val="decimal"/>
      <w:lvlText w:val=""/>
      <w:lvlJc w:val="left"/>
    </w:lvl>
    <w:lvl w:ilvl="7" w:tplc="D714AB4A">
      <w:numFmt w:val="decimal"/>
      <w:lvlText w:val=""/>
      <w:lvlJc w:val="left"/>
    </w:lvl>
    <w:lvl w:ilvl="8" w:tplc="C2E6A636">
      <w:numFmt w:val="decimal"/>
      <w:lvlText w:val=""/>
      <w:lvlJc w:val="left"/>
    </w:lvl>
  </w:abstractNum>
  <w:abstractNum w:abstractNumId="7" w15:restartNumberingAfterBreak="0">
    <w:nsid w:val="747031E2"/>
    <w:multiLevelType w:val="hybridMultilevel"/>
    <w:tmpl w:val="CFA8E954"/>
    <w:lvl w:ilvl="0" w:tplc="CC929838">
      <w:start w:val="1"/>
      <w:numFmt w:val="bullet"/>
      <w:lvlText w:val="•"/>
      <w:lvlJc w:val="left"/>
      <w:pPr>
        <w:ind w:left="720" w:hanging="480"/>
      </w:pPr>
    </w:lvl>
    <w:lvl w:ilvl="1" w:tplc="36501930">
      <w:numFmt w:val="decimal"/>
      <w:lvlText w:val=""/>
      <w:lvlJc w:val="left"/>
    </w:lvl>
    <w:lvl w:ilvl="2" w:tplc="B3BA9CD2">
      <w:numFmt w:val="decimal"/>
      <w:lvlText w:val=""/>
      <w:lvlJc w:val="left"/>
    </w:lvl>
    <w:lvl w:ilvl="3" w:tplc="B4769C3C">
      <w:numFmt w:val="decimal"/>
      <w:lvlText w:val=""/>
      <w:lvlJc w:val="left"/>
    </w:lvl>
    <w:lvl w:ilvl="4" w:tplc="48984024">
      <w:numFmt w:val="decimal"/>
      <w:lvlText w:val=""/>
      <w:lvlJc w:val="left"/>
    </w:lvl>
    <w:lvl w:ilvl="5" w:tplc="F3D252B8">
      <w:numFmt w:val="decimal"/>
      <w:lvlText w:val=""/>
      <w:lvlJc w:val="left"/>
    </w:lvl>
    <w:lvl w:ilvl="6" w:tplc="D414B88C">
      <w:numFmt w:val="decimal"/>
      <w:lvlText w:val=""/>
      <w:lvlJc w:val="left"/>
    </w:lvl>
    <w:lvl w:ilvl="7" w:tplc="4C62CDE8">
      <w:numFmt w:val="decimal"/>
      <w:lvlText w:val=""/>
      <w:lvlJc w:val="left"/>
    </w:lvl>
    <w:lvl w:ilvl="8" w:tplc="C49E8E90">
      <w:numFmt w:val="decimal"/>
      <w:lvlText w:val=""/>
      <w:lvlJc w:val="left"/>
    </w:lvl>
  </w:abstractNum>
  <w:abstractNum w:abstractNumId="8" w15:restartNumberingAfterBreak="0">
    <w:nsid w:val="7770452F"/>
    <w:multiLevelType w:val="hybridMultilevel"/>
    <w:tmpl w:val="0882E458"/>
    <w:lvl w:ilvl="0" w:tplc="B37E585C">
      <w:start w:val="1"/>
      <w:numFmt w:val="bullet"/>
      <w:lvlText w:val="●"/>
      <w:lvlJc w:val="left"/>
      <w:pPr>
        <w:ind w:left="720" w:hanging="360"/>
      </w:pPr>
    </w:lvl>
    <w:lvl w:ilvl="1" w:tplc="3CA030C2">
      <w:start w:val="1"/>
      <w:numFmt w:val="bullet"/>
      <w:lvlText w:val="○"/>
      <w:lvlJc w:val="left"/>
      <w:pPr>
        <w:ind w:left="1440" w:hanging="360"/>
      </w:pPr>
    </w:lvl>
    <w:lvl w:ilvl="2" w:tplc="0F14C140">
      <w:start w:val="1"/>
      <w:numFmt w:val="bullet"/>
      <w:lvlText w:val="■"/>
      <w:lvlJc w:val="left"/>
      <w:pPr>
        <w:ind w:left="2160" w:hanging="360"/>
      </w:pPr>
    </w:lvl>
    <w:lvl w:ilvl="3" w:tplc="6D5E4E62">
      <w:start w:val="1"/>
      <w:numFmt w:val="bullet"/>
      <w:lvlText w:val="●"/>
      <w:lvlJc w:val="left"/>
      <w:pPr>
        <w:ind w:left="2880" w:hanging="360"/>
      </w:pPr>
    </w:lvl>
    <w:lvl w:ilvl="4" w:tplc="8326CE6E">
      <w:start w:val="1"/>
      <w:numFmt w:val="bullet"/>
      <w:lvlText w:val="○"/>
      <w:lvlJc w:val="left"/>
      <w:pPr>
        <w:ind w:left="3600" w:hanging="360"/>
      </w:pPr>
    </w:lvl>
    <w:lvl w:ilvl="5" w:tplc="D29A0966">
      <w:start w:val="1"/>
      <w:numFmt w:val="bullet"/>
      <w:lvlText w:val="■"/>
      <w:lvlJc w:val="left"/>
      <w:pPr>
        <w:ind w:left="4320" w:hanging="360"/>
      </w:pPr>
    </w:lvl>
    <w:lvl w:ilvl="6" w:tplc="E10C0F08">
      <w:start w:val="1"/>
      <w:numFmt w:val="bullet"/>
      <w:lvlText w:val="●"/>
      <w:lvlJc w:val="left"/>
      <w:pPr>
        <w:ind w:left="5040" w:hanging="360"/>
      </w:pPr>
    </w:lvl>
    <w:lvl w:ilvl="7" w:tplc="2634034C">
      <w:start w:val="1"/>
      <w:numFmt w:val="bullet"/>
      <w:lvlText w:val="●"/>
      <w:lvlJc w:val="left"/>
      <w:pPr>
        <w:ind w:left="5760" w:hanging="360"/>
      </w:pPr>
    </w:lvl>
    <w:lvl w:ilvl="8" w:tplc="BCE2A730">
      <w:start w:val="1"/>
      <w:numFmt w:val="bullet"/>
      <w:lvlText w:val="●"/>
      <w:lvlJc w:val="left"/>
      <w:pPr>
        <w:ind w:left="6480" w:hanging="360"/>
      </w:pPr>
    </w:lvl>
  </w:abstractNum>
  <w:num w:numId="1" w16cid:durableId="1793016290">
    <w:abstractNumId w:val="8"/>
    <w:lvlOverride w:ilvl="0">
      <w:startOverride w:val="1"/>
    </w:lvlOverride>
  </w:num>
  <w:num w:numId="2" w16cid:durableId="143473928">
    <w:abstractNumId w:val="7"/>
    <w:lvlOverride w:ilvl="0">
      <w:startOverride w:val="1"/>
    </w:lvlOverride>
  </w:num>
  <w:num w:numId="3" w16cid:durableId="219022313">
    <w:abstractNumId w:val="6"/>
    <w:lvlOverride w:ilvl="0">
      <w:startOverride w:val="1"/>
    </w:lvlOverride>
  </w:num>
  <w:num w:numId="4" w16cid:durableId="1462571653">
    <w:abstractNumId w:val="3"/>
    <w:lvlOverride w:ilvl="0">
      <w:startOverride w:val="1"/>
    </w:lvlOverride>
  </w:num>
  <w:num w:numId="5" w16cid:durableId="1462573442">
    <w:abstractNumId w:val="4"/>
    <w:lvlOverride w:ilvl="0">
      <w:startOverride w:val="1"/>
    </w:lvlOverride>
  </w:num>
  <w:num w:numId="6" w16cid:durableId="1247614146">
    <w:abstractNumId w:val="0"/>
    <w:lvlOverride w:ilvl="0">
      <w:startOverride w:val="1"/>
    </w:lvlOverride>
  </w:num>
  <w:num w:numId="7" w16cid:durableId="1897158924">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4150"/>
    <w:rsid w:val="003C4150"/>
    <w:rsid w:val="00665D3D"/>
    <w:rsid w:val="00DA3296"/>
    <w:rsid w:val="00EC64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B0163"/>
  <w15:docId w15:val="{446F7DBC-2600-40FB-8B15-3492E1205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GB" w:eastAsia="en-GB"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outlineLvl w:val="0"/>
    </w:pPr>
    <w:rPr>
      <w:rFonts w:ascii="Calibri(Headings)" w:eastAsia="Calibri(Headings)" w:hAnsi="Calibri(Headings)" w:cs="Calibri(Headings)"/>
      <w:b/>
      <w:bCs/>
      <w:color w:val="1F3864"/>
      <w:sz w:val="32"/>
      <w:szCs w:val="32"/>
    </w:rPr>
  </w:style>
  <w:style w:type="paragraph" w:styleId="Heading2">
    <w:name w:val="heading 2"/>
    <w:uiPriority w:val="9"/>
    <w:unhideWhenUsed/>
    <w:qFormat/>
    <w:pPr>
      <w:spacing w:before="300" w:after="80"/>
      <w:outlineLvl w:val="1"/>
    </w:pPr>
    <w:rPr>
      <w:rFonts w:ascii="Calibri(Headings)" w:eastAsia="Calibri(Headings)" w:hAnsi="Calibri(Headings)" w:cs="Calibri(Headings)"/>
      <w:b/>
      <w:bCs/>
      <w:color w:val="4F81BD"/>
      <w:sz w:val="26"/>
      <w:szCs w:val="26"/>
    </w:rPr>
  </w:style>
  <w:style w:type="paragraph" w:styleId="Heading3">
    <w:name w:val="heading 3"/>
    <w:uiPriority w:val="9"/>
    <w:semiHidden/>
    <w:unhideWhenUsed/>
    <w:qFormat/>
    <w:pPr>
      <w:spacing w:before="200" w:after="60"/>
      <w:outlineLvl w:val="2"/>
    </w:pPr>
    <w:rPr>
      <w:rFonts w:ascii="Calibri(Headings)" w:eastAsia="Calibri(Headings)" w:hAnsi="Calibri(Headings)" w:cs="Calibri(Headings)"/>
      <w:b/>
      <w:bCs/>
      <w:i/>
      <w:iCs/>
      <w:color w:val="2E74B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jc w:val="center"/>
    </w:pPr>
    <w:rPr>
      <w:rFonts w:ascii="Calibri(Headings)" w:eastAsia="Calibri(Headings)" w:hAnsi="Calibri(Headings)" w:cs="Calibri(Headings)"/>
      <w:b/>
      <w:bCs/>
      <w:color w:val="1F3864"/>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CodeBlock">
    <w:name w:val="Code Block"/>
    <w:rPr>
      <w:rFonts w:ascii="Consolas" w:eastAsia="Consolas" w:hAnsi="Consolas" w:cs="Consolas"/>
      <w:color w:val="2F4F4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1864</Words>
  <Characters>10629</Characters>
  <Application>Microsoft Office Word</Application>
  <DocSecurity>0</DocSecurity>
  <Lines>88</Lines>
  <Paragraphs>24</Paragraphs>
  <ScaleCrop>false</ScaleCrop>
  <Company/>
  <LinksUpToDate>false</LinksUpToDate>
  <CharactersWithSpaces>12469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tracie walkers</cp:lastModifiedBy>
  <cp:revision>3</cp:revision>
  <dcterms:created xsi:type="dcterms:W3CDTF">2026-07-03T21:01:00Z</dcterms:created>
  <dcterms:modified xsi:type="dcterms:W3CDTF">2026-07-04T11:31:00Z</dcterms:modified>
</cp:coreProperties>
</file>