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147" w:rsidRPr="009318EE" w:rsidRDefault="00456147">
      <w:pPr>
        <w:rPr>
          <w:rFonts w:ascii="Arial" w:hAnsi="Arial" w:cs="Arial"/>
          <w:b/>
          <w:sz w:val="20"/>
          <w:szCs w:val="20"/>
        </w:rPr>
      </w:pPr>
      <w:r w:rsidRPr="009318EE">
        <w:rPr>
          <w:rFonts w:ascii="Arial" w:hAnsi="Arial" w:cs="Arial"/>
          <w:b/>
          <w:sz w:val="20"/>
          <w:szCs w:val="20"/>
        </w:rPr>
        <w:t xml:space="preserve">Hinweise zur Dosierung </w:t>
      </w:r>
    </w:p>
    <w:tbl>
      <w:tblPr>
        <w:tblStyle w:val="Tabellenraster"/>
        <w:tblW w:w="0" w:type="auto"/>
        <w:tblLook w:val="04A0" w:firstRow="1" w:lastRow="0" w:firstColumn="1" w:lastColumn="0" w:noHBand="0" w:noVBand="1"/>
      </w:tblPr>
      <w:tblGrid>
        <w:gridCol w:w="3114"/>
        <w:gridCol w:w="567"/>
        <w:gridCol w:w="5381"/>
      </w:tblGrid>
      <w:tr w:rsidR="00456147" w:rsidRPr="009318EE" w:rsidTr="00884734">
        <w:tc>
          <w:tcPr>
            <w:tcW w:w="3114" w:type="dxa"/>
          </w:tcPr>
          <w:p w:rsidR="00456147" w:rsidRPr="009318EE" w:rsidRDefault="00456147">
            <w:pPr>
              <w:rPr>
                <w:rFonts w:ascii="Arial" w:hAnsi="Arial" w:cs="Arial"/>
                <w:sz w:val="20"/>
                <w:szCs w:val="20"/>
              </w:rPr>
            </w:pPr>
            <w:r w:rsidRPr="009318EE">
              <w:rPr>
                <w:rFonts w:ascii="Arial" w:hAnsi="Arial" w:cs="Arial"/>
                <w:sz w:val="20"/>
                <w:szCs w:val="20"/>
              </w:rPr>
              <w:t>1.000 g GHB</w:t>
            </w:r>
          </w:p>
        </w:tc>
        <w:tc>
          <w:tcPr>
            <w:tcW w:w="567" w:type="dxa"/>
          </w:tcPr>
          <w:p w:rsidR="00456147" w:rsidRPr="009318EE" w:rsidRDefault="00456147">
            <w:pPr>
              <w:rPr>
                <w:rFonts w:ascii="Arial" w:hAnsi="Arial" w:cs="Arial"/>
                <w:sz w:val="20"/>
                <w:szCs w:val="20"/>
              </w:rPr>
            </w:pPr>
          </w:p>
        </w:tc>
        <w:tc>
          <w:tcPr>
            <w:tcW w:w="5381" w:type="dxa"/>
          </w:tcPr>
          <w:p w:rsidR="00456147" w:rsidRPr="009318EE" w:rsidRDefault="00456147">
            <w:pPr>
              <w:rPr>
                <w:rFonts w:ascii="Arial" w:hAnsi="Arial" w:cs="Arial"/>
                <w:sz w:val="20"/>
                <w:szCs w:val="20"/>
              </w:rPr>
            </w:pPr>
            <w:r w:rsidRPr="009318EE">
              <w:rPr>
                <w:rFonts w:ascii="Arial" w:hAnsi="Arial" w:cs="Arial"/>
                <w:sz w:val="20"/>
                <w:szCs w:val="20"/>
              </w:rPr>
              <w:t>1.211 g Na-GHB</w:t>
            </w:r>
            <w:r w:rsidR="00884734">
              <w:rPr>
                <w:rFonts w:ascii="Arial" w:hAnsi="Arial" w:cs="Arial"/>
                <w:sz w:val="20"/>
                <w:szCs w:val="20"/>
              </w:rPr>
              <w:t xml:space="preserve"> (handelsüblich)</w:t>
            </w:r>
            <w:bookmarkStart w:id="0" w:name="_GoBack"/>
            <w:bookmarkEnd w:id="0"/>
          </w:p>
        </w:tc>
      </w:tr>
      <w:tr w:rsidR="00456147" w:rsidRPr="009318EE" w:rsidTr="00884734">
        <w:tc>
          <w:tcPr>
            <w:tcW w:w="3114" w:type="dxa"/>
          </w:tcPr>
          <w:p w:rsidR="00456147" w:rsidRPr="009318EE" w:rsidRDefault="00456147">
            <w:pPr>
              <w:rPr>
                <w:rFonts w:ascii="Arial" w:hAnsi="Arial" w:cs="Arial"/>
                <w:sz w:val="20"/>
                <w:szCs w:val="20"/>
              </w:rPr>
            </w:pPr>
          </w:p>
        </w:tc>
        <w:tc>
          <w:tcPr>
            <w:tcW w:w="567" w:type="dxa"/>
          </w:tcPr>
          <w:p w:rsidR="00456147" w:rsidRPr="009318EE" w:rsidRDefault="00456147">
            <w:pPr>
              <w:rPr>
                <w:rFonts w:ascii="Arial" w:hAnsi="Arial" w:cs="Arial"/>
                <w:sz w:val="20"/>
                <w:szCs w:val="20"/>
              </w:rPr>
            </w:pPr>
          </w:p>
        </w:tc>
        <w:tc>
          <w:tcPr>
            <w:tcW w:w="5381" w:type="dxa"/>
          </w:tcPr>
          <w:p w:rsidR="00456147" w:rsidRPr="009318EE" w:rsidRDefault="00456147">
            <w:pPr>
              <w:rPr>
                <w:rFonts w:ascii="Arial" w:hAnsi="Arial" w:cs="Arial"/>
                <w:sz w:val="20"/>
                <w:szCs w:val="20"/>
              </w:rPr>
            </w:pPr>
            <w:r w:rsidRPr="009318EE">
              <w:rPr>
                <w:rFonts w:ascii="Arial" w:hAnsi="Arial" w:cs="Arial"/>
                <w:sz w:val="20"/>
                <w:szCs w:val="20"/>
              </w:rPr>
              <w:t>5.0 ml Injektionslösung (</w:t>
            </w:r>
            <w:proofErr w:type="spellStart"/>
            <w:r w:rsidRPr="009318EE">
              <w:rPr>
                <w:rFonts w:ascii="Arial" w:hAnsi="Arial" w:cs="Arial"/>
                <w:sz w:val="20"/>
                <w:szCs w:val="20"/>
              </w:rPr>
              <w:t>Somsanit</w:t>
            </w:r>
            <w:proofErr w:type="spellEnd"/>
            <w:r w:rsidRPr="009318EE">
              <w:rPr>
                <w:rFonts w:ascii="Arial" w:hAnsi="Arial" w:cs="Arial"/>
                <w:sz w:val="20"/>
                <w:szCs w:val="20"/>
              </w:rPr>
              <w:t>®)</w:t>
            </w:r>
          </w:p>
        </w:tc>
      </w:tr>
      <w:tr w:rsidR="00456147" w:rsidRPr="009318EE" w:rsidTr="00884734">
        <w:tc>
          <w:tcPr>
            <w:tcW w:w="3114" w:type="dxa"/>
          </w:tcPr>
          <w:p w:rsidR="00456147" w:rsidRPr="009318EE" w:rsidRDefault="00456147">
            <w:pPr>
              <w:rPr>
                <w:rFonts w:ascii="Arial" w:hAnsi="Arial" w:cs="Arial"/>
                <w:sz w:val="20"/>
                <w:szCs w:val="20"/>
              </w:rPr>
            </w:pPr>
          </w:p>
        </w:tc>
        <w:tc>
          <w:tcPr>
            <w:tcW w:w="567" w:type="dxa"/>
          </w:tcPr>
          <w:p w:rsidR="00456147" w:rsidRPr="009318EE" w:rsidRDefault="00456147">
            <w:pPr>
              <w:rPr>
                <w:rFonts w:ascii="Arial" w:hAnsi="Arial" w:cs="Arial"/>
                <w:sz w:val="20"/>
                <w:szCs w:val="20"/>
              </w:rPr>
            </w:pPr>
          </w:p>
        </w:tc>
        <w:tc>
          <w:tcPr>
            <w:tcW w:w="5381" w:type="dxa"/>
          </w:tcPr>
          <w:p w:rsidR="00456147" w:rsidRPr="009318EE" w:rsidRDefault="00456147">
            <w:pPr>
              <w:rPr>
                <w:rFonts w:ascii="Arial" w:hAnsi="Arial" w:cs="Arial"/>
                <w:sz w:val="20"/>
                <w:szCs w:val="20"/>
              </w:rPr>
            </w:pPr>
            <w:r w:rsidRPr="009318EE">
              <w:rPr>
                <w:rFonts w:ascii="Arial" w:hAnsi="Arial" w:cs="Arial"/>
                <w:sz w:val="20"/>
                <w:szCs w:val="20"/>
              </w:rPr>
              <w:t>2.4 ml Lösung zum Einnehmen (</w:t>
            </w:r>
            <w:proofErr w:type="spellStart"/>
            <w:r w:rsidRPr="009318EE">
              <w:rPr>
                <w:rFonts w:ascii="Arial" w:hAnsi="Arial" w:cs="Arial"/>
                <w:sz w:val="20"/>
                <w:szCs w:val="20"/>
              </w:rPr>
              <w:t>Xyrem</w:t>
            </w:r>
            <w:proofErr w:type="spellEnd"/>
            <w:r w:rsidRPr="009318EE">
              <w:rPr>
                <w:rFonts w:ascii="Arial" w:hAnsi="Arial" w:cs="Arial"/>
                <w:sz w:val="20"/>
                <w:szCs w:val="20"/>
              </w:rPr>
              <w:t>®)</w:t>
            </w:r>
          </w:p>
        </w:tc>
      </w:tr>
      <w:tr w:rsidR="00456147" w:rsidRPr="009318EE" w:rsidTr="00884734">
        <w:tc>
          <w:tcPr>
            <w:tcW w:w="3114" w:type="dxa"/>
          </w:tcPr>
          <w:p w:rsidR="00456147" w:rsidRPr="009318EE" w:rsidRDefault="00456147">
            <w:pPr>
              <w:rPr>
                <w:rFonts w:ascii="Arial" w:hAnsi="Arial" w:cs="Arial"/>
                <w:sz w:val="20"/>
                <w:szCs w:val="20"/>
              </w:rPr>
            </w:pPr>
          </w:p>
          <w:p w:rsidR="00456147" w:rsidRPr="009318EE" w:rsidRDefault="00456147">
            <w:pPr>
              <w:rPr>
                <w:rFonts w:ascii="Arial" w:hAnsi="Arial" w:cs="Arial"/>
                <w:sz w:val="20"/>
                <w:szCs w:val="20"/>
              </w:rPr>
            </w:pPr>
            <w:r w:rsidRPr="009318EE">
              <w:rPr>
                <w:rFonts w:ascii="Arial" w:hAnsi="Arial" w:cs="Arial"/>
                <w:sz w:val="20"/>
                <w:szCs w:val="20"/>
              </w:rPr>
              <w:t>1.000 g Na-GHB</w:t>
            </w:r>
            <w:r w:rsidR="00884734">
              <w:rPr>
                <w:rFonts w:ascii="Arial" w:hAnsi="Arial" w:cs="Arial"/>
                <w:sz w:val="20"/>
                <w:szCs w:val="20"/>
              </w:rPr>
              <w:t xml:space="preserve"> (handelsüblich)</w:t>
            </w:r>
          </w:p>
        </w:tc>
        <w:tc>
          <w:tcPr>
            <w:tcW w:w="567" w:type="dxa"/>
          </w:tcPr>
          <w:p w:rsidR="00456147" w:rsidRPr="009318EE" w:rsidRDefault="00456147">
            <w:pPr>
              <w:rPr>
                <w:rFonts w:ascii="Arial" w:hAnsi="Arial" w:cs="Arial"/>
                <w:sz w:val="20"/>
                <w:szCs w:val="20"/>
              </w:rPr>
            </w:pPr>
          </w:p>
        </w:tc>
        <w:tc>
          <w:tcPr>
            <w:tcW w:w="5381" w:type="dxa"/>
          </w:tcPr>
          <w:p w:rsidR="00456147" w:rsidRPr="009318EE" w:rsidRDefault="00456147">
            <w:pPr>
              <w:rPr>
                <w:rFonts w:ascii="Arial" w:hAnsi="Arial" w:cs="Arial"/>
                <w:sz w:val="20"/>
                <w:szCs w:val="20"/>
              </w:rPr>
            </w:pPr>
          </w:p>
          <w:p w:rsidR="00456147" w:rsidRPr="009318EE" w:rsidRDefault="00456147">
            <w:pPr>
              <w:rPr>
                <w:rFonts w:ascii="Arial" w:hAnsi="Arial" w:cs="Arial"/>
                <w:sz w:val="20"/>
                <w:szCs w:val="20"/>
              </w:rPr>
            </w:pPr>
            <w:r w:rsidRPr="009318EE">
              <w:rPr>
                <w:rFonts w:ascii="Arial" w:hAnsi="Arial" w:cs="Arial"/>
                <w:sz w:val="20"/>
                <w:szCs w:val="20"/>
              </w:rPr>
              <w:t>0.825 g GHB</w:t>
            </w:r>
          </w:p>
        </w:tc>
      </w:tr>
      <w:tr w:rsidR="00456147" w:rsidRPr="009318EE" w:rsidTr="00884734">
        <w:tc>
          <w:tcPr>
            <w:tcW w:w="3114" w:type="dxa"/>
          </w:tcPr>
          <w:p w:rsidR="00456147" w:rsidRPr="009318EE" w:rsidRDefault="00456147">
            <w:pPr>
              <w:rPr>
                <w:rFonts w:ascii="Arial" w:hAnsi="Arial" w:cs="Arial"/>
                <w:sz w:val="20"/>
                <w:szCs w:val="20"/>
              </w:rPr>
            </w:pPr>
          </w:p>
        </w:tc>
        <w:tc>
          <w:tcPr>
            <w:tcW w:w="567" w:type="dxa"/>
          </w:tcPr>
          <w:p w:rsidR="00456147" w:rsidRPr="009318EE" w:rsidRDefault="00456147">
            <w:pPr>
              <w:rPr>
                <w:rFonts w:ascii="Arial" w:hAnsi="Arial" w:cs="Arial"/>
                <w:sz w:val="20"/>
                <w:szCs w:val="20"/>
              </w:rPr>
            </w:pPr>
          </w:p>
        </w:tc>
        <w:tc>
          <w:tcPr>
            <w:tcW w:w="5381" w:type="dxa"/>
          </w:tcPr>
          <w:p w:rsidR="00456147" w:rsidRPr="009318EE" w:rsidRDefault="00456147">
            <w:pPr>
              <w:rPr>
                <w:rFonts w:ascii="Arial" w:hAnsi="Arial" w:cs="Arial"/>
                <w:sz w:val="20"/>
                <w:szCs w:val="20"/>
              </w:rPr>
            </w:pPr>
            <w:r w:rsidRPr="009318EE">
              <w:rPr>
                <w:rFonts w:ascii="Arial" w:hAnsi="Arial" w:cs="Arial"/>
                <w:sz w:val="20"/>
                <w:szCs w:val="20"/>
              </w:rPr>
              <w:t>4.1 ml Injektionslösung (</w:t>
            </w:r>
            <w:proofErr w:type="spellStart"/>
            <w:r w:rsidRPr="009318EE">
              <w:rPr>
                <w:rFonts w:ascii="Arial" w:hAnsi="Arial" w:cs="Arial"/>
                <w:sz w:val="20"/>
                <w:szCs w:val="20"/>
              </w:rPr>
              <w:t>Somsanit</w:t>
            </w:r>
            <w:proofErr w:type="spellEnd"/>
            <w:r w:rsidRPr="009318EE">
              <w:rPr>
                <w:rFonts w:ascii="Arial" w:hAnsi="Arial" w:cs="Arial"/>
                <w:sz w:val="20"/>
                <w:szCs w:val="20"/>
              </w:rPr>
              <w:t>®)</w:t>
            </w:r>
          </w:p>
        </w:tc>
      </w:tr>
      <w:tr w:rsidR="00456147" w:rsidRPr="009318EE" w:rsidTr="00884734">
        <w:tc>
          <w:tcPr>
            <w:tcW w:w="3114" w:type="dxa"/>
          </w:tcPr>
          <w:p w:rsidR="00456147" w:rsidRPr="009318EE" w:rsidRDefault="00456147">
            <w:pPr>
              <w:rPr>
                <w:rFonts w:ascii="Arial" w:hAnsi="Arial" w:cs="Arial"/>
                <w:sz w:val="20"/>
                <w:szCs w:val="20"/>
              </w:rPr>
            </w:pPr>
          </w:p>
        </w:tc>
        <w:tc>
          <w:tcPr>
            <w:tcW w:w="567" w:type="dxa"/>
          </w:tcPr>
          <w:p w:rsidR="00456147" w:rsidRPr="009318EE" w:rsidRDefault="00456147">
            <w:pPr>
              <w:rPr>
                <w:rFonts w:ascii="Arial" w:hAnsi="Arial" w:cs="Arial"/>
                <w:sz w:val="20"/>
                <w:szCs w:val="20"/>
              </w:rPr>
            </w:pPr>
          </w:p>
        </w:tc>
        <w:tc>
          <w:tcPr>
            <w:tcW w:w="5381" w:type="dxa"/>
          </w:tcPr>
          <w:p w:rsidR="00456147" w:rsidRPr="009318EE" w:rsidRDefault="00456147">
            <w:pPr>
              <w:rPr>
                <w:rFonts w:ascii="Arial" w:hAnsi="Arial" w:cs="Arial"/>
                <w:sz w:val="20"/>
                <w:szCs w:val="20"/>
              </w:rPr>
            </w:pPr>
            <w:r w:rsidRPr="009318EE">
              <w:rPr>
                <w:rFonts w:ascii="Arial" w:hAnsi="Arial" w:cs="Arial"/>
                <w:sz w:val="20"/>
                <w:szCs w:val="20"/>
              </w:rPr>
              <w:t>2.0 ml Lösung zum Einnehmen (</w:t>
            </w:r>
            <w:proofErr w:type="spellStart"/>
            <w:r w:rsidRPr="009318EE">
              <w:rPr>
                <w:rFonts w:ascii="Arial" w:hAnsi="Arial" w:cs="Arial"/>
                <w:sz w:val="20"/>
                <w:szCs w:val="20"/>
              </w:rPr>
              <w:t>Xyrem</w:t>
            </w:r>
            <w:proofErr w:type="spellEnd"/>
            <w:r w:rsidRPr="009318EE">
              <w:rPr>
                <w:rFonts w:ascii="Arial" w:hAnsi="Arial" w:cs="Arial"/>
                <w:sz w:val="20"/>
                <w:szCs w:val="20"/>
              </w:rPr>
              <w:t>®)</w:t>
            </w:r>
          </w:p>
        </w:tc>
      </w:tr>
    </w:tbl>
    <w:p w:rsidR="00456147" w:rsidRPr="009318EE" w:rsidRDefault="00456147">
      <w:pPr>
        <w:rPr>
          <w:rFonts w:ascii="Arial" w:hAnsi="Arial" w:cs="Arial"/>
          <w:sz w:val="20"/>
          <w:szCs w:val="20"/>
        </w:rPr>
      </w:pPr>
    </w:p>
    <w:p w:rsidR="00456147" w:rsidRPr="009318EE" w:rsidRDefault="00456147">
      <w:pPr>
        <w:rPr>
          <w:rFonts w:ascii="Arial" w:hAnsi="Arial" w:cs="Arial"/>
          <w:b/>
          <w:sz w:val="20"/>
          <w:szCs w:val="20"/>
        </w:rPr>
      </w:pPr>
      <w:proofErr w:type="spellStart"/>
      <w:r w:rsidRPr="009318EE">
        <w:rPr>
          <w:rFonts w:ascii="Arial" w:hAnsi="Arial" w:cs="Arial"/>
          <w:b/>
          <w:sz w:val="20"/>
          <w:szCs w:val="20"/>
        </w:rPr>
        <w:t>Wirkungsäquivalenzen</w:t>
      </w:r>
      <w:proofErr w:type="spellEnd"/>
      <w:r w:rsidRPr="009318EE">
        <w:rPr>
          <w:rFonts w:ascii="Arial" w:hAnsi="Arial" w:cs="Arial"/>
          <w:b/>
          <w:sz w:val="20"/>
          <w:szCs w:val="20"/>
        </w:rPr>
        <w:t xml:space="preserve"> von den Substanzen</w:t>
      </w:r>
    </w:p>
    <w:tbl>
      <w:tblPr>
        <w:tblStyle w:val="Tabellenraster"/>
        <w:tblW w:w="0" w:type="auto"/>
        <w:tblLook w:val="04A0" w:firstRow="1" w:lastRow="0" w:firstColumn="1" w:lastColumn="0" w:noHBand="0" w:noVBand="1"/>
      </w:tblPr>
      <w:tblGrid>
        <w:gridCol w:w="2265"/>
        <w:gridCol w:w="2265"/>
        <w:gridCol w:w="2266"/>
        <w:gridCol w:w="2266"/>
      </w:tblGrid>
      <w:tr w:rsidR="00456147" w:rsidRPr="009318EE" w:rsidTr="00456147">
        <w:tc>
          <w:tcPr>
            <w:tcW w:w="2265" w:type="dxa"/>
          </w:tcPr>
          <w:p w:rsidR="00456147" w:rsidRPr="009318EE" w:rsidRDefault="00456147">
            <w:pPr>
              <w:rPr>
                <w:rFonts w:ascii="Arial" w:hAnsi="Arial" w:cs="Arial"/>
                <w:sz w:val="20"/>
                <w:szCs w:val="20"/>
              </w:rPr>
            </w:pPr>
            <w:r w:rsidRPr="009318EE">
              <w:rPr>
                <w:rFonts w:ascii="Arial" w:hAnsi="Arial" w:cs="Arial"/>
                <w:sz w:val="20"/>
                <w:szCs w:val="20"/>
              </w:rPr>
              <w:t xml:space="preserve">Von  / Zu </w:t>
            </w:r>
            <w:r w:rsidRPr="009318EE">
              <w:rPr>
                <w:rFonts w:ascii="Arial" w:hAnsi="Arial" w:cs="Arial"/>
                <w:sz w:val="20"/>
                <w:szCs w:val="20"/>
              </w:rPr>
              <w:sym w:font="Wingdings" w:char="F0E8"/>
            </w:r>
          </w:p>
        </w:tc>
        <w:tc>
          <w:tcPr>
            <w:tcW w:w="2265" w:type="dxa"/>
          </w:tcPr>
          <w:p w:rsidR="00456147" w:rsidRPr="009318EE" w:rsidRDefault="00456147">
            <w:pPr>
              <w:rPr>
                <w:rFonts w:ascii="Arial" w:hAnsi="Arial" w:cs="Arial"/>
                <w:sz w:val="20"/>
                <w:szCs w:val="20"/>
              </w:rPr>
            </w:pPr>
            <w:r w:rsidRPr="009318EE">
              <w:rPr>
                <w:rFonts w:ascii="Arial" w:hAnsi="Arial" w:cs="Arial"/>
                <w:sz w:val="20"/>
                <w:szCs w:val="20"/>
              </w:rPr>
              <w:t>Na-GHB</w:t>
            </w:r>
          </w:p>
        </w:tc>
        <w:tc>
          <w:tcPr>
            <w:tcW w:w="2266" w:type="dxa"/>
          </w:tcPr>
          <w:p w:rsidR="00456147" w:rsidRPr="009318EE" w:rsidRDefault="00456147">
            <w:pPr>
              <w:rPr>
                <w:rFonts w:ascii="Arial" w:hAnsi="Arial" w:cs="Arial"/>
                <w:sz w:val="20"/>
                <w:szCs w:val="20"/>
              </w:rPr>
            </w:pPr>
            <w:r w:rsidRPr="009318EE">
              <w:rPr>
                <w:rFonts w:ascii="Arial" w:hAnsi="Arial" w:cs="Arial"/>
                <w:sz w:val="20"/>
                <w:szCs w:val="20"/>
              </w:rPr>
              <w:t>GBL</w:t>
            </w:r>
          </w:p>
        </w:tc>
        <w:tc>
          <w:tcPr>
            <w:tcW w:w="2266" w:type="dxa"/>
          </w:tcPr>
          <w:p w:rsidR="00456147" w:rsidRPr="009318EE" w:rsidRDefault="00456147">
            <w:pPr>
              <w:rPr>
                <w:rFonts w:ascii="Arial" w:hAnsi="Arial" w:cs="Arial"/>
                <w:sz w:val="20"/>
                <w:szCs w:val="20"/>
              </w:rPr>
            </w:pPr>
            <w:r w:rsidRPr="009318EE">
              <w:rPr>
                <w:rFonts w:ascii="Arial" w:hAnsi="Arial" w:cs="Arial"/>
                <w:sz w:val="20"/>
                <w:szCs w:val="20"/>
              </w:rPr>
              <w:t>BDO</w:t>
            </w:r>
          </w:p>
        </w:tc>
      </w:tr>
      <w:tr w:rsidR="00456147" w:rsidRPr="009318EE" w:rsidTr="00456147">
        <w:tc>
          <w:tcPr>
            <w:tcW w:w="2265" w:type="dxa"/>
          </w:tcPr>
          <w:p w:rsidR="00456147" w:rsidRPr="009318EE" w:rsidRDefault="00456147">
            <w:pPr>
              <w:rPr>
                <w:rFonts w:ascii="Arial" w:hAnsi="Arial" w:cs="Arial"/>
                <w:sz w:val="20"/>
                <w:szCs w:val="20"/>
              </w:rPr>
            </w:pPr>
            <w:r w:rsidRPr="009318EE">
              <w:rPr>
                <w:rFonts w:ascii="Arial" w:hAnsi="Arial" w:cs="Arial"/>
                <w:sz w:val="20"/>
                <w:szCs w:val="20"/>
              </w:rPr>
              <w:t>Na-GHB</w:t>
            </w:r>
          </w:p>
        </w:tc>
        <w:tc>
          <w:tcPr>
            <w:tcW w:w="2265" w:type="dxa"/>
          </w:tcPr>
          <w:p w:rsidR="00456147" w:rsidRPr="009318EE" w:rsidRDefault="00456147">
            <w:pPr>
              <w:rPr>
                <w:rFonts w:ascii="Arial" w:hAnsi="Arial" w:cs="Arial"/>
                <w:sz w:val="20"/>
                <w:szCs w:val="20"/>
              </w:rPr>
            </w:pPr>
            <w:r w:rsidRPr="009318EE">
              <w:rPr>
                <w:rFonts w:ascii="Arial" w:hAnsi="Arial" w:cs="Arial"/>
                <w:sz w:val="20"/>
                <w:szCs w:val="20"/>
              </w:rPr>
              <w:t>1</w:t>
            </w:r>
          </w:p>
        </w:tc>
        <w:tc>
          <w:tcPr>
            <w:tcW w:w="2266" w:type="dxa"/>
          </w:tcPr>
          <w:p w:rsidR="00456147" w:rsidRPr="009318EE" w:rsidRDefault="00456147">
            <w:pPr>
              <w:rPr>
                <w:rFonts w:ascii="Arial" w:hAnsi="Arial" w:cs="Arial"/>
                <w:sz w:val="20"/>
                <w:szCs w:val="20"/>
              </w:rPr>
            </w:pPr>
            <w:r w:rsidRPr="009318EE">
              <w:rPr>
                <w:rFonts w:ascii="Arial" w:hAnsi="Arial" w:cs="Arial"/>
                <w:sz w:val="20"/>
                <w:szCs w:val="20"/>
              </w:rPr>
              <w:t>0.68</w:t>
            </w:r>
          </w:p>
        </w:tc>
        <w:tc>
          <w:tcPr>
            <w:tcW w:w="2266" w:type="dxa"/>
          </w:tcPr>
          <w:p w:rsidR="00456147" w:rsidRPr="009318EE" w:rsidRDefault="00456147">
            <w:pPr>
              <w:rPr>
                <w:rFonts w:ascii="Arial" w:hAnsi="Arial" w:cs="Arial"/>
                <w:sz w:val="20"/>
                <w:szCs w:val="20"/>
              </w:rPr>
            </w:pPr>
            <w:r w:rsidRPr="009318EE">
              <w:rPr>
                <w:rFonts w:ascii="Arial" w:hAnsi="Arial" w:cs="Arial"/>
                <w:sz w:val="20"/>
                <w:szCs w:val="20"/>
              </w:rPr>
              <w:t>0.71</w:t>
            </w:r>
          </w:p>
        </w:tc>
      </w:tr>
      <w:tr w:rsidR="00456147" w:rsidRPr="009318EE" w:rsidTr="00456147">
        <w:tc>
          <w:tcPr>
            <w:tcW w:w="2265" w:type="dxa"/>
          </w:tcPr>
          <w:p w:rsidR="00456147" w:rsidRPr="009318EE" w:rsidRDefault="00456147">
            <w:pPr>
              <w:rPr>
                <w:rFonts w:ascii="Arial" w:hAnsi="Arial" w:cs="Arial"/>
                <w:sz w:val="20"/>
                <w:szCs w:val="20"/>
              </w:rPr>
            </w:pPr>
            <w:r w:rsidRPr="009318EE">
              <w:rPr>
                <w:rFonts w:ascii="Arial" w:hAnsi="Arial" w:cs="Arial"/>
                <w:sz w:val="20"/>
                <w:szCs w:val="20"/>
              </w:rPr>
              <w:t>GBL</w:t>
            </w:r>
          </w:p>
        </w:tc>
        <w:tc>
          <w:tcPr>
            <w:tcW w:w="2265" w:type="dxa"/>
          </w:tcPr>
          <w:p w:rsidR="00456147" w:rsidRPr="009318EE" w:rsidRDefault="00456147">
            <w:pPr>
              <w:rPr>
                <w:rFonts w:ascii="Arial" w:hAnsi="Arial" w:cs="Arial"/>
                <w:sz w:val="20"/>
                <w:szCs w:val="20"/>
              </w:rPr>
            </w:pPr>
            <w:r w:rsidRPr="009318EE">
              <w:rPr>
                <w:rFonts w:ascii="Arial" w:hAnsi="Arial" w:cs="Arial"/>
                <w:sz w:val="20"/>
                <w:szCs w:val="20"/>
              </w:rPr>
              <w:t>1.47</w:t>
            </w:r>
          </w:p>
        </w:tc>
        <w:tc>
          <w:tcPr>
            <w:tcW w:w="2266" w:type="dxa"/>
          </w:tcPr>
          <w:p w:rsidR="00456147" w:rsidRPr="009318EE" w:rsidRDefault="00456147">
            <w:pPr>
              <w:rPr>
                <w:rFonts w:ascii="Arial" w:hAnsi="Arial" w:cs="Arial"/>
                <w:sz w:val="20"/>
                <w:szCs w:val="20"/>
              </w:rPr>
            </w:pPr>
            <w:r w:rsidRPr="009318EE">
              <w:rPr>
                <w:rFonts w:ascii="Arial" w:hAnsi="Arial" w:cs="Arial"/>
                <w:sz w:val="20"/>
                <w:szCs w:val="20"/>
              </w:rPr>
              <w:t>1</w:t>
            </w:r>
          </w:p>
        </w:tc>
        <w:tc>
          <w:tcPr>
            <w:tcW w:w="2266" w:type="dxa"/>
          </w:tcPr>
          <w:p w:rsidR="00456147" w:rsidRPr="009318EE" w:rsidRDefault="00456147">
            <w:pPr>
              <w:rPr>
                <w:rFonts w:ascii="Arial" w:hAnsi="Arial" w:cs="Arial"/>
                <w:sz w:val="20"/>
                <w:szCs w:val="20"/>
              </w:rPr>
            </w:pPr>
            <w:r w:rsidRPr="009318EE">
              <w:rPr>
                <w:rFonts w:ascii="Arial" w:hAnsi="Arial" w:cs="Arial"/>
                <w:sz w:val="20"/>
                <w:szCs w:val="20"/>
              </w:rPr>
              <w:t>1.04</w:t>
            </w:r>
          </w:p>
        </w:tc>
      </w:tr>
      <w:tr w:rsidR="00456147" w:rsidRPr="009318EE" w:rsidTr="00456147">
        <w:tc>
          <w:tcPr>
            <w:tcW w:w="2265" w:type="dxa"/>
          </w:tcPr>
          <w:p w:rsidR="00456147" w:rsidRPr="009318EE" w:rsidRDefault="00456147">
            <w:pPr>
              <w:rPr>
                <w:rFonts w:ascii="Arial" w:hAnsi="Arial" w:cs="Arial"/>
                <w:sz w:val="20"/>
                <w:szCs w:val="20"/>
              </w:rPr>
            </w:pPr>
            <w:r w:rsidRPr="009318EE">
              <w:rPr>
                <w:rFonts w:ascii="Arial" w:hAnsi="Arial" w:cs="Arial"/>
                <w:sz w:val="20"/>
                <w:szCs w:val="20"/>
              </w:rPr>
              <w:t>BDO</w:t>
            </w:r>
          </w:p>
        </w:tc>
        <w:tc>
          <w:tcPr>
            <w:tcW w:w="2265" w:type="dxa"/>
          </w:tcPr>
          <w:p w:rsidR="00456147" w:rsidRPr="009318EE" w:rsidRDefault="00456147">
            <w:pPr>
              <w:rPr>
                <w:rFonts w:ascii="Arial" w:hAnsi="Arial" w:cs="Arial"/>
                <w:sz w:val="20"/>
                <w:szCs w:val="20"/>
              </w:rPr>
            </w:pPr>
            <w:r w:rsidRPr="009318EE">
              <w:rPr>
                <w:rFonts w:ascii="Arial" w:hAnsi="Arial" w:cs="Arial"/>
                <w:sz w:val="20"/>
                <w:szCs w:val="20"/>
              </w:rPr>
              <w:t>1.41</w:t>
            </w:r>
          </w:p>
        </w:tc>
        <w:tc>
          <w:tcPr>
            <w:tcW w:w="2266" w:type="dxa"/>
          </w:tcPr>
          <w:p w:rsidR="00456147" w:rsidRPr="009318EE" w:rsidRDefault="00456147">
            <w:pPr>
              <w:rPr>
                <w:rFonts w:ascii="Arial" w:hAnsi="Arial" w:cs="Arial"/>
                <w:sz w:val="20"/>
                <w:szCs w:val="20"/>
              </w:rPr>
            </w:pPr>
            <w:r w:rsidRPr="009318EE">
              <w:rPr>
                <w:rFonts w:ascii="Arial" w:hAnsi="Arial" w:cs="Arial"/>
                <w:sz w:val="20"/>
                <w:szCs w:val="20"/>
              </w:rPr>
              <w:t>0.96</w:t>
            </w:r>
          </w:p>
        </w:tc>
        <w:tc>
          <w:tcPr>
            <w:tcW w:w="2266" w:type="dxa"/>
          </w:tcPr>
          <w:p w:rsidR="00456147" w:rsidRPr="009318EE" w:rsidRDefault="00456147">
            <w:pPr>
              <w:rPr>
                <w:rFonts w:ascii="Arial" w:hAnsi="Arial" w:cs="Arial"/>
                <w:sz w:val="20"/>
                <w:szCs w:val="20"/>
              </w:rPr>
            </w:pPr>
            <w:r w:rsidRPr="009318EE">
              <w:rPr>
                <w:rFonts w:ascii="Arial" w:hAnsi="Arial" w:cs="Arial"/>
                <w:sz w:val="20"/>
                <w:szCs w:val="20"/>
              </w:rPr>
              <w:t>1</w:t>
            </w:r>
          </w:p>
        </w:tc>
      </w:tr>
    </w:tbl>
    <w:p w:rsidR="00456147" w:rsidRPr="009318EE" w:rsidRDefault="00456147">
      <w:pPr>
        <w:rPr>
          <w:rFonts w:ascii="Arial" w:hAnsi="Arial" w:cs="Arial"/>
          <w:b/>
          <w:sz w:val="20"/>
          <w:szCs w:val="20"/>
        </w:rPr>
      </w:pPr>
    </w:p>
    <w:p w:rsidR="00456147" w:rsidRPr="009318EE" w:rsidRDefault="009318EE">
      <w:pPr>
        <w:rPr>
          <w:rFonts w:ascii="Arial" w:hAnsi="Arial" w:cs="Arial"/>
          <w:b/>
          <w:sz w:val="20"/>
          <w:szCs w:val="20"/>
        </w:rPr>
      </w:pPr>
      <w:r w:rsidRPr="009318EE">
        <w:rPr>
          <w:rFonts w:ascii="Arial" w:hAnsi="Arial" w:cs="Arial"/>
          <w:b/>
          <w:sz w:val="20"/>
          <w:szCs w:val="20"/>
        </w:rPr>
        <w:t>Dichte der Substanzen:</w:t>
      </w:r>
    </w:p>
    <w:p w:rsidR="009318EE" w:rsidRDefault="00456147">
      <w:pPr>
        <w:rPr>
          <w:rFonts w:ascii="Arial" w:hAnsi="Arial" w:cs="Arial"/>
          <w:sz w:val="20"/>
          <w:szCs w:val="20"/>
        </w:rPr>
      </w:pPr>
      <w:r w:rsidRPr="009318EE">
        <w:rPr>
          <w:rFonts w:ascii="Arial" w:hAnsi="Arial" w:cs="Arial"/>
          <w:sz w:val="20"/>
          <w:szCs w:val="20"/>
        </w:rPr>
        <w:t xml:space="preserve">Na-GHB: </w:t>
      </w:r>
      <w:r w:rsidR="009318EE" w:rsidRPr="009318EE">
        <w:rPr>
          <w:rFonts w:ascii="Arial" w:hAnsi="Arial" w:cs="Arial"/>
          <w:sz w:val="20"/>
          <w:szCs w:val="20"/>
        </w:rPr>
        <w:tab/>
      </w:r>
      <w:r w:rsidRPr="009318EE">
        <w:rPr>
          <w:rFonts w:ascii="Arial" w:hAnsi="Arial" w:cs="Arial"/>
          <w:sz w:val="20"/>
          <w:szCs w:val="20"/>
        </w:rPr>
        <w:t>1.2 g/m</w:t>
      </w:r>
      <w:r w:rsidR="009318EE">
        <w:rPr>
          <w:rFonts w:ascii="Arial" w:hAnsi="Arial" w:cs="Arial"/>
          <w:sz w:val="20"/>
          <w:szCs w:val="20"/>
        </w:rPr>
        <w:t>l</w:t>
      </w:r>
    </w:p>
    <w:p w:rsidR="00456147" w:rsidRPr="009318EE" w:rsidRDefault="00456147">
      <w:pPr>
        <w:rPr>
          <w:rFonts w:ascii="Arial" w:hAnsi="Arial" w:cs="Arial"/>
          <w:sz w:val="20"/>
          <w:szCs w:val="20"/>
        </w:rPr>
      </w:pPr>
      <w:r w:rsidRPr="009318EE">
        <w:rPr>
          <w:rFonts w:ascii="Arial" w:hAnsi="Arial" w:cs="Arial"/>
          <w:sz w:val="20"/>
          <w:szCs w:val="20"/>
          <w:lang w:val="en-US"/>
        </w:rPr>
        <w:t xml:space="preserve">GBL: </w:t>
      </w:r>
      <w:r w:rsidR="009318EE" w:rsidRPr="009318EE">
        <w:rPr>
          <w:rFonts w:ascii="Arial" w:hAnsi="Arial" w:cs="Arial"/>
          <w:sz w:val="20"/>
          <w:szCs w:val="20"/>
          <w:lang w:val="en-US"/>
        </w:rPr>
        <w:tab/>
      </w:r>
      <w:r w:rsidR="009318EE" w:rsidRPr="009318EE">
        <w:rPr>
          <w:rFonts w:ascii="Arial" w:hAnsi="Arial" w:cs="Arial"/>
          <w:sz w:val="20"/>
          <w:szCs w:val="20"/>
          <w:lang w:val="en-US"/>
        </w:rPr>
        <w:tab/>
      </w:r>
      <w:r w:rsidRPr="009318EE">
        <w:rPr>
          <w:rFonts w:ascii="Arial" w:hAnsi="Arial" w:cs="Arial"/>
          <w:sz w:val="20"/>
          <w:szCs w:val="20"/>
          <w:lang w:val="en-US"/>
        </w:rPr>
        <w:t>1.13 g /ml</w:t>
      </w:r>
    </w:p>
    <w:p w:rsidR="009318EE" w:rsidRDefault="00456147">
      <w:pPr>
        <w:rPr>
          <w:rFonts w:ascii="Arial" w:hAnsi="Arial" w:cs="Arial"/>
          <w:sz w:val="20"/>
          <w:szCs w:val="20"/>
          <w:lang w:val="en-US"/>
        </w:rPr>
      </w:pPr>
      <w:r w:rsidRPr="009318EE">
        <w:rPr>
          <w:rFonts w:ascii="Arial" w:hAnsi="Arial" w:cs="Arial"/>
          <w:sz w:val="20"/>
          <w:szCs w:val="20"/>
          <w:lang w:val="en-US"/>
        </w:rPr>
        <w:t xml:space="preserve">BDO: </w:t>
      </w:r>
      <w:r w:rsidR="009318EE" w:rsidRPr="009318EE">
        <w:rPr>
          <w:rFonts w:ascii="Arial" w:hAnsi="Arial" w:cs="Arial"/>
          <w:sz w:val="20"/>
          <w:szCs w:val="20"/>
          <w:lang w:val="en-US"/>
        </w:rPr>
        <w:tab/>
      </w:r>
      <w:r w:rsidR="009318EE" w:rsidRPr="009318EE">
        <w:rPr>
          <w:rFonts w:ascii="Arial" w:hAnsi="Arial" w:cs="Arial"/>
          <w:sz w:val="20"/>
          <w:szCs w:val="20"/>
          <w:lang w:val="en-US"/>
        </w:rPr>
        <w:tab/>
      </w:r>
      <w:r w:rsidRPr="009318EE">
        <w:rPr>
          <w:rFonts w:ascii="Arial" w:hAnsi="Arial" w:cs="Arial"/>
          <w:sz w:val="20"/>
          <w:szCs w:val="20"/>
          <w:lang w:val="en-US"/>
        </w:rPr>
        <w:t>1.02 g/ml</w:t>
      </w:r>
    </w:p>
    <w:p w:rsidR="009318EE" w:rsidRPr="009318EE" w:rsidRDefault="009318EE">
      <w:pPr>
        <w:rPr>
          <w:rFonts w:ascii="Arial" w:hAnsi="Arial" w:cs="Arial"/>
          <w:sz w:val="20"/>
          <w:szCs w:val="20"/>
          <w:lang w:val="en-US"/>
        </w:rPr>
      </w:pPr>
    </w:p>
    <w:tbl>
      <w:tblPr>
        <w:tblStyle w:val="Tabellenraster"/>
        <w:tblW w:w="0" w:type="auto"/>
        <w:tblLook w:val="04A0" w:firstRow="1" w:lastRow="0" w:firstColumn="1" w:lastColumn="0" w:noHBand="0" w:noVBand="1"/>
      </w:tblPr>
      <w:tblGrid>
        <w:gridCol w:w="3020"/>
        <w:gridCol w:w="236"/>
        <w:gridCol w:w="5806"/>
      </w:tblGrid>
      <w:tr w:rsidR="009318EE" w:rsidRPr="009318EE" w:rsidTr="009318EE">
        <w:tc>
          <w:tcPr>
            <w:tcW w:w="3020" w:type="dxa"/>
          </w:tcPr>
          <w:p w:rsidR="009318EE" w:rsidRPr="009318EE" w:rsidRDefault="009318EE">
            <w:pPr>
              <w:rPr>
                <w:rFonts w:ascii="Arial" w:hAnsi="Arial" w:cs="Arial"/>
                <w:b/>
                <w:sz w:val="20"/>
                <w:szCs w:val="20"/>
              </w:rPr>
            </w:pPr>
            <w:r w:rsidRPr="009318EE">
              <w:rPr>
                <w:rFonts w:ascii="Arial" w:hAnsi="Arial" w:cs="Arial"/>
                <w:b/>
                <w:sz w:val="20"/>
                <w:szCs w:val="20"/>
              </w:rPr>
              <w:t>Dosierung Natrium-GHB</w:t>
            </w:r>
          </w:p>
        </w:tc>
        <w:tc>
          <w:tcPr>
            <w:tcW w:w="236" w:type="dxa"/>
          </w:tcPr>
          <w:p w:rsidR="009318EE" w:rsidRPr="009318EE" w:rsidRDefault="009318EE">
            <w:pPr>
              <w:rPr>
                <w:rFonts w:ascii="Arial" w:hAnsi="Arial" w:cs="Arial"/>
                <w:b/>
                <w:sz w:val="20"/>
                <w:szCs w:val="20"/>
              </w:rPr>
            </w:pPr>
          </w:p>
        </w:tc>
        <w:tc>
          <w:tcPr>
            <w:tcW w:w="5806" w:type="dxa"/>
          </w:tcPr>
          <w:p w:rsidR="009318EE" w:rsidRPr="009318EE" w:rsidRDefault="009318EE">
            <w:pPr>
              <w:rPr>
                <w:rFonts w:ascii="Arial" w:hAnsi="Arial" w:cs="Arial"/>
                <w:b/>
                <w:sz w:val="20"/>
                <w:szCs w:val="20"/>
              </w:rPr>
            </w:pPr>
            <w:r w:rsidRPr="009318EE">
              <w:rPr>
                <w:rFonts w:ascii="Arial" w:hAnsi="Arial" w:cs="Arial"/>
                <w:b/>
                <w:sz w:val="20"/>
                <w:szCs w:val="20"/>
              </w:rPr>
              <w:t>Wirkung</w:t>
            </w:r>
          </w:p>
        </w:tc>
      </w:tr>
      <w:tr w:rsidR="009318EE" w:rsidRPr="009318EE" w:rsidTr="009318EE">
        <w:tc>
          <w:tcPr>
            <w:tcW w:w="3020" w:type="dxa"/>
            <w:shd w:val="clear" w:color="auto" w:fill="FFFFFF" w:themeFill="background1"/>
          </w:tcPr>
          <w:p w:rsidR="009318EE" w:rsidRPr="009318EE" w:rsidRDefault="009318EE" w:rsidP="009318EE">
            <w:pPr>
              <w:pStyle w:val="KeinLeerraum"/>
              <w:rPr>
                <w:rFonts w:ascii="Arial" w:hAnsi="Arial" w:cs="Arial"/>
                <w:sz w:val="20"/>
                <w:szCs w:val="20"/>
              </w:rPr>
            </w:pPr>
            <w:r w:rsidRPr="009318EE">
              <w:rPr>
                <w:rFonts w:ascii="Arial" w:hAnsi="Arial" w:cs="Arial"/>
                <w:sz w:val="20"/>
                <w:szCs w:val="20"/>
              </w:rPr>
              <w:t>0,5 bis 1,5 Gramm</w:t>
            </w:r>
            <w:r w:rsidRPr="009318EE">
              <w:rPr>
                <w:rFonts w:ascii="Arial" w:hAnsi="Arial" w:cs="Arial"/>
                <w:sz w:val="20"/>
                <w:szCs w:val="20"/>
              </w:rPr>
              <w:br/>
              <w:t>(ca. 7 bis 21 mg/Kg)</w:t>
            </w:r>
          </w:p>
        </w:tc>
        <w:tc>
          <w:tcPr>
            <w:tcW w:w="236" w:type="dxa"/>
          </w:tcPr>
          <w:p w:rsidR="009318EE" w:rsidRPr="009318EE" w:rsidRDefault="009318EE" w:rsidP="009318EE">
            <w:pPr>
              <w:pStyle w:val="KeinLeerraum"/>
              <w:rPr>
                <w:rFonts w:ascii="Arial" w:hAnsi="Arial" w:cs="Arial"/>
                <w:sz w:val="20"/>
                <w:szCs w:val="20"/>
              </w:rPr>
            </w:pPr>
          </w:p>
        </w:tc>
        <w:tc>
          <w:tcPr>
            <w:tcW w:w="5806" w:type="dxa"/>
          </w:tcPr>
          <w:p w:rsidR="009318EE" w:rsidRPr="009318EE" w:rsidRDefault="009318EE" w:rsidP="009318EE">
            <w:pPr>
              <w:pStyle w:val="KeinLeerraum"/>
              <w:rPr>
                <w:rFonts w:ascii="Arial" w:hAnsi="Arial" w:cs="Arial"/>
                <w:sz w:val="20"/>
                <w:szCs w:val="20"/>
              </w:rPr>
            </w:pPr>
            <w:r w:rsidRPr="009318EE">
              <w:rPr>
                <w:rFonts w:ascii="Arial" w:hAnsi="Arial" w:cs="Arial"/>
                <w:sz w:val="20"/>
                <w:szCs w:val="20"/>
              </w:rPr>
              <w:t>Neben der antidepressiven und anxiolytischen (</w:t>
            </w:r>
            <w:proofErr w:type="spellStart"/>
            <w:r w:rsidRPr="009318EE">
              <w:rPr>
                <w:rFonts w:ascii="Arial" w:hAnsi="Arial" w:cs="Arial"/>
                <w:sz w:val="20"/>
                <w:szCs w:val="20"/>
              </w:rPr>
              <w:t>angslösenden</w:t>
            </w:r>
            <w:proofErr w:type="spellEnd"/>
            <w:r w:rsidRPr="009318EE">
              <w:rPr>
                <w:rFonts w:ascii="Arial" w:hAnsi="Arial" w:cs="Arial"/>
                <w:sz w:val="20"/>
                <w:szCs w:val="20"/>
              </w:rPr>
              <w:t>) Wirkung verspürt der Konsument einen leicht euphorisierenden und sozialisierenden Effekt. Der Konsument fühlt sich zumeist ausgeglichen, entspannt und leicht berauscht, die Sinneseindrücke werden verstärkt, das Kontaktbedürfnis und die Libido (der Sexualtrieb) werden erhöht und eine verstärkte körperliche Sensibilität tritt ein.</w:t>
            </w:r>
          </w:p>
        </w:tc>
      </w:tr>
      <w:tr w:rsidR="009318EE" w:rsidRPr="009318EE" w:rsidTr="009318EE">
        <w:tc>
          <w:tcPr>
            <w:tcW w:w="3020" w:type="dxa"/>
          </w:tcPr>
          <w:p w:rsidR="009318EE" w:rsidRPr="009318EE" w:rsidRDefault="009318EE" w:rsidP="009318EE">
            <w:pPr>
              <w:pStyle w:val="KeinLeerraum"/>
              <w:rPr>
                <w:rFonts w:ascii="Arial" w:hAnsi="Arial" w:cs="Arial"/>
                <w:sz w:val="20"/>
                <w:szCs w:val="20"/>
              </w:rPr>
            </w:pPr>
            <w:r w:rsidRPr="009318EE">
              <w:rPr>
                <w:rFonts w:ascii="Arial" w:hAnsi="Arial" w:cs="Arial"/>
                <w:sz w:val="20"/>
                <w:szCs w:val="20"/>
              </w:rPr>
              <w:t>1,5 bis 2,5 Gramm</w:t>
            </w:r>
            <w:r w:rsidRPr="009318EE">
              <w:rPr>
                <w:rFonts w:ascii="Arial" w:hAnsi="Arial" w:cs="Arial"/>
                <w:sz w:val="20"/>
                <w:szCs w:val="20"/>
              </w:rPr>
              <w:br/>
              <w:t>(ca. 21 bis 36 mg/Kg</w:t>
            </w:r>
          </w:p>
        </w:tc>
        <w:tc>
          <w:tcPr>
            <w:tcW w:w="236" w:type="dxa"/>
          </w:tcPr>
          <w:p w:rsidR="009318EE" w:rsidRPr="009318EE" w:rsidRDefault="009318EE" w:rsidP="009318EE">
            <w:pPr>
              <w:pStyle w:val="KeinLeerraum"/>
              <w:rPr>
                <w:rFonts w:ascii="Arial" w:hAnsi="Arial" w:cs="Arial"/>
                <w:sz w:val="20"/>
                <w:szCs w:val="20"/>
              </w:rPr>
            </w:pPr>
          </w:p>
        </w:tc>
        <w:tc>
          <w:tcPr>
            <w:tcW w:w="5806" w:type="dxa"/>
          </w:tcPr>
          <w:p w:rsidR="009318EE" w:rsidRPr="009318EE" w:rsidRDefault="009318EE" w:rsidP="009318EE">
            <w:pPr>
              <w:pStyle w:val="KeinLeerraum"/>
              <w:rPr>
                <w:rFonts w:ascii="Arial" w:hAnsi="Arial" w:cs="Arial"/>
                <w:sz w:val="20"/>
                <w:szCs w:val="20"/>
              </w:rPr>
            </w:pPr>
            <w:r w:rsidRPr="009318EE">
              <w:rPr>
                <w:rFonts w:ascii="Arial" w:hAnsi="Arial" w:cs="Arial"/>
                <w:sz w:val="20"/>
                <w:szCs w:val="20"/>
              </w:rPr>
              <w:t xml:space="preserve">Das Farbsehen ist sehr stark intensiviert und es können auch Halluzinationen auftreten. Auf der körperlichen Ebene tritt eine stark ausgeprägte Verstärkung der Lust nach Berührung ein. Die Liebeslust ist übermäßig angeregt. Deshalb wird GHB in Dosierungen um 2 Gramm gerne als Kuschel- und </w:t>
            </w:r>
            <w:proofErr w:type="spellStart"/>
            <w:r w:rsidRPr="009318EE">
              <w:rPr>
                <w:rFonts w:ascii="Arial" w:hAnsi="Arial" w:cs="Arial"/>
                <w:sz w:val="20"/>
                <w:szCs w:val="20"/>
              </w:rPr>
              <w:t>Sexdroge</w:t>
            </w:r>
            <w:proofErr w:type="spellEnd"/>
            <w:r w:rsidRPr="009318EE">
              <w:rPr>
                <w:rFonts w:ascii="Arial" w:hAnsi="Arial" w:cs="Arial"/>
                <w:sz w:val="20"/>
                <w:szCs w:val="20"/>
              </w:rPr>
              <w:t xml:space="preserve"> eingenommen.</w:t>
            </w:r>
          </w:p>
        </w:tc>
      </w:tr>
      <w:tr w:rsidR="009318EE" w:rsidRPr="009318EE" w:rsidTr="009318EE">
        <w:tc>
          <w:tcPr>
            <w:tcW w:w="3020" w:type="dxa"/>
          </w:tcPr>
          <w:p w:rsidR="009318EE" w:rsidRPr="009318EE" w:rsidRDefault="009318EE" w:rsidP="009318EE">
            <w:pPr>
              <w:pStyle w:val="KeinLeerraum"/>
              <w:rPr>
                <w:rFonts w:ascii="Arial" w:hAnsi="Arial" w:cs="Arial"/>
                <w:sz w:val="20"/>
                <w:szCs w:val="20"/>
              </w:rPr>
            </w:pPr>
            <w:r w:rsidRPr="009318EE">
              <w:rPr>
                <w:rFonts w:ascii="Arial" w:hAnsi="Arial" w:cs="Arial"/>
                <w:sz w:val="20"/>
                <w:szCs w:val="20"/>
              </w:rPr>
              <w:t>2,5 bis 3,0 Gramm</w:t>
            </w:r>
            <w:r w:rsidRPr="009318EE">
              <w:rPr>
                <w:rFonts w:ascii="Arial" w:hAnsi="Arial" w:cs="Arial"/>
                <w:sz w:val="20"/>
                <w:szCs w:val="20"/>
              </w:rPr>
              <w:br/>
              <w:t>(ca. 36 bis 43 mg/Kg)</w:t>
            </w:r>
          </w:p>
        </w:tc>
        <w:tc>
          <w:tcPr>
            <w:tcW w:w="236" w:type="dxa"/>
          </w:tcPr>
          <w:p w:rsidR="009318EE" w:rsidRPr="009318EE" w:rsidRDefault="009318EE" w:rsidP="009318EE">
            <w:pPr>
              <w:pStyle w:val="KeinLeerraum"/>
              <w:rPr>
                <w:rFonts w:ascii="Arial" w:hAnsi="Arial" w:cs="Arial"/>
                <w:sz w:val="20"/>
                <w:szCs w:val="20"/>
              </w:rPr>
            </w:pPr>
          </w:p>
        </w:tc>
        <w:tc>
          <w:tcPr>
            <w:tcW w:w="5806" w:type="dxa"/>
          </w:tcPr>
          <w:p w:rsidR="009318EE" w:rsidRPr="009318EE" w:rsidRDefault="009318EE" w:rsidP="009318EE">
            <w:pPr>
              <w:pStyle w:val="KeinLeerraum"/>
              <w:rPr>
                <w:rFonts w:ascii="Arial" w:hAnsi="Arial" w:cs="Arial"/>
                <w:sz w:val="20"/>
                <w:szCs w:val="20"/>
              </w:rPr>
            </w:pPr>
            <w:r w:rsidRPr="009318EE">
              <w:rPr>
                <w:rFonts w:ascii="Arial" w:hAnsi="Arial" w:cs="Arial"/>
                <w:sz w:val="20"/>
                <w:szCs w:val="20"/>
              </w:rPr>
              <w:t>Das euphorische Glücksgefühl wird nicht selten plötzlich durch Schläfrigkeit, Schwindelgefühl, Übelkeit, Brechreiz und Erbrechen getrübt. Muskelzuckungen, Krämpfe, Bradykardie (Verlangsamung des Pulses) und starke Halluzinationen können auftreten.</w:t>
            </w:r>
          </w:p>
        </w:tc>
      </w:tr>
      <w:tr w:rsidR="009318EE" w:rsidRPr="009318EE" w:rsidTr="009318EE">
        <w:tc>
          <w:tcPr>
            <w:tcW w:w="3020" w:type="dxa"/>
          </w:tcPr>
          <w:p w:rsidR="009318EE" w:rsidRPr="009318EE" w:rsidRDefault="009318EE" w:rsidP="009318EE">
            <w:pPr>
              <w:pStyle w:val="KeinLeerraum"/>
              <w:rPr>
                <w:rFonts w:ascii="Arial" w:hAnsi="Arial" w:cs="Arial"/>
                <w:sz w:val="20"/>
                <w:szCs w:val="20"/>
              </w:rPr>
            </w:pPr>
            <w:r w:rsidRPr="009318EE">
              <w:rPr>
                <w:rFonts w:ascii="Arial" w:hAnsi="Arial" w:cs="Arial"/>
                <w:sz w:val="20"/>
                <w:szCs w:val="20"/>
              </w:rPr>
              <w:t>3,0 bis 4,0 Gramm</w:t>
            </w:r>
            <w:r w:rsidRPr="009318EE">
              <w:rPr>
                <w:rFonts w:ascii="Arial" w:hAnsi="Arial" w:cs="Arial"/>
                <w:sz w:val="20"/>
                <w:szCs w:val="20"/>
              </w:rPr>
              <w:br/>
              <w:t>(ca. 43 bis 57 mg/Kg)</w:t>
            </w:r>
          </w:p>
        </w:tc>
        <w:tc>
          <w:tcPr>
            <w:tcW w:w="236" w:type="dxa"/>
          </w:tcPr>
          <w:p w:rsidR="009318EE" w:rsidRPr="009318EE" w:rsidRDefault="009318EE" w:rsidP="009318EE">
            <w:pPr>
              <w:pStyle w:val="KeinLeerraum"/>
              <w:rPr>
                <w:rFonts w:ascii="Arial" w:hAnsi="Arial" w:cs="Arial"/>
                <w:sz w:val="20"/>
                <w:szCs w:val="20"/>
              </w:rPr>
            </w:pPr>
          </w:p>
        </w:tc>
        <w:tc>
          <w:tcPr>
            <w:tcW w:w="5806" w:type="dxa"/>
          </w:tcPr>
          <w:p w:rsidR="009318EE" w:rsidRPr="009318EE" w:rsidRDefault="009318EE" w:rsidP="009318EE">
            <w:pPr>
              <w:pStyle w:val="KeinLeerraum"/>
              <w:rPr>
                <w:rFonts w:ascii="Arial" w:hAnsi="Arial" w:cs="Arial"/>
                <w:sz w:val="20"/>
                <w:szCs w:val="20"/>
              </w:rPr>
            </w:pPr>
            <w:r w:rsidRPr="009318EE">
              <w:rPr>
                <w:rFonts w:ascii="Arial" w:hAnsi="Arial" w:cs="Arial"/>
                <w:sz w:val="20"/>
                <w:szCs w:val="20"/>
              </w:rPr>
              <w:t xml:space="preserve">In der Regel führen solche Dosierungen anfangs zu Benommenheit und Artikulationsschwierigkeiten, dann zumeist nach wenigen Minuten zu </w:t>
            </w:r>
            <w:proofErr w:type="spellStart"/>
            <w:r w:rsidRPr="009318EE">
              <w:rPr>
                <w:rFonts w:ascii="Arial" w:hAnsi="Arial" w:cs="Arial"/>
                <w:sz w:val="20"/>
                <w:szCs w:val="20"/>
              </w:rPr>
              <w:t>Bewußtlosigkeit</w:t>
            </w:r>
            <w:proofErr w:type="spellEnd"/>
            <w:r w:rsidRPr="009318EE">
              <w:rPr>
                <w:rFonts w:ascii="Arial" w:hAnsi="Arial" w:cs="Arial"/>
                <w:sz w:val="20"/>
                <w:szCs w:val="20"/>
              </w:rPr>
              <w:t>. Im Allgemeinen wachen die Konsumenten solcher Dosierungen nach mehreren Stunden Schlaf ohne bleibende Schäden wieder auf und fühlen sich zumeist gut ausgeschlafen.</w:t>
            </w:r>
          </w:p>
        </w:tc>
      </w:tr>
      <w:tr w:rsidR="009318EE" w:rsidRPr="009318EE" w:rsidTr="009318EE">
        <w:trPr>
          <w:trHeight w:val="70"/>
        </w:trPr>
        <w:tc>
          <w:tcPr>
            <w:tcW w:w="3020" w:type="dxa"/>
          </w:tcPr>
          <w:p w:rsidR="009318EE" w:rsidRPr="009318EE" w:rsidRDefault="009318EE" w:rsidP="009318EE">
            <w:pPr>
              <w:pStyle w:val="KeinLeerraum"/>
              <w:rPr>
                <w:rFonts w:ascii="Arial" w:hAnsi="Arial" w:cs="Arial"/>
                <w:sz w:val="20"/>
                <w:szCs w:val="20"/>
              </w:rPr>
            </w:pPr>
            <w:r w:rsidRPr="009318EE">
              <w:rPr>
                <w:rFonts w:ascii="Arial" w:hAnsi="Arial" w:cs="Arial"/>
                <w:sz w:val="20"/>
                <w:szCs w:val="20"/>
              </w:rPr>
              <w:t>4,0 bis 6,0 Gramm</w:t>
            </w:r>
            <w:r w:rsidRPr="009318EE">
              <w:rPr>
                <w:rFonts w:ascii="Arial" w:hAnsi="Arial" w:cs="Arial"/>
                <w:sz w:val="20"/>
                <w:szCs w:val="20"/>
              </w:rPr>
              <w:br/>
              <w:t>(ca. 57 bis 86 mg/Kg)</w:t>
            </w:r>
          </w:p>
        </w:tc>
        <w:tc>
          <w:tcPr>
            <w:tcW w:w="236" w:type="dxa"/>
          </w:tcPr>
          <w:p w:rsidR="009318EE" w:rsidRPr="009318EE" w:rsidRDefault="009318EE" w:rsidP="009318EE">
            <w:pPr>
              <w:pStyle w:val="KeinLeerraum"/>
              <w:rPr>
                <w:rFonts w:ascii="Arial" w:hAnsi="Arial" w:cs="Arial"/>
                <w:sz w:val="20"/>
                <w:szCs w:val="20"/>
              </w:rPr>
            </w:pPr>
          </w:p>
        </w:tc>
        <w:tc>
          <w:tcPr>
            <w:tcW w:w="5806" w:type="dxa"/>
          </w:tcPr>
          <w:p w:rsidR="009318EE" w:rsidRPr="009318EE" w:rsidRDefault="009318EE" w:rsidP="009318EE">
            <w:pPr>
              <w:pStyle w:val="KeinLeerraum"/>
              <w:rPr>
                <w:rFonts w:ascii="Arial" w:hAnsi="Arial" w:cs="Arial"/>
                <w:sz w:val="20"/>
                <w:szCs w:val="20"/>
              </w:rPr>
            </w:pPr>
            <w:r w:rsidRPr="009318EE">
              <w:rPr>
                <w:rFonts w:ascii="Arial" w:hAnsi="Arial" w:cs="Arial"/>
                <w:sz w:val="20"/>
                <w:szCs w:val="20"/>
              </w:rPr>
              <w:t xml:space="preserve">Narkotische Dosis, die in der Regel innerhalb weniger Minuten zu </w:t>
            </w:r>
            <w:proofErr w:type="spellStart"/>
            <w:r w:rsidRPr="009318EE">
              <w:rPr>
                <w:rFonts w:ascii="Arial" w:hAnsi="Arial" w:cs="Arial"/>
                <w:sz w:val="20"/>
                <w:szCs w:val="20"/>
              </w:rPr>
              <w:t>Bewußtlosigkeit</w:t>
            </w:r>
            <w:proofErr w:type="spellEnd"/>
            <w:r w:rsidRPr="009318EE">
              <w:rPr>
                <w:rFonts w:ascii="Arial" w:hAnsi="Arial" w:cs="Arial"/>
                <w:sz w:val="20"/>
                <w:szCs w:val="20"/>
              </w:rPr>
              <w:t xml:space="preserve"> respektive Koma führt. Das Koma verläuft in den weitaus meisten Fällen reversibel und ohne bleibende Schäden. Die Phase des Abtauchens in die </w:t>
            </w:r>
            <w:proofErr w:type="spellStart"/>
            <w:r w:rsidRPr="009318EE">
              <w:rPr>
                <w:rFonts w:ascii="Arial" w:hAnsi="Arial" w:cs="Arial"/>
                <w:sz w:val="20"/>
                <w:szCs w:val="20"/>
              </w:rPr>
              <w:t>Bewußtlosigkeit</w:t>
            </w:r>
            <w:proofErr w:type="spellEnd"/>
            <w:r w:rsidRPr="009318EE">
              <w:rPr>
                <w:rFonts w:ascii="Arial" w:hAnsi="Arial" w:cs="Arial"/>
                <w:sz w:val="20"/>
                <w:szCs w:val="20"/>
              </w:rPr>
              <w:t xml:space="preserve"> wie auch die Phase des Erwachens nach mehreren Stunden verlaufen sehr rasch. Nach dem Aufwachen aus dem Koma sind GHB-Konsumenten oft innerhalb von wenigen Sekunden wieder völlig orientiert, reagieren absolut adäquat und weisen kaum Residuen (Krankheitsfolgen) und keinen "</w:t>
            </w:r>
            <w:proofErr w:type="spellStart"/>
            <w:r w:rsidRPr="009318EE">
              <w:rPr>
                <w:rFonts w:ascii="Arial" w:hAnsi="Arial" w:cs="Arial"/>
                <w:sz w:val="20"/>
                <w:szCs w:val="20"/>
              </w:rPr>
              <w:t>hangover</w:t>
            </w:r>
            <w:proofErr w:type="spellEnd"/>
            <w:r w:rsidRPr="009318EE">
              <w:rPr>
                <w:rFonts w:ascii="Arial" w:hAnsi="Arial" w:cs="Arial"/>
                <w:sz w:val="20"/>
                <w:szCs w:val="20"/>
              </w:rPr>
              <w:t>" auf.</w:t>
            </w:r>
          </w:p>
        </w:tc>
      </w:tr>
    </w:tbl>
    <w:p w:rsidR="009318EE" w:rsidRPr="009318EE" w:rsidRDefault="009318EE">
      <w:pPr>
        <w:rPr>
          <w:rFonts w:ascii="Arial" w:hAnsi="Arial" w:cs="Arial"/>
          <w:sz w:val="20"/>
          <w:szCs w:val="20"/>
        </w:rPr>
      </w:pPr>
    </w:p>
    <w:sectPr w:rsidR="009318EE" w:rsidRPr="009318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147"/>
    <w:rsid w:val="003D32E3"/>
    <w:rsid w:val="00456147"/>
    <w:rsid w:val="00884734"/>
    <w:rsid w:val="009318EE"/>
    <w:rsid w:val="00F22CD1"/>
    <w:rsid w:val="00F655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B8ED"/>
  <w15:chartTrackingRefBased/>
  <w15:docId w15:val="{AF23A9B2-3763-4BFB-BC42-C46E7B88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56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318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29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2166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Charité Universitaetsmedizin Berlin</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Weilnhammer, Veith Andreas</dc:creator>
  <cp:keywords/>
  <dc:description/>
  <cp:lastModifiedBy>Weilnhammer, Veith Andreas</cp:lastModifiedBy>
  <cp:revision>2</cp:revision>
  <dcterms:created xsi:type="dcterms:W3CDTF">2018-06-05T07:12:00Z</dcterms:created>
  <dcterms:modified xsi:type="dcterms:W3CDTF">2018-06-05T07:31:00Z</dcterms:modified>
</cp:coreProperties>
</file>