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3.png" ContentType="image/png"/>
  <Override PartName="/word/media/rId67.png" ContentType="image/png"/>
  <Override PartName="/word/media/rId80.png" ContentType="image/png"/>
  <Override PartName="/word/media/rId84.png" ContentType="image/png"/>
  <Override PartName="/word/media/rId88.png" ContentType="image/png"/>
  <Override PartName="/word/media/rId92.png" ContentType="image/png"/>
  <Override PartName="/word/media/rId128.png" ContentType="image/png"/>
  <Override PartName="/word/media/rId116.png" ContentType="image/png"/>
  <Override PartName="/word/media/rId120.png" ContentType="image/png"/>
  <Override PartName="/word/media/rId124.png" ContentType="image/png"/>
  <Override PartName="/word/media/rId132.png" ContentType="image/png"/>
  <Override PartName="/word/media/rId173.png" ContentType="image/png"/>
  <Override PartName="/word/media/rId96.png" ContentType="image/png"/>
  <Override PartName="/word/media/rId100.png" ContentType="image/png"/>
  <Override PartName="/word/media/rId104.png" ContentType="image/png"/>
  <Override PartName="/word/media/rId108.png" ContentType="image/png"/>
  <Override PartName="/word/media/rId112.png" ContentType="image/png"/>
  <Override PartName="/word/media/rId1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page"/>
    <w:p>
      <w:pPr>
        <w:pStyle w:val="Heading1"/>
      </w:pPr>
      <w:r>
        <w:t xml:space="preserve">Title Page</w:t>
      </w:r>
    </w:p>
    <w:p>
      <w:pPr>
        <w:pStyle w:val="FirstParagraph"/>
      </w:pPr>
      <w:r>
        <w:rPr>
          <w:bCs/>
          <w:b/>
        </w:rPr>
        <w:t xml:space="preserve">Bimodal Inference in Mice and Men</w:t>
      </w:r>
      <w:r>
        <w:br/>
      </w:r>
      <w:r>
        <w:br/>
      </w:r>
    </w:p>
    <w:p>
      <w:pPr>
        <w:pStyle w:val="BodyText"/>
      </w:pPr>
      <w:r>
        <w:t xml:space="preserve"> </w:t>
      </w:r>
      <w:r>
        <w:rPr>
          <w:bCs/>
          <w:b/>
        </w:rPr>
        <w:t xml:space="preserve">Authors</w:t>
      </w:r>
      <w:r>
        <w:t xml:space="preserve">:</w:t>
      </w:r>
    </w:p>
    <w:p>
      <w:pPr>
        <w:pStyle w:val="BodyText"/>
      </w:pPr>
      <w:r>
        <w:t xml:space="preserve">Veith Weilnhammer</w:t>
      </w:r>
      <m:oMath>
        <m:sSup>
          <m:e>
            <m:r>
              <m:t>​</m:t>
            </m:r>
          </m:e>
          <m:sup>
            <m:r>
              <m:t>1</m:t>
            </m:r>
            <m:r>
              <m:rPr>
                <m:sty m:val="p"/>
              </m:rPr>
              <m:t>,</m:t>
            </m:r>
            <m:r>
              <m:t>2</m:t>
            </m:r>
          </m:sup>
        </m:sSup>
      </m:oMath>
      <w:r>
        <w:t xml:space="preserve">, Heiner Stuke</w:t>
      </w:r>
      <m:oMath>
        <m:sSup>
          <m:e>
            <m:r>
              <m:t>​</m:t>
            </m:r>
          </m:e>
          <m:sup>
            <m:r>
              <m:t>1</m:t>
            </m:r>
            <m:r>
              <m:rPr>
                <m:sty m:val="p"/>
              </m:rPr>
              <m:t>,</m:t>
            </m:r>
            <m:r>
              <m:t>2</m:t>
            </m:r>
          </m:sup>
        </m:sSup>
      </m:oMath>
      <w:r>
        <w:t xml:space="preserve">, Kai Standvoss</w:t>
      </w:r>
      <m:oMath>
        <m:sSup>
          <m:e>
            <m:r>
              <m:t>​</m:t>
            </m:r>
          </m:e>
          <m:sup>
            <m:r>
              <m:t>1</m:t>
            </m:r>
            <m:r>
              <m:rPr>
                <m:sty m:val="p"/>
              </m:rPr>
              <m:t>,</m:t>
            </m:r>
            <m:r>
              <m:t>3</m:t>
            </m:r>
            <m:r>
              <m:rPr>
                <m:sty m:val="p"/>
              </m:rPr>
              <m:t>,</m:t>
            </m:r>
            <m:r>
              <m:t>5</m:t>
            </m:r>
          </m:sup>
        </m:sSup>
      </m:oMath>
      <w:r>
        <w:t xml:space="preserve">, Philipp Sterzer</w:t>
      </w:r>
      <m:oMath>
        <m:sSup>
          <m:e>
            <m:r>
              <m:t>​</m:t>
            </m:r>
          </m:e>
          <m:sup>
            <m:r>
              <m:t>1</m:t>
            </m:r>
            <m:r>
              <m:rPr>
                <m:sty m:val="p"/>
              </m:rPr>
              <m:t>,</m:t>
            </m:r>
            <m:r>
              <m:t>3</m:t>
            </m:r>
            <m:r>
              <m:rPr>
                <m:sty m:val="p"/>
              </m:rPr>
              <m:t>,</m:t>
            </m:r>
            <m:r>
              <m:t>4</m:t>
            </m:r>
            <m:r>
              <m:rPr>
                <m:sty m:val="p"/>
              </m:rPr>
              <m:t>,</m:t>
            </m:r>
            <m:r>
              <m:t>5</m:t>
            </m:r>
          </m:sup>
        </m:sSup>
      </m:oMath>
      <w:r>
        <w:br/>
      </w:r>
      <w:r>
        <w:br/>
      </w:r>
      <w:r>
        <w:t xml:space="preserve"> </w:t>
      </w:r>
      <w:r>
        <w:rPr>
          <w:bCs/>
          <w:b/>
        </w:rPr>
        <w:t xml:space="preserve">Affiliations</w:t>
      </w:r>
      <w:r>
        <w:t xml:space="preserve">:</w:t>
      </w:r>
    </w:p>
    <w:p>
      <w:pPr>
        <w:pStyle w:val="BodyText"/>
      </w:pPr>
      <m:oMath>
        <m:sSup>
          <m:e>
            <m:r>
              <m:t>​</m:t>
            </m:r>
          </m:e>
          <m:sup>
            <m:r>
              <m:t>1</m:t>
            </m:r>
          </m:sup>
        </m:sSup>
      </m:oMath>
      <w:r>
        <w:t xml:space="preserve"> </w:t>
      </w:r>
      <w:r>
        <w:t xml:space="preserve">Department of Psychiatry, Charité-Universitätsmedizin Berlin, corporate member of Freie Universität Berlin and Humboldt-Universität zu Berlin, 10117 Berlin, Germany</w:t>
      </w:r>
      <w:r>
        <w:br/>
      </w:r>
      <m:oMath>
        <m:sSup>
          <m:e>
            <m:r>
              <m:t>​</m:t>
            </m:r>
          </m:e>
          <m:sup>
            <m:r>
              <m:t>2</m:t>
            </m:r>
          </m:sup>
        </m:sSup>
      </m:oMath>
      <w:r>
        <w:t xml:space="preserve"> </w:t>
      </w:r>
      <w:r>
        <w:t xml:space="preserve">Berlin Institute of Health, Charité-Universitätsmedizin Berlin and Max Delbrück Center, 10178 Berlin, Germany</w:t>
      </w:r>
      <w:r>
        <w:br/>
      </w:r>
      <m:oMath>
        <m:sSup>
          <m:e>
            <m:r>
              <m:t>​</m:t>
            </m:r>
          </m:e>
          <m:sup>
            <m:r>
              <m:t>3</m:t>
            </m:r>
          </m:sup>
        </m:sSup>
      </m:oMath>
      <w:r>
        <w:t xml:space="preserve"> </w:t>
      </w:r>
      <w:r>
        <w:t xml:space="preserve">Bernstein Center for Computational Neuroscience, Charité-Universitätsmedizin Berlin, 10117 Berlin, Germany</w:t>
      </w:r>
      <w:r>
        <w:br/>
      </w:r>
      <m:oMath>
        <m:sSup>
          <m:e>
            <m:r>
              <m:t>​</m:t>
            </m:r>
          </m:e>
          <m:sup>
            <m:r>
              <m:t>4</m:t>
            </m:r>
          </m:sup>
        </m:sSup>
      </m:oMath>
      <w:r>
        <w:t xml:space="preserve"> </w:t>
      </w:r>
      <w:r>
        <w:t xml:space="preserve">Berlin School of Mind and Brain, Humboldt-Universität zu Berlin, 10099 Berlin, Germany</w:t>
      </w:r>
      <w:r>
        <w:br/>
      </w:r>
      <m:oMath>
        <m:sSup>
          <m:e>
            <m:r>
              <m:t>​</m:t>
            </m:r>
          </m:e>
          <m:sup>
            <m:r>
              <m:t>5</m:t>
            </m:r>
          </m:sup>
        </m:sSup>
      </m:oMath>
      <w:r>
        <w:t xml:space="preserve"> </w:t>
      </w:r>
      <w:r>
        <w:t xml:space="preserve">Einstein Center for Neurosciences Berlin, 10117 Berlin, Germany</w:t>
      </w:r>
      <w:r>
        <w:br/>
      </w:r>
      <w:r>
        <w:br/>
      </w:r>
    </w:p>
    <w:p>
      <w:pPr>
        <w:pStyle w:val="BodyText"/>
      </w:pPr>
      <w:r>
        <w:rPr>
          <w:bCs/>
          <w:b/>
        </w:rPr>
        <w:t xml:space="preserve">Corresponding Author</w:t>
      </w:r>
      <w:r>
        <w:t xml:space="preserve">:</w:t>
      </w:r>
    </w:p>
    <w:p>
      <w:pPr>
        <w:pStyle w:val="BodyText"/>
      </w:pPr>
      <w:r>
        <w:t xml:space="preserve">Veith Weilnhammer, Department of Psychiatry, Charité Campus Mitte, Charitéplatz 1, 10117 Berlin, phone: 0049 (0)30 450 517 317, email:</w:t>
      </w:r>
      <w:r>
        <w:t xml:space="preserve"> </w:t>
      </w:r>
      <w:hyperlink r:id="rId20">
        <w:r>
          <w:rPr>
            <w:rStyle w:val="Hyperlink"/>
          </w:rPr>
          <w:t xml:space="preserve">veith.weilnhammer@gmail.com</w:t>
        </w:r>
      </w:hyperlink>
      <w:r>
        <w:br/>
      </w:r>
    </w:p>
    <w:p>
      <w:r>
        <w:br w:type="page"/>
      </w:r>
    </w:p>
    <w:bookmarkEnd w:id="21"/>
    <w:bookmarkStart w:id="22" w:name="abstract"/>
    <w:p>
      <w:pPr>
        <w:pStyle w:val="Heading1"/>
      </w:pPr>
      <w:r>
        <w:t xml:space="preserve">Abstract</w:t>
      </w:r>
    </w:p>
    <w:p>
      <w:pPr>
        <w:pStyle w:val="FirstParagraph"/>
      </w:pPr>
      <w:r>
        <w:t xml:space="preserve">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w:t>
      </w:r>
      <w:r>
        <w:t xml:space="preserve"> </w:t>
      </w:r>
      <w:r>
        <w:rPr>
          <w:bCs/>
          <w:b/>
        </w:rPr>
        <w:t xml:space="preserve">We propose that between-mode fluctuations generate unambiguous error signals that enable optimal inference in volatile environments.</w:t>
      </w:r>
    </w:p>
    <w:bookmarkEnd w:id="22"/>
    <w:bookmarkStart w:id="23" w:name="one-sentence-summary"/>
    <w:p>
      <w:pPr>
        <w:pStyle w:val="Heading1"/>
      </w:pPr>
      <w:r>
        <w:t xml:space="preserve">One sentence summary</w:t>
      </w:r>
    </w:p>
    <w:p>
      <w:pPr>
        <w:pStyle w:val="FirstParagraph"/>
      </w:pPr>
      <w:r>
        <w:t xml:space="preserve">Humans and mice fluctuate between external and internal modes of sensory processing.</w:t>
      </w:r>
    </w:p>
    <w:p>
      <w:pPr>
        <w:pStyle w:val="BodyText"/>
      </w:pPr>
      <w:r>
        <w:br/>
      </w:r>
    </w:p>
    <w:p>
      <w:r>
        <w:br w:type="page"/>
      </w:r>
    </w:p>
    <w:bookmarkEnd w:id="23"/>
    <w:bookmarkStart w:id="24" w:name="introduction"/>
    <w:p>
      <w:pPr>
        <w:pStyle w:val="Heading1"/>
      </w:pPr>
      <w:r>
        <w:t xml:space="preserve">Introduction</w:t>
      </w:r>
    </w:p>
    <w:p>
      <w:pPr>
        <w:pStyle w:val="FirstParagraph"/>
      </w:pPr>
      <w:r>
        <w:t xml:space="preserve">The capacity to respond to changes in the environment is a defining feature of life</w:t>
      </w:r>
      <w:r>
        <w:rPr>
          <w:vertAlign w:val="superscript"/>
        </w:rPr>
        <w:t xml:space="preserve">1–3</w:t>
      </w:r>
      <w:r>
        <w:t xml:space="preserve">. Intriguingly, the ability of living things to process their surroundings fluctuates considerably over time</w:t>
      </w:r>
      <w:r>
        <w:rPr>
          <w:vertAlign w:val="superscript"/>
        </w:rPr>
        <w:t xml:space="preserve">4,5</w:t>
      </w:r>
      <w:r>
        <w:t xml:space="preserve">. In humans and mice, perception</w:t>
      </w:r>
      <w:r>
        <w:rPr>
          <w:vertAlign w:val="superscript"/>
        </w:rPr>
        <w:t xml:space="preserve">6–12</w:t>
      </w:r>
      <w:r>
        <w:t xml:space="preserve">, cognition</w:t>
      </w:r>
      <w:r>
        <w:rPr>
          <w:vertAlign w:val="superscript"/>
        </w:rPr>
        <w:t xml:space="preserve">13</w:t>
      </w:r>
      <w:r>
        <w:t xml:space="preserve"> </w:t>
      </w:r>
      <w:r>
        <w:t xml:space="preserve">and memory</w:t>
      </w:r>
      <w:r>
        <w:rPr>
          <w:vertAlign w:val="superscript"/>
        </w:rPr>
        <w:t xml:space="preserve">14</w:t>
      </w:r>
      <w:r>
        <w:t xml:space="preserve"> </w:t>
      </w:r>
      <w:r>
        <w:t xml:space="preserve">cycle through prolonged periods of enhanced and reduced sensitivity to external information, suggesting that the brain detaches from the world in recurring intervals that last from milliseconds to seconds and even minutes</w:t>
      </w:r>
      <w:r>
        <w:rPr>
          <w:vertAlign w:val="superscript"/>
        </w:rPr>
        <w:t xml:space="preserve">4</w:t>
      </w:r>
      <w:r>
        <w:t xml:space="preserve">. Yet breaking from external information is risky, as swift responses to the environment are often crucial to survival.</w:t>
      </w:r>
    </w:p>
    <w:p>
      <w:pPr>
        <w:pStyle w:val="BodyText"/>
      </w:pPr>
      <w:r>
        <w:t xml:space="preserve">What could be the reason for these fluctuations in perceptual performance</w:t>
      </w:r>
      <w:r>
        <w:rPr>
          <w:vertAlign w:val="superscript"/>
        </w:rPr>
        <w:t xml:space="preserve">11</w:t>
      </w:r>
      <w:r>
        <w:t xml:space="preserve">? First, periodic fluctuations in the ability to parse external information</w:t>
      </w:r>
      <w:r>
        <w:rPr>
          <w:vertAlign w:val="superscript"/>
        </w:rPr>
        <w:t xml:space="preserve">11,15,16</w:t>
      </w:r>
      <w:r>
        <w:t xml:space="preserve"> </w:t>
      </w:r>
      <w:r>
        <w:t xml:space="preserve">may arise simply due to bandwidth limitations and noise. Second, it may be advantageous to actively reduce the costs of neural processing by seeking sensory information only in recurring intervals</w:t>
      </w:r>
      <w:r>
        <w:rPr>
          <w:vertAlign w:val="superscript"/>
        </w:rPr>
        <w:t xml:space="preserve">17</w:t>
      </w:r>
      <w:r>
        <w:t xml:space="preserve">, otherwise relying on random or stereotypical responses to the external world. Third, spending time away from the ongoing stream of sensory inputs may also reflect a functional strategy that facilitates flexible behavior and learning</w:t>
      </w:r>
      <w:r>
        <w:rPr>
          <w:vertAlign w:val="superscript"/>
        </w:rPr>
        <w:t xml:space="preserve">18</w:t>
      </w:r>
      <w:r>
        <w:t xml:space="preserve">: Intermittently relying more strongly on information acquired from past experiences may enable agents to build up stable internal predictions about the environment despite an ongoing stream of external sensory signals</w:t>
      </w:r>
      <w:r>
        <w:rPr>
          <w:vertAlign w:val="superscript"/>
        </w:rPr>
        <w:t xml:space="preserve">19</w:t>
      </w:r>
      <w:r>
        <w:t xml:space="preserve">. By the same token, recurring intervals of enhanced sensitivity to external information may help to detect changes in both the state of the environment and the amount of noise that is inherent in sensory encoding</w:t>
      </w:r>
      <w:r>
        <w:rPr>
          <w:vertAlign w:val="superscript"/>
        </w:rPr>
        <w:t xml:space="preserve">19</w:t>
      </w:r>
      <w:r>
        <w:t xml:space="preserve">.</w:t>
      </w:r>
    </w:p>
    <w:p>
      <w:pPr>
        <w:pStyle w:val="BodyText"/>
      </w:pPr>
      <w:r>
        <w:t xml:space="preserve">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 xml:space="preserve">20</w:t>
      </w:r>
      <w:r>
        <w:t xml:space="preserve"> </w:t>
      </w:r>
      <w:r>
        <w:t xml:space="preserve">and mice</w:t>
      </w:r>
      <w:r>
        <w:rPr>
          <w:vertAlign w:val="superscript"/>
        </w:rPr>
        <w:t xml:space="preserve">21</w:t>
      </w:r>
      <w:r>
        <w:t xml:space="preserve">.</w:t>
      </w:r>
      <w:r>
        <w:t xml:space="preserve"> </w:t>
      </w:r>
      <w:r>
        <w:rPr>
          <w:bCs/>
          <w:b/>
        </w:rPr>
        <w:t xml:space="preserve">When less sensitive to external stimulus information, humans and mice did not behave more randomly, but showed stronger serial dependencies in their perceptual choices</w:t>
      </w:r>
      <w:r>
        <w:rPr>
          <w:vertAlign w:val="superscript"/>
          <w:bCs/>
          <w:b/>
        </w:rPr>
        <w:t xml:space="preserve">22–33</w:t>
      </w:r>
      <w:r>
        <w:rPr>
          <w:bCs/>
          <w:b/>
        </w:rPr>
        <w:t xml:space="preserve">.</w:t>
      </w:r>
      <w:r>
        <w:t xml:space="preserve"> </w:t>
      </w:r>
      <w:r>
        <w:t xml:space="preserve">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w:t>
      </w:r>
      <w:r>
        <w:t xml:space="preserve"> </w:t>
      </w:r>
      <w:r>
        <w:rPr>
          <w:iCs/>
          <w:i/>
        </w:rPr>
        <w:t xml:space="preserve">modes</w:t>
      </w:r>
      <w:r>
        <w:t xml:space="preserve"> </w:t>
      </w:r>
      <w:r>
        <w:t xml:space="preserve">of sensory analysis.</w:t>
      </w:r>
      <w:r>
        <w:t xml:space="preserve"> </w:t>
      </w:r>
      <w:r>
        <w:rPr>
          <w:bCs/>
          <w:b/>
        </w:rPr>
        <w:t xml:space="preserve">We suggest that such</w:t>
      </w:r>
      <w:r>
        <w:rPr>
          <w:bCs/>
          <w:b/>
        </w:rPr>
        <w:t xml:space="preserve"> </w:t>
      </w:r>
      <w:r>
        <w:rPr>
          <w:iCs/>
          <w:i/>
          <w:bCs/>
          <w:b/>
        </w:rPr>
        <w:t xml:space="preserve">bimodal inference</w:t>
      </w:r>
      <w:r>
        <w:rPr>
          <w:bCs/>
          <w:b/>
        </w:rPr>
        <w:t xml:space="preserve"> </w:t>
      </w:r>
      <w:r>
        <w:rPr>
          <w:bCs/>
          <w:b/>
        </w:rPr>
        <w:t xml:space="preserve">may help to build stable internal representations of the sensory environment despite an ongoing stream of sensory information.</w:t>
      </w:r>
    </w:p>
    <w:bookmarkEnd w:id="24"/>
    <w:bookmarkStart w:id="31" w:name="results"/>
    <w:p>
      <w:pPr>
        <w:pStyle w:val="Heading1"/>
      </w:pPr>
      <w:r>
        <w:t xml:space="preserve">Results</w:t>
      </w:r>
    </w:p>
    <w:bookmarkStart w:id="25" w:name="X9edb4ffaf6a2cb51f04f23aa2591463198b674d"/>
    <w:p>
      <w:pPr>
        <w:pStyle w:val="Heading2"/>
      </w:pPr>
      <w:r>
        <w:t xml:space="preserve">Human perception fluctuates between epochs of enhanced and reduced sensitivity to external information</w:t>
      </w:r>
    </w:p>
    <w:p>
      <w:pPr>
        <w:pStyle w:val="FirstParagraph"/>
      </w:pPr>
      <w:r>
        <w:t xml:space="preserve">We began by selecting 66 studies from the Confidence Database</w:t>
      </w:r>
      <w:r>
        <w:rPr>
          <w:vertAlign w:val="superscript"/>
        </w:rPr>
        <w:t xml:space="preserve">20</w:t>
      </w:r>
      <w:r>
        <w:t xml:space="preserve"> </w:t>
      </w:r>
      <w:r>
        <w:t xml:space="preserve">that investigated how human participants (N = 4317) perform binary perceptual decisions (Figure 1A; see Methods for details on inclusion criteria). As a metric for perceptual performance (i.e., the sensitivity to external sensory information), we asked whether the participant’s response and the presented stimulus matched (</w:t>
      </w:r>
      <w:r>
        <w:rPr>
          <w:iCs/>
          <w:i/>
        </w:rPr>
        <w:t xml:space="preserve">stimulus-congruent</w:t>
      </w:r>
      <w:r>
        <w:t xml:space="preserve"> </w:t>
      </w:r>
      <w:r>
        <w:t xml:space="preserve">choices) or differed from each other (</w:t>
      </w:r>
      <w:r>
        <w:rPr>
          <w:iCs/>
          <w:i/>
        </w:rPr>
        <w:t xml:space="preserve">stimulus-incongruent</w:t>
      </w:r>
      <w:r>
        <w:t xml:space="preserve"> </w:t>
      </w:r>
      <w:r>
        <w:t xml:space="preserve">choices; Figure 1B and C) in a total of</w:t>
      </w:r>
      <w:r>
        <w:t xml:space="preserve"> </w:t>
      </w:r>
      <m:oMath>
        <m:r>
          <m:t>21.05</m:t>
        </m:r>
      </m:oMath>
      <w:r>
        <w:t xml:space="preserve"> </w:t>
      </w:r>
      <w:r>
        <w:t xml:space="preserve">million trials.</w:t>
      </w:r>
    </w:p>
    <w:p>
      <w:pPr>
        <w:pStyle w:val="BodyText"/>
      </w:pPr>
      <w:r>
        <w:t xml:space="preserve">In a first step, we asked whether the ability to accurately perceive sensory stimuli is constant over time or, alternatively, fluctuates in periods of enhanced and reduced sensitivity to external information. We found perception to be stimulus-congruent in 73.46% ± 0.15% of trials (mean ± standard error of the mean; Figure 2A), which was highly consistent across the selected studies (Supplemental Figure S1A).</w:t>
      </w:r>
      <w:r>
        <w:t xml:space="preserve"> </w:t>
      </w:r>
      <w:r>
        <w:rPr>
          <w:bCs/>
          <w:b/>
        </w:rPr>
        <w:t xml:space="preserve">In line with previous work</w:t>
      </w:r>
      <w:r>
        <w:rPr>
          <w:vertAlign w:val="superscript"/>
          <w:bCs/>
          <w:b/>
        </w:rPr>
        <w:t xml:space="preserve">8</w:t>
      </w:r>
      <w:r>
        <w:rPr>
          <w:bCs/>
          <w:b/>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w:t>
      </w:r>
    </w:p>
    <w:p>
      <w:pPr>
        <w:pStyle w:val="BodyText"/>
      </w:pPr>
      <w:r>
        <w:t xml:space="preserve">At the level of individual participants, the autocorrelation of stimulus-congruence exceeded the respective autocorrelation of randomly permuted data within an interval of</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trials (Figure 2C). In other words, if a participant’s experience was congruent (or incongruent) with the external stimulus information at a given trial, her perception was more likely to remain stimulus-congruent (or -incongruent) for approximately 3 trials into the future.</w:t>
      </w:r>
      <w:r>
        <w:t xml:space="preserve"> </w:t>
      </w:r>
      <w:r>
        <w:rPr>
          <w:bCs/>
          <w:b/>
        </w:rPr>
        <w:t xml:space="preserve">The autocorrelation of stimulus-congruence was corroborated by logistic regression models that successfully predicted the stimulus-congruence of perception at the index trial</w:t>
      </w:r>
      <w:r>
        <w:rPr>
          <w:bCs/>
          <w:b/>
        </w:rPr>
        <w:t xml:space="preserve"> </w:t>
      </w:r>
      <m:oMath>
        <m:r>
          <m:t>t</m:t>
        </m:r>
        <m:r>
          <m:rPr>
            <m:sty m:val="p"/>
          </m:rPr>
          <m:t>=</m:t>
        </m:r>
        <m:r>
          <m:t>0</m:t>
        </m:r>
      </m:oMath>
      <w:r>
        <w:rPr>
          <w:bCs/>
          <w:b/>
        </w:rPr>
        <w:t xml:space="preserve"> </w:t>
      </w:r>
      <w:r>
        <w:rPr>
          <w:bCs/>
          <w:b/>
        </w:rPr>
        <w:t xml:space="preserve">from the stimulus-congruence at the preceding trials within a lag of 16 trials (Supplemental Figure S3).</w:t>
      </w:r>
    </w:p>
    <w:p>
      <w:pPr>
        <w:pStyle w:val="BodyText"/>
      </w:pPr>
      <w:r>
        <w:t xml:space="preserve">These results confirm that the ability to process sensory signals is not constant over time but unfolds in multi-trial epochs of enhanced and reduced sensitivity to external information</w:t>
      </w:r>
      <w:r>
        <w:rPr>
          <w:vertAlign w:val="superscript"/>
        </w:rPr>
        <w:t xml:space="preserve">8</w:t>
      </w:r>
      <w:r>
        <w:t xml:space="preserve">. As a consequence of this autocorrelation, the dynamic probability of stimulus-congruent perception (i.e., computed in sliding windows of ± 5 trials; Figure 1C) fluctuated considerably within participants (average minimum: 35.46% ± 0.22%, maximum: 98.27% ± 0.07%).</w:t>
      </w:r>
      <w:r>
        <w:t xml:space="preserve"> </w:t>
      </w:r>
      <w:r>
        <w:t xml:space="preserve">In line with previous findings</w:t>
      </w:r>
      <w:r>
        <w:rPr>
          <w:vertAlign w:val="superscript"/>
        </w:rPr>
        <w:t xml:space="preserve">9</w:t>
      </w:r>
      <w:r>
        <w:t xml:space="preserve">, such fluctuations in the sensitivity to external information had a power density that was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1.32</m:t>
        </m:r>
      </m:oMath>
      <w:r>
        <w:t xml:space="preserve"> </w:t>
      </w:r>
      <w:r>
        <w:t xml:space="preserve">±</w:t>
      </w:r>
      <w:r>
        <w:t xml:space="preserve"> </w:t>
      </w:r>
      <m:oMath>
        <m:r>
          <m:t>3.14</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419.48</m:t>
        </m:r>
      </m:oMath>
      <w:r>
        <w:t xml:space="preserve">, p =</w:t>
      </w:r>
      <w:r>
        <w:t xml:space="preserve"> </w:t>
      </w:r>
      <m:oMath>
        <m:r>
          <m:t>0</m:t>
        </m:r>
      </m:oMath>
      <w:r>
        <w:t xml:space="preserve">; Figure 2D). This feature, which is also known as a</w:t>
      </w:r>
      <w:r>
        <w:t xml:space="preserve"> </w:t>
      </w:r>
      <w:r>
        <w:rPr>
          <w:iCs/>
          <w:i/>
          <w:bCs/>
          <w:b/>
        </w:rPr>
        <w:t xml:space="preserve">1/f power law</w:t>
      </w:r>
      <w:r>
        <w:rPr>
          <w:vertAlign w:val="superscript"/>
        </w:rPr>
        <w:t xml:space="preserve">36,37</w:t>
      </w:r>
      <w:r>
        <w:t xml:space="preserve">, represents a characteristic of scale-free fluctuations in complex dynamic systems such as the brain</w:t>
      </w:r>
      <w:r>
        <w:rPr>
          <w:vertAlign w:val="superscript"/>
        </w:rPr>
        <w:t xml:space="preserve">38</w:t>
      </w:r>
      <w:r>
        <w:t xml:space="preserve"> </w:t>
      </w:r>
      <w:r>
        <w:t xml:space="preserve">and the cognitive processes it entertains</w:t>
      </w:r>
      <w:r>
        <w:rPr>
          <w:vertAlign w:val="superscript"/>
        </w:rPr>
        <w:t xml:space="preserve">9,10,13,39,40</w:t>
      </w:r>
      <w:r>
        <w:t xml:space="preserve">.</w:t>
      </w:r>
    </w:p>
    <w:bookmarkEnd w:id="25"/>
    <w:bookmarkStart w:id="26" w:name="Xcd76dbe3cc91c4d48b7f2e9b3db4232aae7a89d"/>
    <w:p>
      <w:pPr>
        <w:pStyle w:val="Heading2"/>
      </w:pPr>
      <w:r>
        <w:t xml:space="preserve">Humans fluctuate between external and internal modes of sensory processing</w:t>
      </w:r>
    </w:p>
    <w:p>
      <w:pPr>
        <w:pStyle w:val="FirstParagraph"/>
      </w:pPr>
      <w:r>
        <w:t xml:space="preserve">In a second step, we sought to explain why perception cycles through periods of enhanced and reduced sensitivity to external information</w:t>
      </w:r>
      <w:r>
        <w:rPr>
          <w:vertAlign w:val="superscript"/>
        </w:rPr>
        <w:t xml:space="preserve">4</w:t>
      </w:r>
      <w:r>
        <w:t xml:space="preserve">. We reasoned that observers may intermittently rely more strongly on internal information, i.e., on predictions about the environment that are constructed from previous experiences</w:t>
      </w:r>
      <w:r>
        <w:rPr>
          <w:vertAlign w:val="superscript"/>
        </w:rPr>
        <w:t xml:space="preserve">19,31</w:t>
      </w:r>
      <w:r>
        <w:t xml:space="preserve">.</w:t>
      </w:r>
    </w:p>
    <w:p>
      <w:pPr>
        <w:pStyle w:val="BodyText"/>
      </w:pPr>
      <w:r>
        <w:t xml:space="preserve">In perception,</w:t>
      </w:r>
      <w:r>
        <w:t xml:space="preserve"> </w:t>
      </w:r>
      <w:r>
        <w:rPr>
          <w:iCs/>
          <w:i/>
        </w:rPr>
        <w:t xml:space="preserve">serial dependencies</w:t>
      </w:r>
      <w:r>
        <w:t xml:space="preserve"> </w:t>
      </w:r>
      <w:r>
        <w:t xml:space="preserve">represent one of the most basic internal predictions that cause perceptual decisions to be systematically biased toward preceding choices</w:t>
      </w:r>
      <w:r>
        <w:rPr>
          <w:vertAlign w:val="superscript"/>
        </w:rPr>
        <w:t xml:space="preserve">22–33</w:t>
      </w:r>
      <w:r>
        <w:t xml:space="preserve">. Such effects of perceptual history mirror the continuity of the external world, in which the recent past often predicts the near future</w:t>
      </w:r>
      <w:r>
        <w:rPr>
          <w:vertAlign w:val="superscript"/>
        </w:rPr>
        <w:t xml:space="preserve">30,31,34,35,41</w:t>
      </w:r>
      <w:r>
        <w:t xml:space="preserve">. Therefore, as a metric for the perceptual impact of internal information, we computed whether the participant’s response at a given trial matched or differed from her response at the preceding trial (</w:t>
      </w:r>
      <w:r>
        <w:rPr>
          <w:iCs/>
          <w:i/>
        </w:rPr>
        <w:t xml:space="preserve">history-congruent</w:t>
      </w:r>
      <w:r>
        <w:t xml:space="preserve"> </w:t>
      </w:r>
      <w:r>
        <w:t xml:space="preserve">and</w:t>
      </w:r>
      <w:r>
        <w:t xml:space="preserve"> </w:t>
      </w:r>
      <w:r>
        <w:rPr>
          <w:iCs/>
          <w:i/>
        </w:rPr>
        <w:t xml:space="preserve">history-incongruent perception</w:t>
      </w:r>
      <w:r>
        <w:t xml:space="preserve">, respectively; Figure 1B and C).</w:t>
      </w:r>
    </w:p>
    <w:p>
      <w:pPr>
        <w:pStyle w:val="BodyText"/>
      </w:pPr>
      <w:r>
        <w:t xml:space="preserve">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m:oMath>
        <m:r>
          <m:t>β</m:t>
        </m:r>
      </m:oMath>
      <w:r>
        <w:t xml:space="preserve"> </w:t>
      </w:r>
      <w:r>
        <w:t xml:space="preserve">=</w:t>
      </w:r>
      <w:r>
        <w:t xml:space="preserve"> </w:t>
      </w:r>
      <m:oMath>
        <m:r>
          <m:t>16.18</m:t>
        </m:r>
      </m:oMath>
      <w:r>
        <w:t xml:space="preserve"> </w:t>
      </w:r>
      <w:r>
        <w:t xml:space="preserve">±</w:t>
      </w:r>
      <w:r>
        <w:t xml:space="preserve"> </w:t>
      </w:r>
      <m:oMath>
        <m:r>
          <m:t>1.07</m:t>
        </m:r>
      </m:oMath>
      <w:r>
        <w:t xml:space="preserve">, T(</w:t>
      </w:r>
      <m:oMath>
        <m:r>
          <m:t>1.09</m:t>
        </m:r>
        <m:r>
          <m:rPr>
            <m:sty m:val="p"/>
          </m:rPr>
          <m:t>×</m:t>
        </m:r>
        <m:sSup>
          <m:e>
            <m:r>
              <m:t>10</m:t>
            </m:r>
          </m:e>
          <m:sup>
            <m:r>
              <m:t>3</m:t>
            </m:r>
          </m:sup>
        </m:sSup>
      </m:oMath>
      <w:r>
        <w:t xml:space="preserve">) =</w:t>
      </w:r>
      <w:r>
        <w:t xml:space="preserve"> </w:t>
      </w:r>
      <m:oMath>
        <m:r>
          <m:t>15.07</m:t>
        </m:r>
      </m:oMath>
      <w:r>
        <w:t xml:space="preserve">, p =</w:t>
      </w:r>
      <w:r>
        <w:t xml:space="preserve"> </w:t>
      </w:r>
      <m:oMath>
        <m:sSup>
          <m:e>
            <m:r>
              <m:t>10</m:t>
            </m:r>
          </m:e>
          <m:sup>
            <m:r>
              <m:rPr>
                <m:sty m:val="p"/>
              </m:rPr>
              <m:t>−</m:t>
            </m:r>
            <m:r>
              <m:t>46</m:t>
            </m:r>
          </m:sup>
        </m:sSup>
      </m:oMath>
      <w:r>
        <w:t xml:space="preserve">; Figure 2A) that was largely consistent across studies (Supplemental Figure 1B) and more pronounced in participants who were less sensitive to external sensory information (Supplemental Figure 1C).</w:t>
      </w:r>
      <w:r>
        <w:t xml:space="preserve"> </w:t>
      </w:r>
      <w:r>
        <w:t xml:space="preserve">Importantly, history-congruence was not a corollary of the sequence of presented stimuli: History-congruent perceptual choices were more frequent at trials when perception was stimulus-incongruent (56.03% ± 0.2%) as opposed to stimulus-congruent (51.77% ± 0.11%,</w:t>
      </w:r>
      <w:r>
        <w:t xml:space="preserve"> </w:t>
      </w:r>
      <m:oMath>
        <m:r>
          <m:t>β</m:t>
        </m:r>
      </m:oMath>
      <w:r>
        <w:t xml:space="preserve"> </w:t>
      </w:r>
      <w:r>
        <w:t xml:space="preserve">=</w:t>
      </w:r>
      <w:r>
        <w:t xml:space="preserve"> </w:t>
      </w:r>
      <m:oMath>
        <m:r>
          <m:rPr>
            <m:sty m:val="p"/>
          </m:rPr>
          <m:t>−</m:t>
        </m:r>
        <m:r>
          <m:t>4.26</m:t>
        </m:r>
      </m:oMath>
      <w:r>
        <w:t xml:space="preserve"> </w:t>
      </w:r>
      <w:r>
        <w:t xml:space="preserve">±</w:t>
      </w:r>
      <w:r>
        <w:t xml:space="preserve"> </w:t>
      </w:r>
      <m:oMath>
        <m:r>
          <m:t>0.21</m:t>
        </m:r>
      </m:oMath>
      <w:r>
        <w:t xml:space="preserve">, T(</w:t>
      </w:r>
      <m:oMath>
        <m:r>
          <m:t>8.57</m:t>
        </m:r>
        <m:r>
          <m:rPr>
            <m:sty m:val="p"/>
          </m:rPr>
          <m:t>×</m:t>
        </m:r>
        <m:sSup>
          <m:e>
            <m:r>
              <m:t>10</m:t>
            </m:r>
          </m:e>
          <m:sup>
            <m:r>
              <m:t>3</m:t>
            </m:r>
          </m:sup>
        </m:sSup>
      </m:oMath>
      <w:r>
        <w:t xml:space="preserve">) =</w:t>
      </w:r>
      <w:r>
        <w:t xml:space="preserve"> </w:t>
      </w:r>
      <m:oMath>
        <m:r>
          <m:rPr>
            <m:sty m:val="p"/>
          </m:rPr>
          <m:t>−</m:t>
        </m:r>
        <m:r>
          <m:t>20.36</m:t>
        </m:r>
      </m:oMath>
      <w:r>
        <w:t xml:space="preserve">, p =</w:t>
      </w:r>
      <w:r>
        <w:t xml:space="preserve"> </w:t>
      </w:r>
      <m:oMath>
        <m:r>
          <m:t>5.28</m:t>
        </m:r>
        <m:r>
          <m:rPr>
            <m:sty m:val="p"/>
          </m:rPr>
          <m:t>×</m:t>
        </m:r>
        <m:sSup>
          <m:e>
            <m:r>
              <m:t>10</m:t>
            </m:r>
          </m:e>
          <m:sup>
            <m:r>
              <m:rPr>
                <m:sty m:val="p"/>
              </m:rPr>
              <m:t>−</m:t>
            </m:r>
            <m:r>
              <m:t>90</m:t>
            </m:r>
          </m:sup>
        </m:sSup>
      </m:oMath>
      <w:r>
        <w:t xml:space="preserve">; Figure 2A, lower panel). Despite being adaptive in autocorrelated real-world environments</w:t>
      </w:r>
      <w:r>
        <w:rPr>
          <w:vertAlign w:val="superscript"/>
        </w:rPr>
        <w:t xml:space="preserve">19,34,35,42</w:t>
      </w:r>
      <w:r>
        <w:t xml:space="preserve">, perceptual history thus represented a</w:t>
      </w:r>
      <w:r>
        <w:t xml:space="preserve"> </w:t>
      </w:r>
      <w:r>
        <w:rPr>
          <w:bCs/>
          <w:b/>
        </w:rPr>
        <w:t xml:space="preserve">source of bias</w:t>
      </w:r>
      <w:r>
        <w:t xml:space="preserve"> </w:t>
      </w:r>
      <w:r>
        <w:t xml:space="preserve">in the randomized experimental designs studied here</w:t>
      </w:r>
      <w:r>
        <w:rPr>
          <w:vertAlign w:val="superscript"/>
        </w:rPr>
        <w:t xml:space="preserve">24,28,30,31,43</w:t>
      </w:r>
      <w:r>
        <w:t xml:space="preserve">.</w:t>
      </w:r>
      <w:r>
        <w:t xml:space="preserve"> </w:t>
      </w:r>
      <w:r>
        <w:rPr>
          <w:bCs/>
          <w:b/>
        </w:rPr>
        <w:t xml:space="preserve">These serial biases were effects of choice history, i.e., driven by the experiences reported at the preceding trial, and could not be attributed to stimulus history, i.e., to effects of the stimuli presented at the preceding trial (Supplemental Section 9.1).</w:t>
      </w:r>
    </w:p>
    <w:p>
      <w:pPr>
        <w:pStyle w:val="BodyText"/>
      </w:pPr>
      <w:r>
        <w:t xml:space="preserve">Second, we asked whether perception cycles through multi-trial epochs during which perception is characterized by stronger or weaker biases toward preceding experiences.</w:t>
      </w:r>
      <w:r>
        <w:t xml:space="preserve"> </w:t>
      </w:r>
      <w:r>
        <w:rPr>
          <w:bCs/>
          <w:b/>
        </w:rPr>
        <w:t xml:space="preserve">In close analogy to stimulus-congruence, we found history-congruence to be significantly autocorrelated for up to 21 trials (Figure 2B), while controlling for task difficulty and the sequence of presented stimuli (Supplemental Figure 2A-B).</w:t>
      </w:r>
      <w:r>
        <w:t xml:space="preserve"> </w:t>
      </w:r>
      <w:r>
        <w:t xml:space="preserve">In individual participants, the autocorrelation of history-congruence was elevated above randomly permuted data for a lag of</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trials (Figure 2C), confirming that the autocorrelation of history-congruence was not only a group-level phenomenon. The autocorrelation of history-congruence was corroborated by logistic regression models that successfully predicted the history-congruence of perception at an index trial</w:t>
      </w:r>
      <w:r>
        <w:t xml:space="preserve"> </w:t>
      </w:r>
      <m:oMath>
        <m:r>
          <m:t>t</m:t>
        </m:r>
        <m:r>
          <m:rPr>
            <m:sty m:val="p"/>
          </m:rPr>
          <m:t>=</m:t>
        </m:r>
        <m:r>
          <m:t>0</m:t>
        </m:r>
      </m:oMath>
      <w:r>
        <w:t xml:space="preserve"> </w:t>
      </w:r>
      <w:r>
        <w:t xml:space="preserve">from the history-congruence at the preceding trials within a lag of 17 trials (Supplemental Figure S3).</w:t>
      </w:r>
    </w:p>
    <w:p>
      <w:pPr>
        <w:pStyle w:val="BodyText"/>
      </w:pPr>
      <w:r>
        <w:t xml:space="preserve">Third, we asked whether the impact of internal information fluctuates as</w:t>
      </w:r>
      <w:r>
        <w:t xml:space="preserve"> </w:t>
      </w:r>
      <w:r>
        <w:rPr>
          <w:bCs/>
          <w:b/>
        </w:rPr>
        <w:t xml:space="preserve">a scale-invariant process with a 1/f power law (i.e., the feature typically associated with fluctuations in the sensitivity to external information</w:t>
      </w:r>
      <w:r>
        <w:rPr>
          <w:vertAlign w:val="superscript"/>
        </w:rPr>
        <w:t xml:space="preserve">9,10,13,39,40</w:t>
      </w:r>
      <w:r>
        <w:t xml:space="preserve">). The dynamic probability of history-congruent perception (i.e., computed in sliding windows of ± 5 trials; Figure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1.34</m:t>
        </m:r>
      </m:oMath>
      <w:r>
        <w:t xml:space="preserve"> </w:t>
      </w:r>
      <w:r>
        <w:t xml:space="preserve">±</w:t>
      </w:r>
      <w:r>
        <w:t xml:space="preserve"> </w:t>
      </w:r>
      <m:oMath>
        <m:r>
          <m:t>3.16</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423.91</m:t>
        </m:r>
      </m:oMath>
      <w:r>
        <w:t xml:space="preserve">, p =</w:t>
      </w:r>
      <w:r>
        <w:t xml:space="preserve"> </w:t>
      </w:r>
      <m:oMath>
        <m:r>
          <m:t>0</m:t>
        </m:r>
      </m:oMath>
      <w:r>
        <w:t xml:space="preserve">; Figure 2D).</w:t>
      </w:r>
    </w:p>
    <w:p>
      <w:pPr>
        <w:pStyle w:val="BodyText"/>
      </w:pPr>
      <w: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rPr>
          <w:bCs/>
          <w:b/>
        </w:rPr>
        <w:t xml:space="preserve">controlling for fluctuations in general response biases</w:t>
      </w:r>
      <w:r>
        <w:t xml:space="preserve">; Supplemental Section 9.2).</w:t>
      </w:r>
      <w:r>
        <w:t xml:space="preserve"> </w:t>
      </w:r>
      <w:r>
        <w:t xml:space="preserve">Thus, while sharing the</w:t>
      </w:r>
      <w:r>
        <w:t xml:space="preserve"> </w:t>
      </w:r>
      <w:r>
        <w:rPr>
          <w:bCs/>
          <w:b/>
        </w:rPr>
        <w:t xml:space="preserve">1/f power law</w:t>
      </w:r>
      <w:r>
        <w:t xml:space="preserve"> </w:t>
      </w:r>
      <w:r>
        <w:t xml:space="preserve">characteristic, fluctuations in stimulus- and history-congruence were shifted against each other by approximately half a cycle and showed a squared coherence of</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 (Figure 2E and F; we report the average phase and coherence for frequencies below 0.1</w:t>
      </w:r>
      <w:r>
        <w:t xml:space="preserve"> </w:t>
      </w:r>
      <m:oMath>
        <m:r>
          <m:t>1</m:t>
        </m:r>
        <m:r>
          <m:rPr>
            <m:sty m:val="p"/>
          </m:rPr>
          <m:t>/</m:t>
        </m:r>
        <m:sSub>
          <m:e>
            <m:r>
              <m:t>N</m:t>
            </m:r>
          </m:e>
          <m:sub>
            <m:r>
              <m:t>t</m:t>
            </m:r>
            <m:r>
              <m:t>r</m:t>
            </m:r>
            <m:r>
              <m:t>i</m:t>
            </m:r>
            <m:r>
              <m:t>a</m:t>
            </m:r>
            <m:r>
              <m:t>l</m:t>
            </m:r>
            <m:r>
              <m:t>s</m:t>
            </m:r>
          </m:sub>
        </m:sSub>
      </m:oMath>
      <w:r>
        <w:t xml:space="preserve">; see Methods for details).</w:t>
      </w:r>
    </w:p>
    <w:p>
      <w:pPr>
        <w:pStyle w:val="BodyText"/>
      </w:pPr>
      <w:r>
        <w:t xml:space="preserve">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pPr>
        <w:pStyle w:val="BodyText"/>
      </w:pPr>
      <w:r>
        <w:t xml:space="preserve">These links between stimulus- and history-congruence suggest that the fluctuations in the impact of external and internal information may be generated by a unifying mechanism that causes perception to alternate between two opposing</w:t>
      </w:r>
      <w:r>
        <w:t xml:space="preserve"> </w:t>
      </w:r>
      <w:r>
        <w:rPr>
          <w:iCs/>
          <w:i/>
        </w:rPr>
        <w:t xml:space="preserve">modes</w:t>
      </w:r>
      <w:r>
        <w:rPr>
          <w:vertAlign w:val="superscript"/>
        </w:rPr>
        <w:t xml:space="preserve">18</w:t>
      </w:r>
      <w:r>
        <w:t xml:space="preserve"> </w:t>
      </w:r>
      <w:r>
        <w:t xml:space="preserve">(Figure 1D): During</w:t>
      </w:r>
      <w:r>
        <w:t xml:space="preserve"> </w:t>
      </w:r>
      <w:r>
        <w:rPr>
          <w:iCs/>
          <w:i/>
        </w:rPr>
        <w:t xml:space="preserve">external mode</w:t>
      </w:r>
      <w:r>
        <w:t xml:space="preserve">, perception is more strongly driven by the available external stimulus information. Conversely, during</w:t>
      </w:r>
      <w:r>
        <w:t xml:space="preserve"> </w:t>
      </w:r>
      <w:r>
        <w:rPr>
          <w:iCs/>
          <w:i/>
        </w:rPr>
        <w:t xml:space="preserve">internal mode</w:t>
      </w:r>
      <w:r>
        <w:t xml:space="preserve">, participants rely more heavily on internal predictions that are implicitly provided by preceding perceptual experiences. The fluctuations in the degree of bias toward external versus internal information created by such</w:t>
      </w:r>
      <w:r>
        <w:t xml:space="preserve"> </w:t>
      </w:r>
      <w:r>
        <w:rPr>
          <w:iCs/>
          <w:i/>
        </w:rPr>
        <w:t xml:space="preserve">bimodal inference</w:t>
      </w:r>
      <w:r>
        <w:t xml:space="preserve"> </w:t>
      </w:r>
      <w:r>
        <w:t xml:space="preserve">may thus provide a novel explanation for ongoing fluctuations in the sensitivity to external information</w:t>
      </w:r>
      <w:r>
        <w:rPr>
          <w:vertAlign w:val="superscript"/>
        </w:rPr>
        <w:t xml:space="preserve">4,5,18</w:t>
      </w:r>
      <w:r>
        <w:t xml:space="preserve">.</w:t>
      </w:r>
    </w:p>
    <w:bookmarkEnd w:id="26"/>
    <w:bookmarkStart w:id="27" w:name="X3d3c2678a60951f53655d750e3327be2e8042c5"/>
    <w:p>
      <w:pPr>
        <w:pStyle w:val="Heading2"/>
      </w:pPr>
      <w:r>
        <w:t xml:space="preserve">Internal and external modes of processing facilitate response behavior and enhance confidence in human perceptual decision-making</w:t>
      </w:r>
    </w:p>
    <w:p>
      <w:pPr>
        <w:pStyle w:val="FirstParagraph"/>
      </w:pPr>
      <w:r>
        <w:rPr>
          <w:bCs/>
          <w:b/>
        </w:rPr>
        <w:t xml:space="preserve">The above results point to systematic fluctuations in the</w:t>
      </w:r>
      <w:r>
        <w:rPr>
          <w:bCs/>
          <w:b/>
        </w:rPr>
        <w:t xml:space="preserve"> </w:t>
      </w:r>
      <w:r>
        <w:rPr>
          <w:iCs/>
          <w:i/>
          <w:bCs/>
          <w:b/>
        </w:rPr>
        <w:t xml:space="preserve">decision variable</w:t>
      </w:r>
      <w:r>
        <w:rPr>
          <w:vertAlign w:val="superscript"/>
          <w:bCs/>
          <w:b/>
        </w:rPr>
        <w:t xml:space="preserve">44</w:t>
      </w:r>
      <w:r>
        <w:rPr>
          <w:bCs/>
          <w:b/>
        </w:rPr>
        <w:t xml:space="preserve"> </w:t>
      </w:r>
      <w:r>
        <w:rPr>
          <w:bCs/>
          <w:b/>
        </w:rP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bCs/>
          <w:b/>
        </w:rPr>
        <w:t xml:space="preserve">44</w:t>
      </w:r>
      <w:r>
        <w:rPr>
          <w:bCs/>
          <w:b/>
        </w:rPr>
        <w:t xml:space="preserve">. To test this hypothesis with respect to motor behavior and metacognition, we asked how bimodal inference relates to response times (RTs) and confidence reports.</w:t>
      </w:r>
    </w:p>
    <w:p>
      <w:pPr>
        <w:pStyle w:val="BodyText"/>
      </w:pPr>
      <w:r>
        <w:t xml:space="preserve">With respect to RTs, we observed faster responses for stimulus-congruent as opposed to stimulus-incongruent choices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 Figure 2G). Intriguingly, whilst controlling for the effect of stimulus-congruence, we found that history-congruent (as opposed to history-incongruent) choices were also characterized by faster responses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 Figure 2G).</w:t>
      </w:r>
    </w:p>
    <w:p>
      <w:pPr>
        <w:pStyle w:val="BodyText"/>
      </w:pPr>
      <w:r>
        <w:t xml:space="preserve">**When analyzing the speed of response against the mode of sensory processing (Figure 2H), we found that RTs were shorter during externally-oriented perception (</w:t>
      </w:r>
      <m:oMath>
        <m:sSub>
          <m:e>
            <m:r>
              <m:t>β</m:t>
            </m:r>
          </m:e>
          <m:sub>
            <m:r>
              <m:t>1</m:t>
            </m:r>
          </m:sub>
        </m:sSub>
      </m:oMath>
      <w:r>
        <w:t xml:space="preserve"> </w:t>
      </w:r>
      <w:r>
        <w:t xml:space="preserve">=</w:t>
      </w:r>
      <w:r>
        <w:t xml:space="preserve"> </w:t>
      </w:r>
      <m:oMath>
        <m:r>
          <m:rPr>
            <m:sty m:val="p"/>
          </m:rPr>
          <m:t>−</m:t>
        </m:r>
        <m:r>
          <m:t>11.07</m:t>
        </m:r>
      </m:oMath>
      <w:r>
        <w:t xml:space="preserve"> </w:t>
      </w:r>
      <w:r>
        <w:t xml:space="preserve">±</w:t>
      </w:r>
      <w:r>
        <w:t xml:space="preserve"> </w:t>
      </w:r>
      <m:oMath>
        <m:r>
          <m:t>0.55</m:t>
        </m:r>
      </m:oMath>
      <w:r>
        <w:t xml:space="preserve">, T(</w:t>
      </w:r>
      <m:oMath>
        <m:r>
          <m:t>1.98</m:t>
        </m:r>
        <m:r>
          <m:rPr>
            <m:sty m:val="p"/>
          </m:rPr>
          <m:t>×</m:t>
        </m:r>
        <m:sSup>
          <m:e>
            <m:r>
              <m:t>10</m:t>
            </m:r>
          </m:e>
          <m:sup>
            <m:r>
              <m:t>6</m:t>
            </m:r>
          </m:sup>
        </m:sSup>
      </m:oMath>
      <w:r>
        <w:t xml:space="preserve">) =</w:t>
      </w:r>
      <w:r>
        <w:t xml:space="preserve"> </w:t>
      </w:r>
      <m:oMath>
        <m:r>
          <m:rPr>
            <m:sty m:val="p"/>
          </m:rPr>
          <m:t>−</m:t>
        </m:r>
        <m:r>
          <m:t>20.14</m:t>
        </m:r>
      </m:oMath>
      <w:r>
        <w:t xml:space="preserve">, p =</w:t>
      </w:r>
      <w:r>
        <w:t xml:space="preserve"> </w:t>
      </w:r>
      <m:oMath>
        <m:r>
          <m:t>3.17</m:t>
        </m:r>
        <m:r>
          <m:rPr>
            <m:sty m:val="p"/>
          </m:rPr>
          <m:t>×</m:t>
        </m:r>
        <m:sSup>
          <m:e>
            <m:r>
              <m:t>10</m:t>
            </m:r>
          </m:e>
          <m:sup>
            <m:r>
              <m:rPr>
                <m:sty m:val="p"/>
              </m:rPr>
              <m:t>−</m:t>
            </m:r>
            <m:r>
              <m:t>90</m:t>
            </m:r>
          </m:sup>
        </m:sSup>
      </m:oMath>
      <w:r>
        <w:t xml:space="preserve">). Crucially, as indicated by a quadratic relationship between the mode of sensory processing and RTs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participants became faster at indicating their perceptual decision when biases toward both internal and external mode grew stronger.</w:t>
      </w:r>
    </w:p>
    <w:p>
      <w:pPr>
        <w:pStyle w:val="BodyText"/>
      </w:pPr>
      <w:r>
        <w:t xml:space="preserve">In analogy to the speed of response, confidence was higher for stimulus-congruent as opposed to stimulus-incongruent choices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 Figure 2I). Yet whilst controlling for the effect of stimulus-congruence, we found that history-congruence also increased confidence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 Figure 2I).**</w:t>
      </w:r>
    </w:p>
    <w:p>
      <w:pPr>
        <w:pStyle w:val="BodyText"/>
      </w:pPr>
      <w:r>
        <w:t xml:space="preserve">When depicted against the mode of sensory processing (Figure 2J), subjective confidence was indeed enhanced when perception was more externally-oriented (</w:t>
      </w:r>
      <m:oMath>
        <m:sSub>
          <m:e>
            <m:r>
              <m:t>β</m:t>
            </m:r>
          </m:e>
          <m:sub>
            <m:r>
              <m:t>1</m:t>
            </m:r>
          </m:sub>
        </m:sSub>
      </m:oMath>
      <w:r>
        <w:t xml:space="preserve"> </w:t>
      </w:r>
      <w:r>
        <w:t xml:space="preserve">=</w:t>
      </w:r>
      <w:r>
        <w:t xml:space="preserve"> </w:t>
      </w:r>
      <m:oMath>
        <m:r>
          <m:t>92.63</m:t>
        </m:r>
      </m:oMath>
      <w:r>
        <w:t xml:space="preserve"> </w:t>
      </w:r>
      <w:r>
        <w:t xml:space="preserve">±</w:t>
      </w:r>
      <w:r>
        <w:t xml:space="preserve"> </w:t>
      </w:r>
      <m:oMath>
        <m:r>
          <m:t>1</m:t>
        </m:r>
      </m:oMath>
      <w:r>
        <w:t xml:space="preserve">, T(</w:t>
      </w:r>
      <m:oMath>
        <m:r>
          <m:t>2.06</m:t>
        </m:r>
        <m:r>
          <m:rPr>
            <m:sty m:val="p"/>
          </m:rPr>
          <m:t>×</m:t>
        </m:r>
        <m:sSup>
          <m:e>
            <m:r>
              <m:t>10</m:t>
            </m:r>
          </m:e>
          <m:sup>
            <m:r>
              <m:t>6</m:t>
            </m:r>
          </m:sup>
        </m:sSup>
      </m:oMath>
      <w:r>
        <w:t xml:space="preserve">) =</w:t>
      </w:r>
      <w:r>
        <w:t xml:space="preserve"> </w:t>
      </w:r>
      <m:oMath>
        <m:r>
          <m:t>92.89</m:t>
        </m:r>
      </m:oMath>
      <w:r>
        <w:t xml:space="preserve">, p =</w:t>
      </w:r>
      <w:r>
        <w:t xml:space="preserve"> </w:t>
      </w:r>
      <m:oMath>
        <m:r>
          <m:t>0</m:t>
        </m:r>
      </m:oMath>
      <w:r>
        <w:t xml:space="preserve">). Importantly, however, participants were more confident in their perceptual decision for stronger biases toward both internal and external mode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In analogy to RTs, subjective confidence thus showed a quadratic relationship to the mode of sensory processing (Figure 2J).</w:t>
      </w:r>
    </w:p>
    <w:p>
      <w:pPr>
        <w:pStyle w:val="BodyText"/>
      </w:pPr>
      <w:r>
        <w:t xml:space="preserve">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(Supplemental Figure 1C) and increasing subjective confidence (Figure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 xml:space="preserve">45</w:t>
      </w:r>
      <w:r>
        <w:t xml:space="preserve"> </w:t>
      </w:r>
      <w:r>
        <w:t xml:space="preserve">(meta-d’/d’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m:oMath>
        <m:r>
          <m:t>β</m:t>
        </m:r>
      </m:oMath>
      <w:r>
        <w:t xml:space="preserve"> </w:t>
      </w:r>
      <w:r>
        <w:t xml:space="preserve">=</w:t>
      </w:r>
      <w:r>
        <w:t xml:space="preserve"> </w:t>
      </w:r>
      <m:oMath>
        <m:r>
          <m:rPr>
            <m:sty m:val="p"/>
          </m:rPr>
          <m:t>−</m:t>
        </m:r>
        <m:r>
          <m:t>2.98</m:t>
        </m:r>
        <m:r>
          <m:rPr>
            <m:sty m:val="p"/>
          </m:rPr>
          <m:t>×</m:t>
        </m:r>
        <m:sSup>
          <m:e>
            <m:r>
              <m:t>10</m:t>
            </m:r>
          </m:e>
          <m:sup>
            <m:r>
              <m:rPr>
                <m:sty m:val="p"/>
              </m:rPr>
              <m:t>−</m:t>
            </m:r>
            <m:r>
              <m:t>3</m:t>
            </m:r>
          </m:sup>
        </m:sSup>
      </m:oMath>
      <w:r>
        <w:t xml:space="preserve"> </w:t>
      </w:r>
      <w:r>
        <w:t xml:space="preserve">±</w:t>
      </w:r>
      <w:r>
        <w:t xml:space="preserve"> </w:t>
      </w:r>
      <m:oMath>
        <m:r>
          <m:t>9.82</m:t>
        </m:r>
        <m:r>
          <m:rPr>
            <m:sty m:val="p"/>
          </m:rPr>
          <m:t>×</m:t>
        </m:r>
        <m:sSup>
          <m:e>
            <m:r>
              <m:t>10</m:t>
            </m:r>
          </m:e>
          <m:sup>
            <m:r>
              <m:rPr>
                <m:sty m:val="p"/>
              </m:rPr>
              <m:t>−</m:t>
            </m:r>
            <m:r>
              <m:t>4</m:t>
            </m:r>
          </m:sup>
        </m:sSup>
      </m:oMath>
      <w:r>
        <w:t xml:space="preserve">, T(</w:t>
      </w:r>
      <m:oMath>
        <m:r>
          <m:t>4.14</m:t>
        </m:r>
        <m:r>
          <m:rPr>
            <m:sty m:val="p"/>
          </m:rPr>
          <m:t>×</m:t>
        </m:r>
        <m:sSup>
          <m:e>
            <m:r>
              <m:t>10</m:t>
            </m:r>
          </m:e>
          <m:sup>
            <m:r>
              <m:t>3</m:t>
            </m:r>
          </m:sup>
        </m:sSup>
      </m:oMath>
      <w:r>
        <w:t xml:space="preserve">) =</w:t>
      </w:r>
      <w:r>
        <w:t xml:space="preserve"> </w:t>
      </w:r>
      <m:oMath>
        <m:r>
          <m:rPr>
            <m:sty m:val="p"/>
          </m:rPr>
          <m:t>−</m:t>
        </m:r>
        <m:r>
          <m:t>3.03</m:t>
        </m:r>
      </m:oMath>
      <w:r>
        <w:t xml:space="preserve">, p =</w:t>
      </w:r>
      <w:r>
        <w:t xml:space="preserve"> </w:t>
      </w:r>
      <m:oMath>
        <m:r>
          <m:t>2.43</m:t>
        </m:r>
        <m:r>
          <m:rPr>
            <m:sty m:val="p"/>
          </m:rPr>
          <m:t>×</m:t>
        </m:r>
        <m:sSup>
          <m:e>
            <m:r>
              <m:t>10</m:t>
            </m:r>
          </m:e>
          <m:sup>
            <m:r>
              <m:rPr>
                <m:sty m:val="p"/>
              </m:rPr>
              <m:t>−</m:t>
            </m:r>
            <m:r>
              <m:t>3</m:t>
            </m:r>
          </m:sup>
        </m:sSup>
      </m:oMath>
      <w:r>
        <w:t xml:space="preserve">).</w:t>
      </w:r>
    </w:p>
    <w:p>
      <w:pPr>
        <w:pStyle w:val="BodyText"/>
      </w:pPr>
      <w:r>
        <w:t xml:space="preserve">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pStyle w:val="BodyText"/>
      </w:pPr>
      <w:r>
        <w:rPr>
          <w:bCs/>
          <w:b/>
        </w:rP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bookmarkEnd w:id="27"/>
    <w:bookmarkStart w:id="28" w:name="X647e0e68046e23c96169807918c0ed3b026cbdb"/>
    <w:p>
      <w:pPr>
        <w:pStyle w:val="Heading2"/>
      </w:pPr>
      <w:r>
        <w:t xml:space="preserve">Fluctuations between internal and external mode cannot be reduced to general response biases or random choices</w:t>
      </w:r>
    </w:p>
    <w:p>
      <w:pPr>
        <w:pStyle w:val="FirstParagraph"/>
      </w:pPr>
      <w:r>
        <w:rPr>
          <w:bCs/>
          <w:b/>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w:t>
      </w:r>
    </w:p>
    <w:p>
      <w:pPr>
        <w:pStyle w:val="BodyText"/>
      </w:pPr>
      <w:r>
        <w:rPr>
          <w:bCs/>
          <w:b/>
        </w:rPr>
        <w:t xml:space="preserve">Logistic regression confirmed that perceptual history made a significant contribution to perception (</w:t>
      </w:r>
      <m:oMath>
        <m:r>
          <m:t>β</m:t>
        </m:r>
      </m:oMath>
      <w:r>
        <w:rPr>
          <w:bCs/>
          <w:b/>
        </w:rPr>
        <w:t xml:space="preserve"> </w:t>
      </w:r>
      <w:r>
        <w:rPr>
          <w:bCs/>
          <w:b/>
        </w:rPr>
        <w:t xml:space="preserve">=</w:t>
      </w:r>
      <w:r>
        <w:rPr>
          <w:bCs/>
          <w:b/>
        </w:rPr>
        <w:t xml:space="preserve"> </w:t>
      </w:r>
      <m:oMath>
        <m:r>
          <m:t>0.11</m:t>
        </m:r>
      </m:oMath>
      <w:r>
        <w:rPr>
          <w:bCs/>
          <w:b/>
        </w:rPr>
        <w:t xml:space="preserve"> </w:t>
      </w:r>
      <w:r>
        <w:rPr>
          <w:bCs/>
          <w:b/>
        </w:rPr>
        <w:t xml:space="preserve">±</w:t>
      </w:r>
      <w:r>
        <w:rPr>
          <w:bCs/>
          <w:b/>
        </w:rPr>
        <w:t xml:space="preserve"> </w:t>
      </w:r>
      <m:oMath>
        <m:r>
          <m:t>5.79</m:t>
        </m:r>
        <m:r>
          <m:rPr>
            <m:sty m:val="p"/>
          </m:rPr>
          <m:t>×</m:t>
        </m:r>
        <m:sSup>
          <m:e>
            <m:r>
              <m:t>10</m:t>
            </m:r>
          </m:e>
          <m:sup>
            <m:r>
              <m:rPr>
                <m:sty m:val="p"/>
              </m:rPr>
              <m:t>−</m:t>
            </m:r>
            <m:r>
              <m:t>3</m:t>
            </m:r>
          </m:sup>
        </m:sSup>
      </m:oMath>
      <w:r>
        <w:rPr>
          <w:bCs/>
          <w:b/>
        </w:rPr>
        <w:t xml:space="preserve">, z =</w:t>
      </w:r>
      <w:r>
        <w:rPr>
          <w:bCs/>
          <w:b/>
        </w:rPr>
        <w:t xml:space="preserve"> </w:t>
      </w:r>
      <m:oMath>
        <m:r>
          <m:t>18.53</m:t>
        </m:r>
      </m:oMath>
      <w:r>
        <w:rPr>
          <w:bCs/>
          <w:b/>
        </w:rPr>
        <w:t xml:space="preserve">, p =</w:t>
      </w:r>
      <w:r>
        <w:rPr>
          <w:bCs/>
          <w:b/>
        </w:rPr>
        <w:t xml:space="preserve"> </w:t>
      </w:r>
      <m:oMath>
        <m:r>
          <m:t>1.1</m:t>
        </m:r>
        <m:r>
          <m:rPr>
            <m:sty m:val="p"/>
          </m:rPr>
          <m:t>×</m:t>
        </m:r>
        <m:sSup>
          <m:e>
            <m:r>
              <m:t>10</m:t>
            </m:r>
          </m:e>
          <m:sup>
            <m:r>
              <m:rPr>
                <m:sty m:val="p"/>
              </m:rPr>
              <m:t>−</m:t>
            </m:r>
            <m:r>
              <m:t>76</m:t>
            </m:r>
          </m:sup>
        </m:sSup>
      </m:oMath>
      <w:r>
        <w:rPr>
          <w:bCs/>
          <w:b/>
        </w:rPr>
        <w:t xml:space="preserve">) over and above the ongoing stream of external sensory information (</w:t>
      </w:r>
      <m:oMath>
        <m:r>
          <m:t>β</m:t>
        </m:r>
      </m:oMath>
      <w:r>
        <w:rPr>
          <w:bCs/>
          <w:b/>
        </w:rPr>
        <w:t xml:space="preserve"> </w:t>
      </w:r>
      <w:r>
        <w:rPr>
          <w:bCs/>
          <w:b/>
        </w:rPr>
        <w:t xml:space="preserve">=</w:t>
      </w:r>
      <w:r>
        <w:rPr>
          <w:bCs/>
          <w:b/>
        </w:rPr>
        <w:t xml:space="preserve"> </w:t>
      </w:r>
      <m:oMath>
        <m:r>
          <m:t>2.2</m:t>
        </m:r>
      </m:oMath>
      <w:r>
        <w:rPr>
          <w:bCs/>
          <w:b/>
        </w:rPr>
        <w:t xml:space="preserve"> </w:t>
      </w:r>
      <w:r>
        <w:rPr>
          <w:bCs/>
          <w:b/>
        </w:rPr>
        <w:t xml:space="preserve">±</w:t>
      </w:r>
      <w:r>
        <w:rPr>
          <w:bCs/>
          <w:b/>
        </w:rPr>
        <w:t xml:space="preserve"> </w:t>
      </w:r>
      <m:oMath>
        <m:r>
          <m:t>5.87</m:t>
        </m:r>
        <m:r>
          <m:rPr>
            <m:sty m:val="p"/>
          </m:rPr>
          <m:t>×</m:t>
        </m:r>
        <m:sSup>
          <m:e>
            <m:r>
              <m:t>10</m:t>
            </m:r>
          </m:e>
          <m:sup>
            <m:r>
              <m:rPr>
                <m:sty m:val="p"/>
              </m:rPr>
              <m:t>−</m:t>
            </m:r>
            <m:r>
              <m:t>3</m:t>
            </m:r>
          </m:sup>
        </m:sSup>
      </m:oMath>
      <w:r>
        <w:rPr>
          <w:bCs/>
          <w:b/>
        </w:rPr>
        <w:t xml:space="preserve">, z =</w:t>
      </w:r>
      <w:r>
        <w:rPr>
          <w:bCs/>
          <w:b/>
        </w:rPr>
        <w:t xml:space="preserve"> </w:t>
      </w:r>
      <m:oMath>
        <m:r>
          <m:t>375.11</m:t>
        </m:r>
      </m:oMath>
      <w:r>
        <w:rPr>
          <w:bCs/>
          <w:b/>
        </w:rPr>
        <w:t xml:space="preserve">, p =</w:t>
      </w:r>
      <w:r>
        <w:rPr>
          <w:bCs/>
          <w:b/>
        </w:rPr>
        <w:t xml:space="preserve"> </w:t>
      </w:r>
      <m:oMath>
        <m:r>
          <m:t>0</m:t>
        </m:r>
      </m:oMath>
      <w:r>
        <w:rPr>
          <w:bCs/>
          <w:b/>
        </w:rPr>
        <w:t xml:space="preserve">) and general response biases toward (</w:t>
      </w:r>
      <m:oMath>
        <m:r>
          <m:t>β</m:t>
        </m:r>
      </m:oMath>
      <w:r>
        <w:rPr>
          <w:bCs/>
          <w:b/>
        </w:rPr>
        <w:t xml:space="preserve"> </w:t>
      </w:r>
      <w:r>
        <w:rPr>
          <w:bCs/>
          <w:b/>
        </w:rPr>
        <w:t xml:space="preserve">=</w:t>
      </w:r>
      <w:r>
        <w:rPr>
          <w:bCs/>
          <w:b/>
        </w:rPr>
        <w:t xml:space="preserve"> </w:t>
      </w:r>
      <m:oMath>
        <m:r>
          <m:t>15.19</m:t>
        </m:r>
      </m:oMath>
      <w:r>
        <w:rPr>
          <w:bCs/>
          <w:b/>
        </w:rPr>
        <w:t xml:space="preserve"> </w:t>
      </w:r>
      <w:r>
        <w:rPr>
          <w:bCs/>
          <w:b/>
        </w:rPr>
        <w:t xml:space="preserve">±</w:t>
      </w:r>
      <w:r>
        <w:rPr>
          <w:bCs/>
          <w:b/>
        </w:rPr>
        <w:t xml:space="preserve"> </w:t>
      </w:r>
      <m:oMath>
        <m:r>
          <m:t>0.08</m:t>
        </m:r>
      </m:oMath>
      <w:r>
        <w:rPr>
          <w:bCs/>
          <w:b/>
        </w:rPr>
        <w:t xml:space="preserve">, z =</w:t>
      </w:r>
      <w:r>
        <w:rPr>
          <w:bCs/>
          <w:b/>
        </w:rPr>
        <w:t xml:space="preserve"> </w:t>
      </w:r>
      <m:oMath>
        <m:r>
          <m:t>184.98</m:t>
        </m:r>
      </m:oMath>
      <w:r>
        <w:rPr>
          <w:bCs/>
          <w:b/>
        </w:rPr>
        <w:t xml:space="preserve">, p =</w:t>
      </w:r>
      <w:r>
        <w:rPr>
          <w:bCs/>
          <w:b/>
        </w:rPr>
        <w:t xml:space="preserve"> </w:t>
      </w:r>
      <m:oMath>
        <m:r>
          <m:t>0</m:t>
        </m:r>
      </m:oMath>
      <w:r>
        <w:rPr>
          <w:bCs/>
          <w:b/>
        </w:rPr>
        <w:t xml:space="preserve">).</w:t>
      </w:r>
    </w:p>
    <w:p>
      <w:pPr>
        <w:pStyle w:val="BodyText"/>
      </w:pPr>
      <w:r>
        <w:rPr>
          <w:bCs/>
          <w:b/>
        </w:rPr>
        <w:t xml:space="preserve">When eliminating perceptual history as a predictor of individual choices at individual trials, Akaike Information Criterion (AIC</w:t>
      </w:r>
      <w:r>
        <w:rPr>
          <w:vertAlign w:val="superscript"/>
          <w:bCs/>
          <w:b/>
        </w:rPr>
        <w:t xml:space="preserve">48</w:t>
      </w:r>
      <w:r>
        <w:rPr>
          <w:bCs/>
          <w:b/>
        </w:rPr>
        <w:t xml:space="preserve">)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1.64</m:t>
        </m:r>
        <m:r>
          <m:rPr>
            <m:sty m:val="p"/>
          </m:rPr>
          <m:t>×</m:t>
        </m:r>
        <m:sSup>
          <m:e>
            <m:r>
              <m:t>10</m:t>
            </m:r>
          </m:e>
          <m:sup>
            <m:r>
              <m:t>3</m:t>
            </m:r>
          </m:sup>
        </m:sSup>
      </m:oMath>
      <w:r>
        <w:rPr>
          <w:bCs/>
          <w:b/>
        </w:rPr>
        <w:t xml:space="preserve"> </w:t>
      </w:r>
      <w:r>
        <w:rPr>
          <w:bCs/>
          <w:b/>
        </w:rPr>
        <w:t xml:space="preserve">(see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7.06</m:t>
        </m:r>
        <m:r>
          <m:rPr>
            <m:sty m:val="p"/>
          </m:rPr>
          <m:t>×</m:t>
        </m:r>
        <m:sSup>
          <m:e>
            <m:r>
              <m:t>10</m:t>
            </m:r>
          </m:e>
          <m:sup>
            <m:r>
              <m:t>3</m:t>
            </m:r>
          </m:sup>
        </m:sSup>
      </m:oMath>
      <w:r>
        <w:rPr>
          <w:bCs/>
          <w:b/>
        </w:rPr>
        <w:t xml:space="preserve">. These results provided model-level evidence against the null hypotheses that fluctuations in stimulus-congruence are driven exclusively by choice randomness or general response bias (see Supplemental Section 9.2 and Supplemental Figure S5 for an in-depth assessment of general response bias).</w:t>
      </w:r>
    </w:p>
    <w:p>
      <w:pPr>
        <w:pStyle w:val="BodyText"/>
      </w:pPr>
      <w:r>
        <w:rPr>
          <w:bCs/>
          <w:b/>
        </w:rPr>
        <w:t xml:space="preserve">To confirm that changes in the sensitivity to external information are indicative of internal mode processing, we estimated full and history-dependent psychometric curves during internal, external, and across modes</w:t>
      </w:r>
      <w:r>
        <w:rPr>
          <w:vertAlign w:val="superscript"/>
          <w:bCs/>
          <w:b/>
        </w:rPr>
        <w:t xml:space="preserve">21</w:t>
      </w:r>
      <w:r>
        <w:rPr>
          <w:bCs/>
          <w:b/>
        </w:rPr>
        <w:t xml:space="preserve">.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confirmed that internal mode processing is indeed driven by an enhanced impact of perceptual history.</w:t>
      </w:r>
    </w:p>
    <w:p>
      <w:pPr>
        <w:pStyle w:val="BodyText"/>
      </w:pPr>
      <w:r>
        <w:rPr>
          <w:bCs/>
          <w:b/>
        </w:rPr>
        <w:t xml:space="preserve">In line with this, the quadratic relationship between mode and confidence (Figure 2J) suggested that biases toward internal information do not reflect a post-perceptual strategy of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stereotypically repeat preceding choices when not yet familiar with the experimental task (Supplemental Section 9.4.1).</w:t>
      </w:r>
    </w:p>
    <w:p>
      <w:pPr>
        <w:pStyle w:val="BodyText"/>
      </w:pPr>
      <w:r>
        <w:rPr>
          <w:bCs/>
          <w:b/>
        </w:rPr>
        <w:t xml:space="preserve">Taken together, our results thus argue against recurring intervals of low task engagement, which may be signaled by stereotypical or random responses, as an alternative explanation for the phenomenon that we identify as bimodal inference.</w:t>
      </w:r>
    </w:p>
    <w:bookmarkEnd w:id="28"/>
    <w:bookmarkStart w:id="29" w:name="X8818208dbe0ac0494a23c56661ede6ba82895a3"/>
    <w:p>
      <w:pPr>
        <w:pStyle w:val="Heading2"/>
      </w:pPr>
      <w:r>
        <w:t xml:space="preserve">Mice fluctuate between external and internal modes of sensory processing</w:t>
      </w:r>
    </w:p>
    <w:p>
      <w:pPr>
        <w:pStyle w:val="FirstParagraph"/>
      </w:pPr>
      <w:r>
        <w:t xml:space="preserve">In a prominent functional explanation for serial dependencies</w:t>
      </w:r>
      <w:r>
        <w:rPr>
          <w:vertAlign w:val="superscript"/>
        </w:rPr>
        <w:t xml:space="preserve">22–28,32,33,46</w:t>
      </w:r>
      <w:r>
        <w:t xml:space="preserve">, perceptual history is cast as an internal prediction that leverages the temporal autocorrelation of natural environments for efficient decision-making</w:t>
      </w:r>
      <w:r>
        <w:rPr>
          <w:vertAlign w:val="superscript"/>
        </w:rPr>
        <w:t xml:space="preserve">30,31,34,35,41</w:t>
      </w:r>
      <w:r>
        <w:t xml:space="preserve">. Since this autocorrelation is one of the most basic features of our sensory world, fluctuating biases toward preceding perceptual choices should not be a uniquely human phenomenon.</w:t>
      </w:r>
    </w:p>
    <w:p>
      <w:pPr>
        <w:pStyle w:val="BodyText"/>
      </w:pPr>
      <w:r>
        <w:t xml:space="preserve">To test whether externally- and internally-oriented modes of processing exist beyond the human mind, we analyzed data on perceptual decision-making in mice that were extracted from the International Brain Laboratory (IBL) dataset</w:t>
      </w:r>
      <w:r>
        <w:rPr>
          <w:vertAlign w:val="superscript"/>
        </w:rPr>
        <w:t xml:space="preserve">21</w:t>
      </w:r>
      <w:r>
        <w:t xml:space="preserve">. We restricted our analyses to the</w:t>
      </w:r>
      <w:r>
        <w:t xml:space="preserve"> </w:t>
      </w:r>
      <w:r>
        <w:rPr>
          <w:iCs/>
          <w:i/>
        </w:rPr>
        <w:t xml:space="preserve">basic</w:t>
      </w:r>
      <w:r>
        <w:t xml:space="preserve"> </w:t>
      </w:r>
      <w:r>
        <w:t xml:space="preserve">task</w:t>
      </w:r>
      <w:r>
        <w:rPr>
          <w:vertAlign w:val="superscript"/>
        </w:rPr>
        <w:t xml:space="preserve">21</w:t>
      </w:r>
      <w: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w:t>
      </w:r>
      <w:r>
        <w:t xml:space="preserve"> </w:t>
      </w:r>
      <m:oMath>
        <m:r>
          <m:t>1.46</m:t>
        </m:r>
      </m:oMath>
      <w:r>
        <w:t xml:space="preserve"> </w:t>
      </w:r>
      <w:r>
        <w:t xml:space="preserve">million trials.</w:t>
      </w:r>
    </w:p>
    <w:p>
      <w:pPr>
        <w:pStyle w:val="BodyText"/>
      </w:pPr>
      <w:r>
        <w:t xml:space="preserve">We found perception to be stimulus-congruent in 81.37% ± 0.3% of trials (Figure 3A, upper panel). In line with humans, mice were biased toward perceptual history in 54.03% ± 0.17% of trials (T(164) = 23.65, p =</w:t>
      </w:r>
      <w:r>
        <w:t xml:space="preserve"> </w:t>
      </w:r>
      <m:oMath>
        <m:r>
          <m:t>9.98</m:t>
        </m:r>
        <m:r>
          <m:rPr>
            <m:sty m:val="p"/>
          </m:rPr>
          <m:t>×</m:t>
        </m:r>
        <m:sSup>
          <m:e>
            <m:r>
              <m:t>10</m:t>
            </m:r>
          </m:e>
          <m:sup>
            <m:r>
              <m:rPr>
                <m:sty m:val="p"/>
              </m:rPr>
              <m:t>−</m:t>
            </m:r>
            <m:r>
              <m:t>55</m:t>
            </m:r>
          </m:sup>
        </m:sSup>
      </m:oMath>
      <w:r>
        <w:t xml:space="preserve">; Figure 3A and Supplemental Figure S1D).</w:t>
      </w:r>
      <w:r>
        <w:t xml:space="preserve"> </w:t>
      </w:r>
      <w:r>
        <w:t xml:space="preserve">Since the</w:t>
      </w:r>
      <w:r>
        <w:t xml:space="preserve"> </w:t>
      </w:r>
      <w:r>
        <w:rPr>
          <w:iCs/>
          <w:i/>
        </w:rPr>
        <w:t xml:space="preserve">basic</w:t>
      </w:r>
      <w:r>
        <w:t xml:space="preserve"> </w:t>
      </w:r>
      <w:r>
        <w:t xml:space="preserve">task of the IBL dataset presented stimuli at random in either the left or right hemifield</w:t>
      </w:r>
      <w:r>
        <w:rPr>
          <w:vertAlign w:val="superscript"/>
        </w:rPr>
        <w:t xml:space="preserve">21</w:t>
      </w:r>
      <w:r>
        <w:t xml:space="preserve">, we expected stronger biases toward perceptual history to decrease perceptual performance. Indeed, history-congruent choices were more frequent when perception was stimulus-incongruent (61.59% ± 0.07%) as opposed to stimulus-congruent (51.81% ± 0.02%, T(164) = 31.37, p =</w:t>
      </w:r>
      <w:r>
        <w:t xml:space="preserve"> </w:t>
      </w:r>
      <m:oMath>
        <m:r>
          <m:t>3.36</m:t>
        </m:r>
        <m:r>
          <m:rPr>
            <m:sty m:val="p"/>
          </m:rPr>
          <m:t>×</m:t>
        </m:r>
        <m:sSup>
          <m:e>
            <m:r>
              <m:t>10</m:t>
            </m:r>
          </m:e>
          <m:sup>
            <m:r>
              <m:rPr>
                <m:sty m:val="p"/>
              </m:rPr>
              <m:t>−</m:t>
            </m:r>
            <m:r>
              <m:t>71</m:t>
            </m:r>
          </m:sup>
        </m:sSup>
      </m:oMath>
      <w:r>
        <w:t xml:space="preserve">; T(164) = 31.37, p =</w:t>
      </w:r>
      <w:r>
        <w:t xml:space="preserve"> </w:t>
      </w:r>
      <m:oMath>
        <m:r>
          <m:t>3.36</m:t>
        </m:r>
        <m:r>
          <m:rPr>
            <m:sty m:val="p"/>
          </m:rPr>
          <m:t>×</m:t>
        </m:r>
        <m:sSup>
          <m:e>
            <m:r>
              <m:t>10</m:t>
            </m:r>
          </m:e>
          <m:sup>
            <m:r>
              <m:rPr>
                <m:sty m:val="p"/>
              </m:rPr>
              <m:t>−</m:t>
            </m:r>
            <m:r>
              <m:t>71</m:t>
            </m:r>
          </m:sup>
        </m:sSup>
      </m:oMath>
      <w:r>
        <w:t xml:space="preserve">; Figure 3A, lower panel), confirming that perceptual history was a</w:t>
      </w:r>
      <w:r>
        <w:t xml:space="preserve"> </w:t>
      </w:r>
      <w:r>
        <w:rPr>
          <w:bCs/>
          <w:b/>
        </w:rPr>
        <w:t xml:space="preserve">source of bias</w:t>
      </w:r>
      <w:r>
        <w:rPr>
          <w:vertAlign w:val="superscript"/>
        </w:rPr>
        <w:t xml:space="preserve">24,28,30,31,43</w:t>
      </w:r>
      <w:r>
        <w:t xml:space="preserve"> </w:t>
      </w:r>
      <w:r>
        <w:t xml:space="preserve">as opposed to a feature of the experimental paradigm.</w:t>
      </w:r>
    </w:p>
    <w:p>
      <w:pPr>
        <w:pStyle w:val="BodyText"/>
      </w:pPr>
      <w:r>
        <w:rPr>
          <w:bCs/>
          <w:b/>
        </w:rPr>
        <w:t xml:space="preserve">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r>
        <w:t xml:space="preserve"> </w:t>
      </w:r>
      <w:r>
        <w:t xml:space="preserve">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 xml:space="preserve">21</w:t>
      </w:r>
      <w:r>
        <w:t xml:space="preserve">.</w:t>
      </w:r>
    </w:p>
    <w:p>
      <w:pPr>
        <w:pStyle w:val="BodyText"/>
      </w:pPr>
      <w:r>
        <w:t xml:space="preserve">At the level of individual mice, autocorrelation coefficients were elevated above randomly permuted data within a lag of 4.59 ± 0.06 trials for stimulus-congruence and 2.58 ± 0.01 trials for history-congruence (Figure 3C).</w:t>
      </w:r>
      <w:r>
        <w:t xml:space="preserve"> </w:t>
      </w:r>
      <w:r>
        <w:rPr>
          <w:bCs/>
          <w:b/>
        </w:rPr>
        <w:t xml:space="preserve">We corroborated these autocorrelations in logistic regression models that successfully predicted the stimulus-/history-congruence of perception at the index trial</w:t>
      </w:r>
      <w:r>
        <w:rPr>
          <w:bCs/>
          <w:b/>
        </w:rPr>
        <w:t xml:space="preserve"> </w:t>
      </w:r>
      <m:oMath>
        <m:r>
          <m:t>t</m:t>
        </m:r>
        <m:r>
          <m:rPr>
            <m:sty m:val="p"/>
          </m:rPr>
          <m:t>=</m:t>
        </m:r>
        <m:r>
          <m:t>0</m:t>
        </m:r>
      </m:oMath>
      <w:r>
        <w:rPr>
          <w:bCs/>
          <w:b/>
        </w:rPr>
        <w:t xml:space="preserve"> </w:t>
      </w:r>
      <w:r>
        <w:rPr>
          <w:bCs/>
          <w:b/>
        </w:rPr>
        <w:t xml:space="preserve">from the stimulus-/history-congruence at the 33 preceding trials for stimulus-congruence and 8 preceding trials for history-congruence (Supplemental Figure S3)</w:t>
      </w:r>
      <w:r>
        <w:t xml:space="preserve">. In analogy to humans, mice showed anti-phase 1/f fluctuations in the sensitivity to internal and external information (Figure 3D-F).</w:t>
      </w:r>
    </w:p>
    <w:p>
      <w:pPr>
        <w:pStyle w:val="BodyText"/>
      </w:pPr>
      <w:r>
        <w:rPr>
          <w:bCs/>
          <w:b/>
        </w:rPr>
        <w:t xml:space="preserve">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vertAlign w:val="superscript"/>
          <w:bCs/>
          <w:b/>
        </w:rPr>
        <w:t xml:space="preserve">44</w:t>
      </w:r>
      <w:r>
        <w:rPr>
          <w:bCs/>
          <w:b/>
        </w:rPr>
        <w:t xml:space="preserve"> </w:t>
      </w:r>
      <w:r>
        <w:rPr>
          <w:bCs/>
          <w:b/>
        </w:rPr>
        <w:t xml:space="preserve">that determines not only perceptual choices, but also downstream aspects of mouse behavior</w:t>
      </w:r>
      <w:r>
        <w:rPr>
          <w:vertAlign w:val="superscript"/>
          <w:bCs/>
          <w:b/>
        </w:rPr>
        <w:t xml:space="preserve">44</w:t>
      </w:r>
      <w:r>
        <w:rPr>
          <w:bCs/>
          <w:b/>
        </w:rPr>
        <w:t xml:space="preserve">.</w:t>
      </w:r>
      <w:r>
        <w:t xml:space="preserve"> </w:t>
      </w:r>
      <w:r>
        <w:t xml:space="preserve">We therefore asked how external and internal modes relate to the trial duration (TD, a coarse measure of RT in mice that spans the interval from stimulus onset to feedback</w:t>
      </w:r>
      <w:r>
        <w:rPr>
          <w:vertAlign w:val="superscript"/>
        </w:rPr>
        <w:t xml:space="preserve">21</w:t>
      </w:r>
      <w:r>
        <w:t xml:space="preserve">). Stimulus-congruent (as opposed to stimulus-incongruent) choices were associated with shorter TDs (</w:t>
      </w:r>
      <m:oMath>
        <m:r>
          <m:t>δ</m:t>
        </m:r>
      </m:oMath>
      <w:r>
        <w:t xml:space="preserve"> </w:t>
      </w:r>
      <w:r>
        <w:t xml:space="preserve">=</w:t>
      </w:r>
      <w:r>
        <w:t xml:space="preserve"> </w:t>
      </w:r>
      <m:oMath>
        <m:r>
          <m:rPr>
            <m:sty m:val="p"/>
          </m:rPr>
          <m:t>−</m:t>
        </m:r>
        <m:r>
          <m:t>262.48</m:t>
        </m:r>
      </m:oMath>
      <w:r>
        <w:t xml:space="preserve"> </w:t>
      </w:r>
      <w:r>
        <w:t xml:space="preserve">±</w:t>
      </w:r>
      <w:r>
        <w:t xml:space="preserve"> </w:t>
      </w:r>
      <m:oMath>
        <m:r>
          <m:t>17.1</m:t>
        </m:r>
      </m:oMath>
      <w:r>
        <w:t xml:space="preserve">, T(164) = -15.35, p =</w:t>
      </w:r>
      <w:r>
        <w:t xml:space="preserve"> </w:t>
      </w:r>
      <m:oMath>
        <m:r>
          <m:t>1.55</m:t>
        </m:r>
        <m:r>
          <m:rPr>
            <m:sty m:val="p"/>
          </m:rPr>
          <m:t>×</m:t>
        </m:r>
        <m:sSup>
          <m:e>
            <m:r>
              <m:t>10</m:t>
            </m:r>
          </m:e>
          <m:sup>
            <m:r>
              <m:rPr>
                <m:sty m:val="p"/>
              </m:rPr>
              <m:t>−</m:t>
            </m:r>
            <m:r>
              <m:t>33</m:t>
            </m:r>
          </m:sup>
        </m:sSup>
      </m:oMath>
      <w:r>
        <w:t xml:space="preserve">), while history-congruent choices were characterized by longer TDs (</w:t>
      </w:r>
      <m:oMath>
        <m:r>
          <m:t>δ</m:t>
        </m:r>
      </m:oMath>
      <w:r>
        <w:t xml:space="preserve"> </w:t>
      </w:r>
      <w:r>
        <w:t xml:space="preserve">=</w:t>
      </w:r>
      <w:r>
        <w:t xml:space="preserve"> </w:t>
      </w:r>
      <m:oMath>
        <m:r>
          <m:t>30.47</m:t>
        </m:r>
      </m:oMath>
      <w:r>
        <w:t xml:space="preserve"> </w:t>
      </w:r>
      <w:r>
        <w:t xml:space="preserve">±</w:t>
      </w:r>
      <w:r>
        <w:t xml:space="preserve"> </w:t>
      </w:r>
      <m:oMath>
        <m:r>
          <m:t>5.57</m:t>
        </m:r>
      </m:oMath>
      <w:r>
        <w:t xml:space="preserve">, T(164) = 5.47, p =</w:t>
      </w:r>
      <w:r>
        <w:t xml:space="preserve"> </w:t>
      </w:r>
      <m:oMath>
        <m:r>
          <m:t>1.66</m:t>
        </m:r>
        <m:r>
          <m:rPr>
            <m:sty m:val="p"/>
          </m:rPr>
          <m:t>×</m:t>
        </m:r>
        <m:sSup>
          <m:e>
            <m:r>
              <m:t>10</m:t>
            </m:r>
          </m:e>
          <m:sup>
            <m:r>
              <m:rPr>
                <m:sty m:val="p"/>
              </m:rPr>
              <m:t>−</m:t>
            </m:r>
            <m:r>
              <m:t>7</m:t>
            </m:r>
          </m:sup>
        </m:sSup>
      </m:oMath>
      <w:r>
        <w:t xml:space="preserve">; Figure 3G).</w:t>
      </w:r>
    </w:p>
    <w:p>
      <w:pPr>
        <w:pStyle w:val="BodyText"/>
      </w:pPr>
      <w:r>
        <w:t xml:space="preserve">Across the full spectrum of the available data, TDs showed a linear relationship with the mode of sensory processing, with shorter TDs during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Figure 3H).</w:t>
      </w:r>
      <w:r>
        <w:t xml:space="preserve"> </w:t>
      </w:r>
      <w:r>
        <w:t xml:space="preserve">However, an explorative post-hoc analysis limited to TDs that differed from the median TD by no more than 1.5 x MAD (median absolute distance</w:t>
      </w:r>
      <w:r>
        <w:rPr>
          <w:vertAlign w:val="superscript"/>
        </w:rPr>
        <w:t xml:space="preserve">49</w:t>
      </w:r>
      <w:r>
        <w:t xml:space="preserve">) indicated that, when mice engaged with the task more swiftly, TDs did indeed show a quadratic relationship with the mode of sensory processing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Figure 3I).</w:t>
      </w:r>
    </w:p>
    <w:p>
      <w:pPr>
        <w:pStyle w:val="BodyText"/>
      </w:pPr>
      <w:r>
        <w:t xml:space="preserve">As in humans, it is important to ensure that ongoing changes in the sensitivity to external information are indeed driven by perceptual history and cannot be reduced to general choice biases or random behavior.</w:t>
      </w:r>
      <w:r>
        <w:t xml:space="preserve"> </w:t>
      </w:r>
      <w:r>
        <w:t xml:space="preserve">Logistic regression confirmed a significant effect perceptual history on perceptual choices (</w:t>
      </w:r>
      <m:oMath>
        <m:r>
          <m:t>β</m:t>
        </m:r>
      </m:oMath>
      <w:r>
        <w:t xml:space="preserve"> </w:t>
      </w:r>
      <w:r>
        <w:t xml:space="preserve">=</w:t>
      </w:r>
      <w:r>
        <w:t xml:space="preserve"> </w:t>
      </w:r>
      <m:oMath>
        <m:r>
          <m:t>0.51</m:t>
        </m:r>
      </m:oMath>
      <w:r>
        <w:t xml:space="preserve"> </w:t>
      </w:r>
      <w:r>
        <w:t xml:space="preserve">±</w:t>
      </w:r>
      <w:r>
        <w:t xml:space="preserve"> </w:t>
      </w:r>
      <m:oMath>
        <m:r>
          <m:t>4.49</m:t>
        </m:r>
        <m:r>
          <m:rPr>
            <m:sty m:val="p"/>
          </m:rPr>
          <m:t>×</m:t>
        </m:r>
        <m:sSup>
          <m:e>
            <m:r>
              <m:t>10</m:t>
            </m:r>
          </m:e>
          <m:sup>
            <m:r>
              <m:rPr>
                <m:sty m:val="p"/>
              </m:rPr>
              <m:t>−</m:t>
            </m:r>
            <m:r>
              <m:t>3</m:t>
            </m:r>
          </m:sup>
        </m:sSup>
      </m:oMath>
      <w:r>
        <w:t xml:space="preserve">, z =</w:t>
      </w:r>
      <w:r>
        <w:t xml:space="preserve"> </w:t>
      </w:r>
      <m:oMath>
        <m:r>
          <m:t>112.84</m:t>
        </m:r>
      </m:oMath>
      <w:r>
        <w:t xml:space="preserve">, p =</w:t>
      </w:r>
      <w:r>
        <w:t xml:space="preserve"> </w:t>
      </w:r>
      <m:oMath>
        <m:r>
          <m:t>0</m:t>
        </m:r>
      </m:oMath>
      <w:r>
        <w:t xml:space="preserve">), while controlling for external sensory information (</w:t>
      </w:r>
      <m:oMath>
        <m:r>
          <m:t>β</m:t>
        </m:r>
      </m:oMath>
      <w:r>
        <w:t xml:space="preserve"> </w:t>
      </w:r>
      <w:r>
        <w:t xml:space="preserve">=</w:t>
      </w:r>
      <w:r>
        <w:t xml:space="preserve"> </w:t>
      </w:r>
      <m:oMath>
        <m:r>
          <m:t>2.96</m:t>
        </m:r>
      </m:oMath>
      <w:r>
        <w:t xml:space="preserve"> </w:t>
      </w:r>
      <w:r>
        <w:t xml:space="preserve">±</w:t>
      </w:r>
      <w:r>
        <w:t xml:space="preserve"> </w:t>
      </w:r>
      <m:oMath>
        <m:r>
          <m:t>4.58</m:t>
        </m:r>
        <m:r>
          <m:rPr>
            <m:sty m:val="p"/>
          </m:rPr>
          <m:t>×</m:t>
        </m:r>
        <m:sSup>
          <m:e>
            <m:r>
              <m:t>10</m:t>
            </m:r>
          </m:e>
          <m:sup>
            <m:r>
              <m:rPr>
                <m:sty m:val="p"/>
              </m:rPr>
              <m:t>−</m:t>
            </m:r>
            <m:r>
              <m:t>3</m:t>
            </m:r>
          </m:sup>
        </m:sSup>
      </m:oMath>
      <w:r>
        <w:t xml:space="preserve">, z =</w:t>
      </w:r>
      <w:r>
        <w:t xml:space="preserve"> </w:t>
      </w:r>
      <m:oMath>
        <m:r>
          <m:t>646.1</m:t>
        </m:r>
      </m:oMath>
      <w:r>
        <w:t xml:space="preserve">, p =</w:t>
      </w:r>
      <w:r>
        <w:t xml:space="preserve"> </w:t>
      </w:r>
      <m:oMath>
        <m:r>
          <m:t>0</m:t>
        </m:r>
      </m:oMath>
      <w:r>
        <w:t xml:space="preserve">) and general response biases toward one of the two outcomes (</w:t>
      </w:r>
      <m:oMath>
        <m:r>
          <m:t>β</m:t>
        </m:r>
      </m:oMath>
      <w:r>
        <w:t xml:space="preserve"> </w:t>
      </w:r>
      <w:r>
        <w:t xml:space="preserve">=</w:t>
      </w:r>
      <w:r>
        <w:t xml:space="preserve"> </w:t>
      </w:r>
      <m:oMath>
        <m:r>
          <m:rPr>
            <m:sty m:val="p"/>
          </m:rPr>
          <m:t>−</m:t>
        </m:r>
        <m:r>
          <m:t>1.78</m:t>
        </m:r>
      </m:oMath>
      <w:r>
        <w:t xml:space="preserve"> </w:t>
      </w:r>
      <w:r>
        <w:t xml:space="preserve">±</w:t>
      </w:r>
      <w:r>
        <w:t xml:space="preserve"> </w:t>
      </w:r>
      <m:oMath>
        <m:r>
          <m:t>0.02</m:t>
        </m:r>
      </m:oMath>
      <w:r>
        <w:t xml:space="preserve">, z =</w:t>
      </w:r>
      <w:r>
        <w:t xml:space="preserve"> </w:t>
      </w:r>
      <m:oMath>
        <m:r>
          <m:rPr>
            <m:sty m:val="p"/>
          </m:rPr>
          <m:t>−</m:t>
        </m:r>
        <m:r>
          <m:t>80.64</m:t>
        </m:r>
      </m:oMath>
      <w:r>
        <w:t xml:space="preserve">, p =</w:t>
      </w:r>
      <w:r>
        <w:t xml:space="preserve"> </w:t>
      </w:r>
      <m:oMath>
        <m:r>
          <m:t>0</m:t>
        </m:r>
      </m:oMath>
      <w:r>
        <w:t xml:space="preserve">).</w:t>
      </w:r>
      <w:r>
        <w:t xml:space="preserve"> </w:t>
      </w:r>
      <w:r>
        <w:rPr>
          <w:bCs/>
          <w:b/>
        </w:rPr>
        <w:t xml:space="preserve">When eliminating perceptual history as a predictor of individual choices, AIC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1.48</m:t>
        </m:r>
        <m:r>
          <m:rPr>
            <m:sty m:val="p"/>
          </m:rPr>
          <m:t>×</m:t>
        </m:r>
        <m:sSup>
          <m:e>
            <m:r>
              <m:t>10</m:t>
            </m:r>
          </m:e>
          <m:sup>
            <m:r>
              <m:t>4</m:t>
            </m:r>
          </m:sup>
        </m:sSup>
      </m:oMath>
      <w:r>
        <w:rPr>
          <w:bCs/>
          <w:b/>
        </w:rPr>
        <w:t xml:space="preserve">, arguing against the notion that choice randomness and general response bias are the only determinants of perceptual performance in mice (see Supplemental Figure S4C-D for parameter- and model-level inference in individual subjects).</w:t>
      </w:r>
    </w:p>
    <w:p>
      <w:pPr>
        <w:pStyle w:val="BodyText"/>
      </w:pPr>
      <w:r>
        <w:t xml:space="preserve">**In mice,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Eliminating the dynamic fluctuations in history-congruence as a predictor of fluctuations in stimulus-congruence resulted in an increase in AIC by</w:t>
      </w:r>
      <w:r>
        <w:t xml:space="preserve"> </w:t>
      </w:r>
      <w:r>
        <w:t xml:space="preserve">_{AIC} +</w:t>
      </w:r>
      <w:r>
        <w:t xml:space="preserve"> </w:t>
      </w:r>
      <m:oMath>
        <m:r>
          <m:t>2.8</m:t>
        </m:r>
        <m:r>
          <m:rPr>
            <m:sty m:val="p"/>
          </m:rPr>
          <m:t>×</m:t>
        </m:r>
        <m:sSup>
          <m:e>
            <m:r>
              <m:t>10</m:t>
            </m:r>
          </m:e>
          <m:sup>
            <m:r>
              <m:t>4</m:t>
            </m:r>
          </m:sup>
        </m:sSup>
      </m:oMath>
      <w:r>
        <w:t xml:space="preserve"> </w:t>
      </w:r>
      <w:r>
        <w:t xml:space="preserve">(see Supplemental Section 9.2 and Supplemental Figure S5 for an in-depth assessment of general response bias).**</w:t>
      </w:r>
    </w:p>
    <w:p>
      <w:pPr>
        <w:pStyle w:val="BodyText"/>
      </w:pPr>
      <w:r>
        <w:rPr>
          <w:bCs/>
          <w:b/>
        </w:rPr>
        <w:t xml:space="preserve">When fitting full and history-conditioned psychometric curves to the IBL data</w:t>
      </w:r>
      <w:r>
        <w:rPr>
          <w:vertAlign w:val="superscript"/>
          <w:bCs/>
          <w:b/>
        </w:rPr>
        <w:t xml:space="preserve">21</w:t>
      </w:r>
      <w:r>
        <w:rPr>
          <w:bCs/>
          <w:b/>
        </w:rPr>
        <w:t xml:space="preserv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 (Supplemental Section 9.4.2 and Supplemental Figure S8)</w:t>
      </w:r>
      <w:r>
        <w:t xml:space="preserve">.</w:t>
      </w:r>
    </w:p>
    <w:p>
      <w:pPr>
        <w:pStyle w:val="BodyText"/>
      </w:pPr>
      <w:r>
        <w:rPr>
          <w:bCs/>
          <w:b/>
        </w:rPr>
        <w:t xml:space="preserve">In sum, these analyses confirmed that the observed fluctuations in sensitivity to external sensory information are driven by dynamic changes in impact of perceptual history and cannot be reduced to general response bias and random choice behavior.</w:t>
      </w:r>
    </w:p>
    <w:bookmarkEnd w:id="29"/>
    <w:bookmarkStart w:id="30" w:name="X9f1814b2a066d2fb26eee08a0ac408731a8bb00"/>
    <w:p>
      <w:pPr>
        <w:pStyle w:val="Heading2"/>
      </w:pPr>
      <w:r>
        <w:t xml:space="preserve">Fluctuations in mode result from coordinated changes in the impact of external and internal information on perception</w:t>
      </w:r>
    </w:p>
    <w:p>
      <w:pPr>
        <w:pStyle w:val="FirstParagraph"/>
      </w:pPr>
      <w:r>
        <w:t xml:space="preserve">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 xml:space="preserve">34</w:t>
      </w:r>
      <w:r>
        <w:t xml:space="preserve">, previous experiences are often good predictors of new stimuli</w:t>
      </w:r>
      <w:r>
        <w:rPr>
          <w:vertAlign w:val="superscript"/>
        </w:rPr>
        <w:t xml:space="preserve">30,31,35,41</w:t>
      </w:r>
      <w:r>
        <w:t xml:space="preserve">. Serial dependencies may therefore induce autocorrelations in perception by serving as internal predictions (or</w:t>
      </w:r>
      <w:r>
        <w:t xml:space="preserve"> </w:t>
      </w:r>
      <w:r>
        <w:rPr>
          <w:iCs/>
          <w:i/>
        </w:rPr>
        <w:t xml:space="preserve">memory</w:t>
      </w:r>
      <w:r>
        <w:t xml:space="preserve"> </w:t>
      </w:r>
      <w:r>
        <w:t xml:space="preserve">processes</w:t>
      </w:r>
      <w:r>
        <w:rPr>
          <w:vertAlign w:val="superscript"/>
        </w:rPr>
        <w:t xml:space="preserve">9,13</w:t>
      </w:r>
      <w:r>
        <w:t xml:space="preserve">) that actively integrate noisy sensory information over time</w:t>
      </w:r>
      <w:r>
        <w:rPr>
          <w:vertAlign w:val="superscript"/>
        </w:rPr>
        <w:t xml:space="preserve">50</w:t>
      </w:r>
      <w:r>
        <w:t xml:space="preserve">.</w:t>
      </w:r>
    </w:p>
    <w:p>
      <w:pPr>
        <w:pStyle w:val="BodyText"/>
      </w:pPr>
      <w:r>
        <w:t xml:space="preserve">Previous work has shown that such internal predictions can be built by dynamically updating the estimated probability of being in a particular perceptual state from the sequence of preceding experiences</w:t>
      </w:r>
      <w:r>
        <w:rPr>
          <w:vertAlign w:val="superscript"/>
        </w:rPr>
        <w:t xml:space="preserve">35,46,51</w:t>
      </w:r>
      <w:r>
        <w:t xml:space="preserve">. The integration of sequential inputs may lead to accumulating effects of perceptual history that progressively override incoming sensory information, enabling internal mode processing</w:t>
      </w:r>
      <w:r>
        <w:rPr>
          <w:vertAlign w:val="superscript"/>
        </w:rPr>
        <w:t xml:space="preserve">19</w:t>
      </w:r>
      <w:r>
        <w:t xml:space="preserve">. However, since such a process would lead to internal biases that may eventually become impossible to overcome</w:t>
      </w:r>
      <w:r>
        <w:rPr>
          <w:vertAlign w:val="superscript"/>
        </w:rPr>
        <w:t xml:space="preserve">52</w:t>
      </w:r>
      <w:r>
        <w:t xml:space="preserve">,</w:t>
      </w:r>
      <w:r>
        <w:t xml:space="preserve"> </w:t>
      </w:r>
      <w:r>
        <w:rPr>
          <w:bCs/>
          <w:b/>
        </w:rPr>
        <w:t xml:space="preserve">changes in mode may require</w:t>
      </w:r>
      <w:r>
        <w:t xml:space="preserve"> </w:t>
      </w:r>
      <w:r>
        <w:t xml:space="preserve">ongoing wave-like fluctuations</w:t>
      </w:r>
      <w:r>
        <w:rPr>
          <w:vertAlign w:val="superscript"/>
        </w:rPr>
        <w:t xml:space="preserve">9,13</w:t>
      </w:r>
      <w:r>
        <w:t xml:space="preserve"> </w:t>
      </w:r>
      <w:r>
        <w:t xml:space="preserve">in the perceptual impact of external and internal information that occur</w:t>
      </w:r>
      <w:r>
        <w:t xml:space="preserve"> </w:t>
      </w:r>
      <w:r>
        <w:rPr>
          <w:iCs/>
          <w:i/>
        </w:rPr>
        <w:t xml:space="preserve">irrespective</w:t>
      </w:r>
      <w:r>
        <w:t xml:space="preserve"> </w:t>
      </w:r>
      <w:r>
        <w:t xml:space="preserve">of the sequence of previous experiences and temporarily de-couple the decision variable from implicit internal representations of the environment</w:t>
      </w:r>
      <w:r>
        <w:rPr>
          <w:vertAlign w:val="superscript"/>
        </w:rPr>
        <w:t xml:space="preserve">19</w:t>
      </w:r>
      <w:r>
        <w:t xml:space="preserve">.</w:t>
      </w:r>
    </w:p>
    <w:p>
      <w:pPr>
        <w:pStyle w:val="BodyText"/>
      </w:pPr>
      <w:r>
        <w:t xml:space="preserve">Following Bayes’ theorem,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rPr>
          <w:bCs/>
          <w:b/>
        </w:rPr>
        <w:t xml:space="preserve">, 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We derived the prior probability</w:t>
      </w:r>
      <w:r>
        <w:t xml:space="preserve"> </w:t>
      </w:r>
      <m:oMath>
        <m:r>
          <m:t>ψ</m:t>
        </m:r>
      </m:oMath>
      <w:r>
        <w:t xml:space="preserve"> </w:t>
      </w:r>
      <w:r>
        <w:t xml:space="preserve">at timepoint</w:t>
      </w:r>
      <w:r>
        <w:t xml:space="preserve"> </w:t>
      </w:r>
      <m:oMath>
        <m:r>
          <m:t>t</m:t>
        </m:r>
      </m:oMath>
      <w:r>
        <w:t xml:space="preserve"> </w:t>
      </w:r>
      <w:r>
        <w:t xml:space="preserve">from the posterior probability of perceptual outcomes at timepoint</w:t>
      </w:r>
      <w:r>
        <w:t xml:space="preserve"> </w:t>
      </w:r>
      <m:oMath>
        <m:sSub>
          <m:e>
            <m:r>
              <m:t>L</m:t>
            </m:r>
          </m:e>
          <m:sub>
            <m:r>
              <m:t>t</m:t>
            </m:r>
            <m:r>
              <m:rPr>
                <m:sty m:val="p"/>
              </m:rPr>
              <m:t>−</m:t>
            </m:r>
            <m:r>
              <m:t>1</m:t>
            </m:r>
          </m:sub>
        </m:sSub>
      </m:oMath>
      <w:r>
        <w:t xml:space="preserve">. Since a switch between the two states can occur at any time, the effect of perceptual history varies according to both the sequence of preceding experiences and the estimated stability of the external environment (i.e., the</w:t>
      </w:r>
      <w:r>
        <w:t xml:space="preserve"> </w:t>
      </w:r>
      <w:r>
        <w:rPr>
          <w:iCs/>
          <w:i/>
        </w:rPr>
        <w:t xml:space="preserve">hazard rate</w:t>
      </w:r>
      <w:r>
        <w:t xml:space="preserve"> </w:t>
      </w:r>
      <m:oMath>
        <m:r>
          <m:t>H</m:t>
        </m:r>
      </m:oMath>
      <w:r>
        <w:rPr>
          <w:vertAlign w:val="superscript"/>
        </w:rPr>
        <w:t xml:space="preserve">51</w:t>
      </w:r>
      <w:r>
        <w:t xml:space="preserve">):</w:t>
      </w:r>
    </w:p>
    <w:p>
      <w:pPr>
        <w:pStyle w:val="BodyText"/>
      </w:pPr>
    </w:p>
    <w:p>
      <w:pPr>
        <w:pStyle w:val="BodyText"/>
      </w:pPr>
      <w:r>
        <w:t xml:space="preserve">The</w:t>
      </w:r>
      <w:r>
        <w:t xml:space="preserve"> </w:t>
      </w:r>
      <m:oMath>
        <m:r>
          <m:t>L</m:t>
        </m:r>
        <m:r>
          <m:t>L</m:t>
        </m:r>
        <m:r>
          <m:t>R</m:t>
        </m:r>
      </m:oMath>
      <w:r>
        <w:t xml:space="preserve"> </w:t>
      </w:r>
      <w:r>
        <w:t xml:space="preserve">was computed from inputs</w:t>
      </w:r>
      <w:r>
        <w:t xml:space="preserve"> </w:t>
      </w:r>
      <m:oMath>
        <m:sSub>
          <m:e>
            <m:r>
              <m:t>s</m:t>
            </m:r>
          </m:e>
          <m:sub>
            <m:r>
              <m:t>t</m:t>
            </m:r>
          </m:sub>
        </m:sSub>
      </m:oMath>
      <w:r>
        <w:t xml:space="preserve"> </w:t>
      </w:r>
      <w:r>
        <w:t xml:space="preserve">by applying a sigmoid function defined by parameter</w:t>
      </w:r>
      <w:r>
        <w:t xml:space="preserve"> </w:t>
      </w:r>
      <m:oMath>
        <m:r>
          <m:t>α</m:t>
        </m:r>
      </m:oMath>
      <w:r>
        <w:t xml:space="preserve"> </w:t>
      </w:r>
      <w:r>
        <w:t xml:space="preserve">that controls the sensitivity of perception to the available sensory information (see Methods for details on</w:t>
      </w:r>
      <w:r>
        <w:t xml:space="preserve"> </w:t>
      </w:r>
      <m:oMath>
        <m:sSub>
          <m:e>
            <m:r>
              <m:t>s</m:t>
            </m:r>
          </m:e>
          <m:sub>
            <m:r>
              <m:t>t</m:t>
            </m:r>
          </m:sub>
        </m:sSub>
      </m:oMath>
      <w:r>
        <w:t xml:space="preserve"> </w:t>
      </w:r>
      <w:r>
        <w:t xml:space="preserve">in humans and mice):</w:t>
      </w:r>
    </w:p>
    <w:p>
      <w:pPr>
        <w:pStyle w:val="BodyText"/>
      </w:pPr>
    </w:p>
    <w:p>
      <w:pPr>
        <w:pStyle w:val="BodyText"/>
      </w:pPr>
    </w:p>
    <w:p>
      <w:pPr>
        <w:pStyle w:val="BodyText"/>
      </w:pPr>
      <w:r>
        <w:rPr>
          <w:bCs/>
          <w:b/>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t xml:space="preserve">:</w:t>
      </w:r>
    </w:p>
    <w:p>
      <w:pPr>
        <w:pStyle w:val="BodyText"/>
      </w:pPr>
    </w:p>
    <w:p>
      <w:pPr>
        <w:pStyle w:val="BodyText"/>
      </w:pPr>
    </w:p>
    <w:p>
      <w:pPr>
        <w:pStyle w:val="BodyText"/>
      </w:pPr>
      <w:r>
        <w:t xml:space="preserve">Finally, a sigmoid transform of the posterior</w:t>
      </w:r>
      <w:r>
        <w:t xml:space="preserve"> </w:t>
      </w:r>
      <m:oMath>
        <m:sSub>
          <m:e>
            <m:r>
              <m:t>L</m:t>
            </m:r>
          </m:e>
          <m:sub>
            <m:r>
              <m:t>t</m:t>
            </m:r>
          </m:sub>
        </m:sSub>
      </m:oMath>
      <w:r>
        <w:t xml:space="preserve"> </w:t>
      </w:r>
      <w:r>
        <w:t xml:space="preserve">yields the probability of observing the perceptual decision</w:t>
      </w:r>
      <w:r>
        <w:t xml:space="preserve"> </w:t>
      </w:r>
      <m:oMath>
        <m:sSub>
          <m:e>
            <m:r>
              <m:t>y</m:t>
            </m:r>
          </m:e>
          <m:sub>
            <m:r>
              <m:t>t</m:t>
            </m:r>
          </m:sub>
        </m:sSub>
      </m:oMath>
      <w:r>
        <w:t xml:space="preserve"> </w:t>
      </w:r>
      <w:r>
        <w:t xml:space="preserve">at a temperature determined by</w:t>
      </w:r>
      <w:r>
        <w:t xml:space="preserve"> </w:t>
      </w:r>
      <m:oMath>
        <m:sSup>
          <m:e>
            <m:r>
              <m:t>ζ</m:t>
            </m:r>
          </m:e>
          <m:sup>
            <m:r>
              <m:rPr>
                <m:sty m:val="p"/>
              </m:rPr>
              <m:t>−</m:t>
            </m:r>
            <m:r>
              <m:t>1</m:t>
            </m:r>
          </m:sup>
        </m:sSup>
      </m:oMath>
      <w:r>
        <w:t xml:space="preserve">:</w:t>
      </w:r>
    </w:p>
    <w:p>
      <w:pPr>
        <w:pStyle w:val="BodyText"/>
      </w:pPr>
    </w:p>
    <w:p>
      <w:pPr>
        <w:pStyle w:val="BodyText"/>
      </w:pPr>
      <w:r>
        <w:rPr>
          <w:bCs/>
          <w:b/>
        </w:rPr>
        <w:t xml:space="preserve">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t>
      </w:r>
      <w:r>
        <w:rPr>
          <w:bCs/>
          <w:b/>
        </w:rPr>
        <w:t xml:space="preserve">(see Methods for details and Supplemental Table T2 for a summary of the parameters of the bimodal inference model). We validated our model in three steps:</w:t>
      </w:r>
    </w:p>
    <w:p>
      <w:pPr>
        <w:pStyle w:val="BodyText"/>
      </w:pPr>
      <w:r>
        <w:rPr>
          <w:bCs/>
          <w:b/>
        </w:rPr>
        <w:t xml:space="preserve">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pStyle w:val="BodyText"/>
      </w:pPr>
      <w:r>
        <w:rPr>
          <w:bCs/>
          <w:b/>
        </w:rPr>
        <w:t xml:space="preserve">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 (Figure 1G).</w:t>
      </w:r>
    </w:p>
    <w:p>
      <w:pPr>
        <w:pStyle w:val="BodyText"/>
      </w:pPr>
      <w:r>
        <w:rPr>
          <w:bCs/>
          <w:b/>
        </w:rPr>
        <w:t xml:space="preserve">The bimodal inference model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and was clearly superior to the normative Bayesian model of evidence accumulation (</w:t>
      </w:r>
      <m:oMath>
        <m:sSub>
          <m:e>
            <m:r>
              <m:t>δ</m:t>
            </m:r>
          </m:e>
          <m:sub>
            <m:r>
              <m:t>A</m:t>
            </m:r>
            <m:r>
              <m:t>I</m:t>
            </m:r>
            <m:r>
              <m:t>C</m:t>
            </m:r>
          </m:sub>
        </m:sSub>
      </m:oMath>
      <w:r>
        <w:rPr>
          <w:bCs/>
          <w:b/>
        </w:rPr>
        <w:t xml:space="preserve"> </w:t>
      </w:r>
      <w:r>
        <w:rPr>
          <w:bCs/>
          <w:b/>
        </w:rPr>
        <w:t xml:space="preserve">=</w:t>
      </w:r>
      <w:r>
        <w:rPr>
          <w:bCs/>
          <w:b/>
        </w:rPr>
        <w:t xml:space="preserve"> </w:t>
      </w:r>
      <m:oMath>
        <m:r>
          <m:rPr>
            <m:sty m:val="p"/>
          </m:rPr>
          <m:t>−</m:t>
        </m:r>
        <m:r>
          <m:t>5.08</m:t>
        </m:r>
        <m:r>
          <m:rPr>
            <m:sty m:val="p"/>
          </m:rPr>
          <m:t>×</m:t>
        </m:r>
        <m:sSup>
          <m:e>
            <m:r>
              <m:t>10</m:t>
            </m:r>
          </m:e>
          <m:sup>
            <m:r>
              <m:t>4</m:t>
            </m:r>
          </m:sup>
        </m:sSup>
      </m:oMath>
      <w:r>
        <w:rPr>
          <w:bCs/>
          <w:b/>
        </w:rPr>
        <w:t xml:space="preserve"> </w:t>
      </w:r>
      <w:r>
        <w:rPr>
          <w:bCs/>
          <w:b/>
        </w:rPr>
        <w:t xml:space="preserve">in humans and</w:t>
      </w:r>
      <w:r>
        <w:rPr>
          <w:bCs/>
          <w:b/>
        </w:rPr>
        <w:t xml:space="preserve"> </w:t>
      </w:r>
      <m:oMath>
        <m:r>
          <m:rPr>
            <m:sty m:val="p"/>
          </m:rPr>
          <m:t>−</m:t>
        </m:r>
        <m:r>
          <m:t>4.91</m:t>
        </m:r>
        <m:r>
          <m:rPr>
            <m:sty m:val="p"/>
          </m:rPr>
          <m:t>×</m:t>
        </m:r>
        <m:sSup>
          <m:e>
            <m:r>
              <m:t>10</m:t>
            </m:r>
          </m:e>
          <m:sup>
            <m:r>
              <m:t>4</m:t>
            </m:r>
          </m:sup>
        </m:sSup>
      </m:oMath>
      <w:r>
        <w:rPr>
          <w:bCs/>
          <w:b/>
        </w:rPr>
        <w:t xml:space="preserve"> </w:t>
      </w:r>
      <w:r>
        <w:rPr>
          <w:bCs/>
          <w:b/>
        </w:rPr>
        <w:t xml:space="preserve">in mice; Supplemental Figure S9).</w:t>
      </w:r>
    </w:p>
    <w:p>
      <w:pPr>
        <w:pStyle w:val="BodyText"/>
      </w:pPr>
      <w:r>
        <w:rPr>
          <w:bCs/>
          <w:b/>
        </w:rPr>
        <w:t xml:space="preserve">As a second validation of the bimodal inference model, we tested whether the posterior model predicted within-training and out-of-training variables. The bimodal inference model characterizes each subject by a sensitivity parameter</w:t>
      </w:r>
      <w:r>
        <w:rPr>
          <w:bCs/>
          <w:b/>
        </w:rPr>
        <w:t xml:space="preserve"> </w:t>
      </w:r>
      <m:oMath>
        <m:r>
          <m:t>α</m:t>
        </m:r>
      </m:oMath>
      <w:r>
        <w:rPr>
          <w:bCs/>
          <w:b/>
        </w:rPr>
        <w:t xml:space="preserve"> </w:t>
      </w:r>
      <w:r>
        <w:rPr>
          <w:bCs/>
          <w:b/>
        </w:rPr>
        <w:t xml:space="preserve">(humans:</w:t>
      </w:r>
      <w:r>
        <w:rPr>
          <w:bCs/>
          <w:b/>
        </w:rPr>
        <w:t xml:space="preserve"> </w:t>
      </w:r>
      <m:oMath>
        <m:r>
          <m:t>α</m:t>
        </m:r>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1.12</m:t>
        </m:r>
        <m:r>
          <m:rPr>
            <m:sty m:val="p"/>
          </m:rPr>
          <m:t>×</m:t>
        </m:r>
        <m:sSup>
          <m:e>
            <m:r>
              <m:t>10</m:t>
            </m:r>
          </m:e>
          <m:sup>
            <m:r>
              <m:rPr>
                <m:sty m:val="p"/>
              </m:rPr>
              <m:t>−</m:t>
            </m:r>
            <m:r>
              <m:t>4</m:t>
            </m:r>
          </m:sup>
        </m:sSup>
      </m:oMath>
      <w:r>
        <w:rPr>
          <w:bCs/>
          <w:b/>
        </w:rPr>
        <w:t xml:space="preserve">; mice:</w:t>
      </w:r>
      <w:r>
        <w:rPr>
          <w:bCs/>
          <w:b/>
        </w:rPr>
        <w:t xml:space="preserve"> </w:t>
      </w:r>
      <m:oMath>
        <m:r>
          <m:t>α</m:t>
        </m:r>
      </m:oMath>
      <w:r>
        <w:rPr>
          <w:bCs/>
          <w:b/>
        </w:rPr>
        <w:t xml:space="preserve"> </w:t>
      </w:r>
      <w:r>
        <w:rPr>
          <w:bCs/>
          <w:b/>
        </w:rPr>
        <w:t xml:space="preserve">=</w:t>
      </w:r>
      <w:r>
        <w:rPr>
          <w:bCs/>
          <w:b/>
        </w:rPr>
        <w:t xml:space="preserve"> </w:t>
      </w:r>
      <m:oMath>
        <m:r>
          <m:t>1.06</m:t>
        </m:r>
      </m:oMath>
      <w:r>
        <w:rPr>
          <w:bCs/>
          <w:b/>
        </w:rPr>
        <w:t xml:space="preserve"> </w:t>
      </w:r>
      <w:r>
        <w:rPr>
          <w:bCs/>
          <w:b/>
        </w:rPr>
        <w:t xml:space="preserve">±</w:t>
      </w:r>
      <w:r>
        <w:rPr>
          <w:bCs/>
          <w:b/>
        </w:rPr>
        <w:t xml:space="preserve"> </w:t>
      </w:r>
      <m:oMath>
        <m:r>
          <m:t>2.88</m:t>
        </m:r>
        <m:r>
          <m:rPr>
            <m:sty m:val="p"/>
          </m:rPr>
          <m:t>×</m:t>
        </m:r>
        <m:sSup>
          <m:e>
            <m:r>
              <m:t>10</m:t>
            </m:r>
          </m:e>
          <m:sup>
            <m:r>
              <m:rPr>
                <m:sty m:val="p"/>
              </m:rPr>
              <m:t>−</m:t>
            </m:r>
            <m:r>
              <m:t>3</m:t>
            </m:r>
          </m:sup>
        </m:sSup>
      </m:oMath>
      <w:r>
        <w:rPr>
          <w:bCs/>
          <w:b/>
        </w:rPr>
        <w:t xml:space="preserve">) that captures how strongly perception is driven by the available sensory information, and a hazard rate parameter</w:t>
      </w:r>
      <w:r>
        <w:rPr>
          <w:bCs/>
          <w:b/>
        </w:rPr>
        <w:t xml:space="preserve"> </w:t>
      </w:r>
      <m:oMath>
        <m:r>
          <m:t>H</m:t>
        </m:r>
      </m:oMath>
      <w:r>
        <w:rPr>
          <w:bCs/>
          <w:b/>
        </w:rPr>
        <w:t xml:space="preserve"> </w:t>
      </w:r>
      <w:r>
        <w:rPr>
          <w:bCs/>
          <w:b/>
        </w:rPr>
        <w:t xml:space="preserve">(humans:</w:t>
      </w:r>
      <w:r>
        <w:rPr>
          <w:bCs/>
          <w:b/>
        </w:rPr>
        <w:t xml:space="preserve"> </w:t>
      </w:r>
      <m:oMath>
        <m:r>
          <m:t>H</m:t>
        </m:r>
      </m:oMath>
      <w:r>
        <w:rPr>
          <w:bCs/>
          <w:b/>
        </w:rPr>
        <w:t xml:space="preserve"> </w:t>
      </w:r>
      <w:r>
        <w:rPr>
          <w:bCs/>
          <w:b/>
        </w:rPr>
        <w:t xml:space="preserve">=</w:t>
      </w:r>
      <w:r>
        <w:rPr>
          <w:bCs/>
          <w:b/>
        </w:rPr>
        <w:t xml:space="preserve"> </w:t>
      </w:r>
      <m:oMath>
        <m:r>
          <m:t>0.45</m:t>
        </m:r>
      </m:oMath>
      <w:r>
        <w:rPr>
          <w:bCs/>
          <w:b/>
        </w:rPr>
        <w:t xml:space="preserve"> </w:t>
      </w:r>
      <w:r>
        <w:rPr>
          <w:bCs/>
          <w:b/>
        </w:rPr>
        <w:t xml:space="preserve">±</w:t>
      </w:r>
      <w:r>
        <w:rPr>
          <w:bCs/>
          <w:b/>
        </w:rPr>
        <w:t xml:space="preserve"> </w:t>
      </w:r>
      <m:oMath>
        <m:r>
          <m:t>4.8</m:t>
        </m:r>
        <m:r>
          <m:rPr>
            <m:sty m:val="p"/>
          </m:rPr>
          <m:t>×</m:t>
        </m:r>
        <m:sSup>
          <m:e>
            <m:r>
              <m:t>10</m:t>
            </m:r>
          </m:e>
          <m:sup>
            <m:r>
              <m:rPr>
                <m:sty m:val="p"/>
              </m:rPr>
              <m:t>−</m:t>
            </m:r>
            <m:r>
              <m:t>5</m:t>
            </m:r>
          </m:sup>
        </m:sSup>
      </m:oMath>
      <w:r>
        <w:rPr>
          <w:bCs/>
          <w:b/>
        </w:rPr>
        <w:t xml:space="preserve">; mice:</w:t>
      </w:r>
      <w:r>
        <w:rPr>
          <w:bCs/>
          <w:b/>
        </w:rPr>
        <w:t xml:space="preserve"> </w:t>
      </w:r>
      <m:oMath>
        <m:r>
          <m:t>H</m:t>
        </m:r>
      </m:oMath>
      <w:r>
        <w:rPr>
          <w:bCs/>
          <w:b/>
        </w:rPr>
        <w:t xml:space="preserve"> </w:t>
      </w:r>
      <w:r>
        <w:rPr>
          <w:bCs/>
          <w:b/>
        </w:rPr>
        <w:t xml:space="preserve">=</w:t>
      </w:r>
      <w:r>
        <w:rPr>
          <w:bCs/>
          <w:b/>
        </w:rPr>
        <w:t xml:space="preserve"> </w:t>
      </w:r>
      <m:oMath>
        <m:r>
          <m:t>0.46</m:t>
        </m:r>
      </m:oMath>
      <w:r>
        <w:rPr>
          <w:bCs/>
          <w:b/>
        </w:rPr>
        <w:t xml:space="preserve"> </w:t>
      </w:r>
      <w:r>
        <w:rPr>
          <w:bCs/>
          <w:b/>
        </w:rPr>
        <w:t xml:space="preserve">±</w:t>
      </w:r>
      <w:r>
        <w:rPr>
          <w:bCs/>
          <w:b/>
        </w:rPr>
        <w:t xml:space="preserve"> </w:t>
      </w:r>
      <m:oMath>
        <m:r>
          <m:t>2.97</m:t>
        </m:r>
        <m:r>
          <m:rPr>
            <m:sty m:val="p"/>
          </m:rPr>
          <m:t>×</m:t>
        </m:r>
        <m:sSup>
          <m:e>
            <m:r>
              <m:t>10</m:t>
            </m:r>
          </m:e>
          <m:sup>
            <m:r>
              <m:rPr>
                <m:sty m:val="p"/>
              </m:rPr>
              <m:t>−</m:t>
            </m:r>
            <m:r>
              <m:t>4</m:t>
            </m:r>
          </m:sup>
        </m:sSup>
      </m:oMath>
      <w:r>
        <w:rPr>
          <w:bCs/>
          <w:b/>
        </w:rPr>
        <w:t xml:space="preserve">) that controls how heavily perception is biased by perceptual history. The parameter</w:t>
      </w:r>
      <w:r>
        <w:rPr>
          <w:bCs/>
          <w:b/>
        </w:rPr>
        <w:t xml:space="preserve"> </w:t>
      </w:r>
      <m:oMath>
        <m:r>
          <m:t>f</m:t>
        </m:r>
      </m:oMath>
      <w:r>
        <w:rPr>
          <w:bCs/>
          <w:b/>
        </w:rPr>
        <w:t xml:space="preserve"> </w:t>
      </w:r>
      <w:r>
        <w:rPr>
          <w:bCs/>
          <w:b/>
        </w:rPr>
        <w:t xml:space="preserve">captures the dominant time scale at which likelihood (amplitude humans:</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2.02</m:t>
        </m:r>
        <m:r>
          <m:rPr>
            <m:sty m:val="p"/>
          </m:rPr>
          <m:t>×</m:t>
        </m:r>
        <m:sSup>
          <m:e>
            <m:r>
              <m:t>10</m:t>
            </m:r>
          </m:e>
          <m:sup>
            <m:r>
              <m:rPr>
                <m:sty m:val="p"/>
              </m:rPr>
              <m:t>−</m:t>
            </m:r>
            <m:r>
              <m:t>4</m:t>
            </m:r>
          </m:sup>
        </m:sSup>
      </m:oMath>
      <w:r>
        <w:rPr>
          <w:bCs/>
          <w:b/>
        </w:rPr>
        <w:t xml:space="preserve">; mice:</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0.39</m:t>
        </m:r>
      </m:oMath>
      <w:r>
        <w:rPr>
          <w:bCs/>
          <w:b/>
        </w:rPr>
        <w:t xml:space="preserve"> </w:t>
      </w:r>
      <w:r>
        <w:rPr>
          <w:bCs/>
          <w:b/>
        </w:rPr>
        <w:t xml:space="preserve">±</w:t>
      </w:r>
      <w:r>
        <w:rPr>
          <w:bCs/>
          <w:b/>
        </w:rPr>
        <w:t xml:space="preserve"> </w:t>
      </w:r>
      <m:oMath>
        <m:r>
          <m:t>1.08</m:t>
        </m:r>
        <m:r>
          <m:rPr>
            <m:sty m:val="p"/>
          </m:rPr>
          <m:t>×</m:t>
        </m:r>
        <m:sSup>
          <m:e>
            <m:r>
              <m:t>10</m:t>
            </m:r>
          </m:e>
          <m:sup>
            <m:r>
              <m:rPr>
                <m:sty m:val="p"/>
              </m:rPr>
              <m:t>−</m:t>
            </m:r>
            <m:r>
              <m:t>3</m:t>
            </m:r>
          </m:sup>
        </m:sSup>
      </m:oMath>
      <w:r>
        <w:rPr>
          <w:bCs/>
          <w:b/>
        </w:rPr>
        <w:t xml:space="preserve">) and prior precision (amplitude humans:</w:t>
      </w:r>
      <w:r>
        <w:rPr>
          <w:bCs/>
          <w:b/>
        </w:rPr>
        <w:t xml:space="preserve"> </w:t>
      </w:r>
      <m:oMath>
        <m:sSub>
          <m:e>
            <m:r>
              <m:t>a</m:t>
            </m:r>
          </m:e>
          <m:sub>
            <m:r>
              <m:t>ψ</m:t>
            </m:r>
          </m:sub>
        </m:sSub>
      </m:oMath>
      <w:r>
        <w:rPr>
          <w:bCs/>
          <w:b/>
        </w:rPr>
        <w:t xml:space="preserve"> </w:t>
      </w:r>
      <w:r>
        <w:rPr>
          <w:bCs/>
          <w:b/>
        </w:rPr>
        <w:t xml:space="preserve">=</w:t>
      </w:r>
      <w:r>
        <w:rPr>
          <w:bCs/>
          <w:b/>
        </w:rPr>
        <w:t xml:space="preserve"> </w:t>
      </w:r>
      <m:oMath>
        <m:r>
          <m:t>1.44</m:t>
        </m:r>
      </m:oMath>
      <w:r>
        <w:rPr>
          <w:bCs/>
          <w:b/>
        </w:rPr>
        <w:t xml:space="preserve"> </w:t>
      </w:r>
      <w:r>
        <w:rPr>
          <w:bCs/>
          <w:b/>
        </w:rPr>
        <w:t xml:space="preserve">±</w:t>
      </w:r>
      <w:r>
        <w:rPr>
          <w:bCs/>
          <w:b/>
        </w:rPr>
        <w:t xml:space="preserve"> </w:t>
      </w:r>
      <m:oMath>
        <m:r>
          <m:t>5.27</m:t>
        </m:r>
        <m:r>
          <m:rPr>
            <m:sty m:val="p"/>
          </m:rPr>
          <m:t>×</m:t>
        </m:r>
        <m:sSup>
          <m:e>
            <m:r>
              <m:t>10</m:t>
            </m:r>
          </m:e>
          <m:sup>
            <m:r>
              <m:rPr>
                <m:sty m:val="p"/>
              </m:rPr>
              <m:t>−</m:t>
            </m:r>
            <m:r>
              <m:t>4</m:t>
            </m:r>
          </m:sup>
        </m:sSup>
      </m:oMath>
      <w:r>
        <w:rPr>
          <w:bCs/>
          <w:b/>
        </w:rPr>
        <w:t xml:space="preserve">; mice:</w:t>
      </w:r>
      <w:r>
        <w:rPr>
          <w:bCs/>
          <w:b/>
        </w:rPr>
        <w:t xml:space="preserve"> </w:t>
      </w:r>
      <m:oMath>
        <m:sSub>
          <m:e>
            <m:r>
              <m:t>a</m:t>
            </m:r>
          </m:e>
          <m:sub>
            <m:r>
              <m:t>ψ</m:t>
            </m:r>
          </m:sub>
        </m:sSub>
      </m:oMath>
      <w:r>
        <w:rPr>
          <w:bCs/>
          <w:b/>
        </w:rPr>
        <w:t xml:space="preserve"> </w:t>
      </w:r>
      <w:r>
        <w:rPr>
          <w:bCs/>
          <w:b/>
        </w:rPr>
        <w:t xml:space="preserve">=</w:t>
      </w:r>
      <w:r>
        <w:rPr>
          <w:bCs/>
          <w:b/>
        </w:rPr>
        <w:t xml:space="preserve"> </w:t>
      </w:r>
      <m:oMath>
        <m:r>
          <m:t>1.71</m:t>
        </m:r>
      </m:oMath>
      <w:r>
        <w:rPr>
          <w:bCs/>
          <w:b/>
        </w:rPr>
        <w:t xml:space="preserve"> </w:t>
      </w:r>
      <w:r>
        <w:rPr>
          <w:bCs/>
          <w:b/>
        </w:rPr>
        <w:t xml:space="preserve">±</w:t>
      </w:r>
      <w:r>
        <w:rPr>
          <w:bCs/>
          <w:b/>
        </w:rPr>
        <w:t xml:space="preserve"> </w:t>
      </w:r>
      <m:oMath>
        <m:r>
          <m:t>7.15</m:t>
        </m:r>
        <m:r>
          <m:rPr>
            <m:sty m:val="p"/>
          </m:rPr>
          <m:t>×</m:t>
        </m:r>
        <m:sSup>
          <m:e>
            <m:r>
              <m:t>10</m:t>
            </m:r>
          </m:e>
          <m:sup>
            <m:r>
              <m:rPr>
                <m:sty m:val="p"/>
              </m:rPr>
              <m:t>−</m:t>
            </m:r>
            <m:r>
              <m:t>3</m:t>
            </m:r>
          </m:sup>
        </m:sSup>
      </m:oMath>
      <w:r>
        <w:rPr>
          <w:bCs/>
          <w:b/>
        </w:rPr>
        <w:t xml:space="preserve">) fluctuated and was estimated at</w:t>
      </w:r>
      <w:r>
        <w:rPr>
          <w:bCs/>
          <w:b/>
        </w:rPr>
        <w:t xml:space="preserve"> </w:t>
      </w:r>
      <m:oMath>
        <m:r>
          <m:t>0.11</m:t>
        </m:r>
      </m:oMath>
      <w:r>
        <w:rPr>
          <w:bCs/>
          <w:b/>
        </w:rPr>
        <w:t xml:space="preserve"> </w:t>
      </w:r>
      <w:r>
        <w:rPr>
          <w:bCs/>
          <w:b/>
        </w:rPr>
        <w:t xml:space="preserve">±</w:t>
      </w:r>
      <w:r>
        <w:rPr>
          <w:bCs/>
          <w:b/>
        </w:rPr>
        <w:t xml:space="preserve"> </w:t>
      </w:r>
      <m:oMath>
        <m:r>
          <m:t>1.68</m:t>
        </m:r>
        <m:r>
          <m:rPr>
            <m:sty m:val="p"/>
          </m:rPr>
          <m:t>×</m:t>
        </m:r>
        <m:sSup>
          <m:e>
            <m:r>
              <m:t>10</m:t>
            </m:r>
          </m:e>
          <m:sup>
            <m:r>
              <m:rPr>
                <m:sty m:val="p"/>
              </m:rPr>
              <m:t>−</m:t>
            </m:r>
            <m:r>
              <m:t>5</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and</w:t>
      </w:r>
      <w:r>
        <w:rPr>
          <w:bCs/>
          <w:b/>
        </w:rPr>
        <w:t xml:space="preserve"> </w:t>
      </w:r>
      <m:oMath>
        <m:r>
          <m:t>0.11</m:t>
        </m:r>
      </m:oMath>
      <w:r>
        <w:rPr>
          <w:bCs/>
          <w:b/>
        </w:rPr>
        <w:t xml:space="preserve"> </w:t>
      </w:r>
      <w:r>
        <w:rPr>
          <w:bCs/>
          <w:b/>
        </w:rPr>
        <w:t xml:space="preserve">±</w:t>
      </w:r>
      <w:r>
        <w:rPr>
          <w:bCs/>
          <w:b/>
        </w:rPr>
        <w:t xml:space="preserve"> </w:t>
      </w:r>
      <m:oMath>
        <m:r>
          <m:t>1.63</m:t>
        </m:r>
        <m:r>
          <m:rPr>
            <m:sty m:val="p"/>
          </m:rPr>
          <m:t>×</m:t>
        </m:r>
        <m:sSup>
          <m:e>
            <m:r>
              <m:t>10</m:t>
            </m:r>
          </m:e>
          <m:sup>
            <m:r>
              <m:rPr>
                <m:sty m:val="p"/>
              </m:rPr>
              <m:t>−</m:t>
            </m:r>
            <m:r>
              <m:t>4</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in mice.</w:t>
      </w:r>
    </w:p>
    <w:p>
      <w:pPr>
        <w:pStyle w:val="BodyText"/>
      </w:pPr>
      <w:r>
        <w:t xml:space="preserve">As a sanity check for model fit, we tested whether the frequency of stimulus- and history-congruent trials in the Confidence database</w:t>
      </w:r>
      <w:r>
        <w:rPr>
          <w:vertAlign w:val="superscript"/>
        </w:rPr>
        <w:t xml:space="preserve">20</w:t>
      </w:r>
      <w:r>
        <w:t xml:space="preserve"> </w:t>
      </w:r>
      <w:r>
        <w:t xml:space="preserve">and IBL database</w:t>
      </w:r>
      <w:r>
        <w:rPr>
          <w:vertAlign w:val="superscript"/>
        </w:rPr>
        <w:t xml:space="preserve">21</w:t>
      </w:r>
      <w:r>
        <w:t xml:space="preserve"> </w:t>
      </w:r>
      <w:r>
        <w:t xml:space="preserve">correlated with the estimated parameters</w:t>
      </w:r>
      <w:r>
        <w:t xml:space="preserve"> </w:t>
      </w:r>
      <m:oMath>
        <m:r>
          <m:t>α</m:t>
        </m:r>
      </m:oMath>
      <w:r>
        <w:t xml:space="preserve"> </w:t>
      </w:r>
      <w:r>
        <w:t xml:space="preserve">and</w:t>
      </w:r>
      <w:r>
        <w:t xml:space="preserve"> </w:t>
      </w:r>
      <m:oMath>
        <m:r>
          <m:t>H</m:t>
        </m:r>
      </m:oMath>
      <w:r>
        <w:t xml:space="preserve">, respectively. As expected, the estimated sensitivity toward stimulus information</w:t>
      </w:r>
      <w:r>
        <w:t xml:space="preserve"> </w:t>
      </w:r>
      <m:oMath>
        <m:r>
          <m:t>α</m:t>
        </m:r>
      </m:oMath>
      <w:r>
        <w:t xml:space="preserve"> </w:t>
      </w:r>
      <w:r>
        <w:t xml:space="preserve">was positively correlated with the frequency of stimulus-congruent perceptual choices (humans:</w:t>
      </w:r>
      <w:r>
        <w:t xml:space="preserve"> </w:t>
      </w:r>
      <m:oMath>
        <m:r>
          <m:t>β</m:t>
        </m:r>
      </m:oMath>
      <w:r>
        <w:t xml:space="preserve"> </w:t>
      </w:r>
      <w:r>
        <w:t xml:space="preserve">=</w:t>
      </w:r>
      <w:r>
        <w:t xml:space="preserve"> </w:t>
      </w:r>
      <m:oMath>
        <m:r>
          <m:t>8.4</m:t>
        </m:r>
      </m:oMath>
      <w:r>
        <w:t xml:space="preserve"> </w:t>
      </w:r>
      <w:r>
        <w:t xml:space="preserve">±</w:t>
      </w:r>
      <w:r>
        <w:t xml:space="preserve"> </w:t>
      </w:r>
      <m:oMath>
        <m:r>
          <m:t>0.26</m:t>
        </m:r>
      </m:oMath>
      <w:r>
        <w:t xml:space="preserve">, T(</w:t>
      </w:r>
      <m:oMath>
        <m:r>
          <m:t>4.31</m:t>
        </m:r>
        <m:r>
          <m:rPr>
            <m:sty m:val="p"/>
          </m:rPr>
          <m:t>×</m:t>
        </m:r>
        <m:sSup>
          <m:e>
            <m:r>
              <m:t>10</m:t>
            </m:r>
          </m:e>
          <m:sup>
            <m:r>
              <m:t>3</m:t>
            </m:r>
          </m:sup>
        </m:sSup>
      </m:oMath>
      <w:r>
        <w:t xml:space="preserve">) =</w:t>
      </w:r>
      <w:r>
        <w:t xml:space="preserve"> </w:t>
      </w:r>
      <m:oMath>
        <m:r>
          <m:t>32.87</m:t>
        </m:r>
      </m:oMath>
      <w:r>
        <w:t xml:space="preserve">, p =</w:t>
      </w:r>
      <w:r>
        <w:t xml:space="preserve"> </w:t>
      </w:r>
      <m:oMath>
        <m:r>
          <m:t>1.3</m:t>
        </m:r>
        <m:r>
          <m:rPr>
            <m:sty m:val="p"/>
          </m:rPr>
          <m:t>×</m:t>
        </m:r>
        <m:sSup>
          <m:e>
            <m:r>
              <m:t>10</m:t>
            </m:r>
          </m:e>
          <m:sup>
            <m:r>
              <m:rPr>
                <m:sty m:val="p"/>
              </m:rPr>
              <m:t>−</m:t>
            </m:r>
            <m:r>
              <m:t>211</m:t>
            </m:r>
          </m:sup>
        </m:sSup>
      </m:oMath>
      <w:r>
        <w:t xml:space="preserve">; mice:</w:t>
      </w:r>
      <w:r>
        <w:t xml:space="preserve"> </w:t>
      </w:r>
      <m:oMath>
        <m:r>
          <m:t>β</m:t>
        </m:r>
      </m:oMath>
      <w:r>
        <w:t xml:space="preserve"> </w:t>
      </w:r>
      <w:r>
        <w:t xml:space="preserve">=</w:t>
      </w:r>
      <w:r>
        <w:t xml:space="preserve"> </w:t>
      </w:r>
      <m:oMath>
        <m:r>
          <m:t>1.93</m:t>
        </m:r>
      </m:oMath>
      <w:r>
        <w:t xml:space="preserve"> </w:t>
      </w:r>
      <w:r>
        <w:t xml:space="preserve">±</w:t>
      </w:r>
      <w:r>
        <w:t xml:space="preserve"> </w:t>
      </w:r>
      <m:oMath>
        <m:r>
          <m:t>0.12</m:t>
        </m:r>
      </m:oMath>
      <w:r>
        <w:t xml:space="preserve">, T(</w:t>
      </w:r>
      <m:oMath>
        <m:r>
          <m:t>2.07</m:t>
        </m:r>
        <m:r>
          <m:rPr>
            <m:sty m:val="p"/>
          </m:rPr>
          <m:t>×</m:t>
        </m:r>
        <m:sSup>
          <m:e>
            <m:r>
              <m:t>10</m:t>
            </m:r>
          </m:e>
          <m:sup>
            <m:r>
              <m:t>3</m:t>
            </m:r>
          </m:sup>
        </m:sSup>
      </m:oMath>
      <w:r>
        <w:t xml:space="preserve">) =</w:t>
      </w:r>
      <w:r>
        <w:t xml:space="preserve"> </w:t>
      </w:r>
      <m:oMath>
        <m:r>
          <m:t>16.21</m:t>
        </m:r>
      </m:oMath>
      <w:r>
        <w:t xml:space="preserve">, p =</w:t>
      </w:r>
      <w:r>
        <w:t xml:space="preserve"> </w:t>
      </w:r>
      <m:oMath>
        <m:r>
          <m:t>9.37</m:t>
        </m:r>
        <m:r>
          <m:rPr>
            <m:sty m:val="p"/>
          </m:rPr>
          <m:t>×</m:t>
        </m:r>
        <m:sSup>
          <m:e>
            <m:r>
              <m:t>10</m:t>
            </m:r>
          </m:e>
          <m:sup>
            <m:r>
              <m:rPr>
                <m:sty m:val="p"/>
              </m:rPr>
              <m:t>−</m:t>
            </m:r>
            <m:r>
              <m:t>56</m:t>
            </m:r>
          </m:sup>
        </m:sSup>
      </m:oMath>
      <w:r>
        <w:t xml:space="preserve">). Likewise,</w:t>
      </w:r>
      <w:r>
        <w:t xml:space="preserve"> </w:t>
      </w:r>
      <m:oMath>
        <m:r>
          <m:t>H</m:t>
        </m:r>
      </m:oMath>
      <w:r>
        <w:t xml:space="preserve"> </w:t>
      </w:r>
      <w:r>
        <w:t xml:space="preserve">was negatively correlated with the frequency of history-congruent perceptual choices (humans:</w:t>
      </w:r>
      <w:r>
        <w:t xml:space="preserve"> </w:t>
      </w:r>
      <m:oMath>
        <m:r>
          <m:t>β</m:t>
        </m:r>
      </m:oMath>
      <w:r>
        <w:t xml:space="preserve"> </w:t>
      </w:r>
      <w:r>
        <w:t xml:space="preserve">=</w:t>
      </w:r>
      <w:r>
        <w:t xml:space="preserve"> </w:t>
      </w:r>
      <m:oMath>
        <m:r>
          <m:rPr>
            <m:sty m:val="p"/>
          </m:rPr>
          <m:t>−</m:t>
        </m:r>
        <m:r>
          <m:t>11.84</m:t>
        </m:r>
      </m:oMath>
      <w:r>
        <w:t xml:space="preserve"> </w:t>
      </w:r>
      <w:r>
        <w:t xml:space="preserve">±</w:t>
      </w:r>
      <w:r>
        <w:t xml:space="preserve"> </w:t>
      </w:r>
      <m:oMath>
        <m:r>
          <m:t>0.5</m:t>
        </m:r>
      </m:oMath>
      <w:r>
        <w:t xml:space="preserve">, T(</w:t>
      </w:r>
      <m:oMath>
        <m:r>
          <m:t>4.29</m:t>
        </m:r>
        <m:r>
          <m:rPr>
            <m:sty m:val="p"/>
          </m:rPr>
          <m:t>×</m:t>
        </m:r>
        <m:sSup>
          <m:e>
            <m:r>
              <m:t>10</m:t>
            </m:r>
          </m:e>
          <m:sup>
            <m:r>
              <m:t>3</m:t>
            </m:r>
          </m:sup>
        </m:sSup>
      </m:oMath>
      <w:r>
        <w:t xml:space="preserve">) =</w:t>
      </w:r>
      <w:r>
        <w:t xml:space="preserve"> </w:t>
      </w:r>
      <m:oMath>
        <m:r>
          <m:rPr>
            <m:sty m:val="p"/>
          </m:rPr>
          <m:t>−</m:t>
        </m:r>
        <m:r>
          <m:t>23.5</m:t>
        </m:r>
      </m:oMath>
      <w:r>
        <w:t xml:space="preserve">, p =</w:t>
      </w:r>
      <w:r>
        <w:t xml:space="preserve"> </w:t>
      </w:r>
      <m:oMath>
        <m:r>
          <m:t>5.16</m:t>
        </m:r>
        <m:r>
          <m:rPr>
            <m:sty m:val="p"/>
          </m:rPr>
          <m:t>×</m:t>
        </m:r>
        <m:sSup>
          <m:e>
            <m:r>
              <m:t>10</m:t>
            </m:r>
          </m:e>
          <m:sup>
            <m:r>
              <m:rPr>
                <m:sty m:val="p"/>
              </m:rPr>
              <m:t>−</m:t>
            </m:r>
            <m:r>
              <m:t>115</m:t>
            </m:r>
          </m:sup>
        </m:sSup>
      </m:oMath>
      <w:r>
        <w:t xml:space="preserve">; mice:</w:t>
      </w:r>
      <w:r>
        <w:t xml:space="preserve"> </w:t>
      </w:r>
      <m:oMath>
        <m:r>
          <m:t>β</m:t>
        </m:r>
      </m:oMath>
      <w:r>
        <w:t xml:space="preserve"> </w:t>
      </w:r>
      <w:r>
        <w:t xml:space="preserve">=</w:t>
      </w:r>
      <w:r>
        <w:t xml:space="preserve"> </w:t>
      </w:r>
      <m:oMath>
        <m:r>
          <m:rPr>
            <m:sty m:val="p"/>
          </m:rPr>
          <m:t>−</m:t>
        </m:r>
        <m:r>
          <m:t>6.18</m:t>
        </m:r>
      </m:oMath>
      <w:r>
        <w:t xml:space="preserve"> </w:t>
      </w:r>
      <w:r>
        <w:t xml:space="preserve">±</w:t>
      </w:r>
      <w:r>
        <w:t xml:space="preserve"> </w:t>
      </w:r>
      <m:oMath>
        <m:r>
          <m:t>0.66</m:t>
        </m:r>
      </m:oMath>
      <w:r>
        <w:t xml:space="preserve">, T(</w:t>
      </w:r>
      <m:oMath>
        <m:r>
          <m:t>2.08</m:t>
        </m:r>
        <m:r>
          <m:rPr>
            <m:sty m:val="p"/>
          </m:rPr>
          <m:t>×</m:t>
        </m:r>
        <m:sSup>
          <m:e>
            <m:r>
              <m:t>10</m:t>
            </m:r>
          </m:e>
          <m:sup>
            <m:r>
              <m:t>3</m:t>
            </m:r>
          </m:sup>
        </m:sSup>
      </m:oMath>
      <w:r>
        <w:t xml:space="preserve">) =</w:t>
      </w:r>
      <w:r>
        <w:t xml:space="preserve"> </w:t>
      </w:r>
      <m:oMath>
        <m:r>
          <m:rPr>
            <m:sty m:val="p"/>
          </m:rPr>
          <m:t>−</m:t>
        </m:r>
        <m:r>
          <m:t>9.37</m:t>
        </m:r>
      </m:oMath>
      <w:r>
        <w:t xml:space="preserve">, p =</w:t>
      </w:r>
      <w:r>
        <w:t xml:space="preserve"> </w:t>
      </w:r>
      <m:oMath>
        <m:r>
          <m:t>1.85</m:t>
        </m:r>
        <m:r>
          <m:rPr>
            <m:sty m:val="p"/>
          </m:rPr>
          <m:t>×</m:t>
        </m:r>
        <m:sSup>
          <m:e>
            <m:r>
              <m:t>10</m:t>
            </m:r>
          </m:e>
          <m:sup>
            <m:r>
              <m:rPr>
                <m:sty m:val="p"/>
              </m:rPr>
              <m:t>−</m:t>
            </m:r>
            <m:r>
              <m:t>20</m:t>
            </m:r>
          </m:sup>
        </m:sSup>
      </m:oMath>
      <w:r>
        <w:t xml:space="preserve">).</w:t>
      </w:r>
    </w:p>
    <w:p>
      <w:pPr>
        <w:pStyle w:val="BodyText"/>
      </w:pPr>
      <w:r>
        <w:t xml:space="preserve">Our behavioral analyses reveal that humans and mice show significant effects of perceptual history that impaired performance in randomized psychophysical experiments</w:t>
      </w:r>
      <w:r>
        <w:rPr>
          <w:vertAlign w:val="superscript"/>
        </w:rPr>
        <w:t xml:space="preserve">24,28,30,31,43</w:t>
      </w:r>
      <w:r>
        <w:t xml:space="preserve"> </w:t>
      </w:r>
      <w:r>
        <w:t xml:space="preserve">(Figure 2A and 3A). We therefore expected that humans and mice underestimated the true hazard rate</w:t>
      </w:r>
      <w:r>
        <w:t xml:space="preserve"> </w:t>
      </w:r>
      <m:oMath>
        <m:acc>
          <m:accPr>
            <m:chr m:val="̂"/>
          </m:accPr>
          <m:e>
            <m:r>
              <m:t>H</m:t>
            </m:r>
          </m:e>
        </m:acc>
      </m:oMath>
      <w:r>
        <w:t xml:space="preserve"> </w:t>
      </w:r>
      <w:r>
        <w:t xml:space="preserve">of the experimental environments (Confidence database</w:t>
      </w:r>
      <w:r>
        <w:rPr>
          <w:vertAlign w:val="superscript"/>
        </w:rPr>
        <w:t xml:space="preserve">20</w:t>
      </w:r>
      <w:r>
        <w:t xml:space="preserve">:</w:t>
      </w:r>
      <w:r>
        <w:t xml:space="preserve"> </w:t>
      </w:r>
      <m:oMath>
        <m:sSub>
          <m:e>
            <m:acc>
              <m:accPr>
                <m:chr m:val="̂"/>
              </m:accPr>
              <m:e>
                <m:r>
                  <m:t>H</m:t>
                </m:r>
              </m:e>
            </m:acc>
          </m:e>
          <m:sub>
            <m:r>
              <m:t>H</m:t>
            </m:r>
            <m:r>
              <m:t>u</m:t>
            </m:r>
            <m:r>
              <m:t>m</m:t>
            </m:r>
            <m:r>
              <m:t>a</m:t>
            </m:r>
            <m:r>
              <m:t>n</m:t>
            </m:r>
            <m:r>
              <m:t>s</m:t>
            </m:r>
          </m:sub>
        </m:sSub>
      </m:oMath>
      <w:r>
        <w:t xml:space="preserve"> </w:t>
      </w:r>
      <w:r>
        <w:t xml:space="preserve">=</w:t>
      </w:r>
      <w:r>
        <w:t xml:space="preserve"> </w:t>
      </w:r>
      <m:oMath>
        <m:r>
          <m:t>0.5</m:t>
        </m:r>
      </m:oMath>
      <w:r>
        <w:t xml:space="preserve"> </w:t>
      </w:r>
      <w:r>
        <w:t xml:space="preserve">±</w:t>
      </w:r>
      <w:r>
        <w:t xml:space="preserve"> </w:t>
      </w:r>
      <m:oMath>
        <m:r>
          <m:t>1.58</m:t>
        </m:r>
        <m:r>
          <m:rPr>
            <m:sty m:val="p"/>
          </m:rPr>
          <m:t>×</m:t>
        </m:r>
        <m:sSup>
          <m:e>
            <m:r>
              <m:t>10</m:t>
            </m:r>
          </m:e>
          <m:sup>
            <m:r>
              <m:rPr>
                <m:sty m:val="p"/>
              </m:rPr>
              <m:t>−</m:t>
            </m:r>
            <m:r>
              <m:t>5</m:t>
            </m:r>
          </m:sup>
        </m:sSup>
      </m:oMath>
      <w:r>
        <w:t xml:space="preserve">); IBL database</w:t>
      </w:r>
      <w:r>
        <w:rPr>
          <w:vertAlign w:val="superscript"/>
        </w:rPr>
        <w:t xml:space="preserve">21</w:t>
      </w:r>
      <w:r>
        <w:t xml:space="preserve">:</w:t>
      </w:r>
      <w:r>
        <w:t xml:space="preserve"> </w:t>
      </w:r>
      <m:oMath>
        <m:sSub>
          <m:e>
            <m:acc>
              <m:accPr>
                <m:chr m:val="̂"/>
              </m:accPr>
              <m:e>
                <m:r>
                  <m:t>H</m:t>
                </m:r>
              </m:e>
            </m:acc>
          </m:e>
          <m:sub>
            <m:r>
              <m:t>M</m:t>
            </m:r>
            <m:r>
              <m:t>i</m:t>
            </m:r>
            <m:r>
              <m:t>c</m:t>
            </m:r>
            <m:r>
              <m:t>e</m:t>
            </m:r>
          </m:sub>
        </m:sSub>
      </m:oMath>
      <w:r>
        <w:t xml:space="preserve"> </w:t>
      </w:r>
      <w:r>
        <w:t xml:space="preserve">=</w:t>
      </w:r>
      <w:r>
        <w:t xml:space="preserve"> </w:t>
      </w:r>
      <m:oMath>
        <m:r>
          <m:t>0.49</m:t>
        </m:r>
      </m:oMath>
      <w:r>
        <w:t xml:space="preserve"> </w:t>
      </w:r>
      <w:r>
        <w:t xml:space="preserve">±</w:t>
      </w:r>
      <w:r>
        <w:t xml:space="preserve"> </w:t>
      </w:r>
      <m:oMath>
        <m:r>
          <m:t>6.47</m:t>
        </m:r>
        <m:r>
          <m:rPr>
            <m:sty m:val="p"/>
          </m:rPr>
          <m:t>×</m:t>
        </m:r>
        <m:sSup>
          <m:e>
            <m:r>
              <m:t>10</m:t>
            </m:r>
          </m:e>
          <m:sup>
            <m:r>
              <m:rPr>
                <m:sty m:val="p"/>
              </m:rPr>
              <m:t>−</m:t>
            </m:r>
            <m:r>
              <m:t>5</m:t>
            </m:r>
          </m:sup>
        </m:sSup>
      </m:oMath>
      <w:r>
        <w:t xml:space="preserve">). Indeed, when fitting the bimodal inference model to the trial-wise perceptual choices, we found that the estimated (i.e., subjective) hazard rate</w:t>
      </w:r>
      <w:r>
        <w:t xml:space="preserve"> </w:t>
      </w:r>
      <m:oMath>
        <m:r>
          <m:t>H</m:t>
        </m:r>
      </m:oMath>
      <w:r>
        <w:t xml:space="preserve"> </w:t>
      </w:r>
      <w:r>
        <w:t xml:space="preserve">was lower than</w:t>
      </w:r>
      <w:r>
        <w:t xml:space="preserve"> </w:t>
      </w:r>
      <m:oMath>
        <m:acc>
          <m:accPr>
            <m:chr m:val="̂"/>
          </m:accPr>
          <m:e>
            <m:r>
              <m:t>H</m:t>
            </m:r>
          </m:e>
        </m:acc>
      </m:oMath>
      <w:r>
        <w:t xml:space="preserve"> </w:t>
      </w:r>
      <w:r>
        <w:t xml:space="preserve">for both humans (</w:t>
      </w:r>
      <m:oMath>
        <m:r>
          <m:t>β</m:t>
        </m:r>
      </m:oMath>
      <w:r>
        <w:t xml:space="preserve"> </w:t>
      </w:r>
      <w:r>
        <w:t xml:space="preserve">=</w:t>
      </w:r>
      <w:r>
        <w:t xml:space="preserve"> </w:t>
      </w:r>
      <m:oMath>
        <m:r>
          <m:rPr>
            <m:sty m:val="p"/>
          </m:rPr>
          <m:t>−</m:t>
        </m:r>
        <m:r>
          <m:t>6.87</m:t>
        </m:r>
      </m:oMath>
      <w:r>
        <w:t xml:space="preserve"> </w:t>
      </w:r>
      <w:r>
        <w:t xml:space="preserve">±</w:t>
      </w:r>
      <w:r>
        <w:t xml:space="preserve"> </w:t>
      </w:r>
      <m:oMath>
        <m:r>
          <m:t>0.94</m:t>
        </m:r>
      </m:oMath>
      <w:r>
        <w:t xml:space="preserve">, T(</w:t>
      </w:r>
      <m:oMath>
        <m:r>
          <m:t>61.87</m:t>
        </m:r>
      </m:oMath>
      <w:r>
        <w:t xml:space="preserve">) =</w:t>
      </w:r>
      <w:r>
        <w:t xml:space="preserve"> </w:t>
      </w:r>
      <m:oMath>
        <m:r>
          <m:rPr>
            <m:sty m:val="p"/>
          </m:rPr>
          <m:t>−</m:t>
        </m:r>
        <m:r>
          <m:t>7.33</m:t>
        </m:r>
      </m:oMath>
      <w:r>
        <w:t xml:space="preserve">, p =</w:t>
      </w:r>
      <w:r>
        <w:t xml:space="preserve"> </w:t>
      </w:r>
      <m:oMath>
        <m:r>
          <m:t>5.76</m:t>
        </m:r>
        <m:r>
          <m:rPr>
            <m:sty m:val="p"/>
          </m:rPr>
          <m:t>×</m:t>
        </m:r>
        <m:sSup>
          <m:e>
            <m:r>
              <m:t>10</m:t>
            </m:r>
          </m:e>
          <m:sup>
            <m:r>
              <m:rPr>
                <m:sty m:val="p"/>
              </m:rPr>
              <m:t>−</m:t>
            </m:r>
            <m:r>
              <m:t>10</m:t>
            </m:r>
          </m:sup>
        </m:sSup>
      </m:oMath>
      <w:r>
        <w:t xml:space="preserve">) and mice (</w:t>
      </w:r>
      <m:oMath>
        <m:r>
          <m:t>β</m:t>
        </m:r>
      </m:oMath>
      <w:r>
        <w:t xml:space="preserve"> </w:t>
      </w:r>
      <w:r>
        <w:t xml:space="preserve">=</w:t>
      </w:r>
      <w:r>
        <w:t xml:space="preserve"> </w:t>
      </w:r>
      <m:oMath>
        <m:r>
          <m:rPr>
            <m:sty m:val="p"/>
          </m:rPr>
          <m:t>−</m:t>
        </m:r>
        <m:r>
          <m:t>2.91</m:t>
        </m:r>
      </m:oMath>
      <w:r>
        <w:t xml:space="preserve"> </w:t>
      </w:r>
      <w:r>
        <w:t xml:space="preserve">±</w:t>
      </w:r>
      <w:r>
        <w:t xml:space="preserve"> </w:t>
      </w:r>
      <m:oMath>
        <m:r>
          <m:t>0.34</m:t>
        </m:r>
      </m:oMath>
      <w:r>
        <w:t xml:space="preserve">, T(</w:t>
      </w:r>
      <m:oMath>
        <m:r>
          <m:t>112.57</m:t>
        </m:r>
      </m:oMath>
      <w:r>
        <w:t xml:space="preserve">) =</w:t>
      </w:r>
      <w:r>
        <w:t xml:space="preserve"> </w:t>
      </w:r>
      <m:oMath>
        <m:r>
          <m:rPr>
            <m:sty m:val="p"/>
          </m:rPr>
          <m:t>−</m:t>
        </m:r>
        <m:r>
          <m:t>8.51</m:t>
        </m:r>
      </m:oMath>
      <w:r>
        <w:t xml:space="preserve">, p =</w:t>
      </w:r>
      <w:r>
        <w:t xml:space="preserve"> </w:t>
      </w:r>
      <m:oMath>
        <m:r>
          <m:t>8.65</m:t>
        </m:r>
        <m:r>
          <m:rPr>
            <m:sty m:val="p"/>
          </m:rPr>
          <m:t>×</m:t>
        </m:r>
        <m:sSup>
          <m:e>
            <m:r>
              <m:t>10</m:t>
            </m:r>
          </m:e>
          <m:sup>
            <m:r>
              <m:rPr>
                <m:sty m:val="p"/>
              </m:rPr>
              <m:t>−</m:t>
            </m:r>
            <m:r>
              <m:t>14</m:t>
            </m:r>
          </m:sup>
        </m:sSup>
      </m:oMath>
      <w:r>
        <w:t xml:space="preserve">).</w:t>
      </w:r>
    </w:p>
    <w:p>
      <w:pPr>
        <w:pStyle w:val="BodyText"/>
      </w:pPr>
      <w:r>
        <w:t xml:space="preserve">To further probe the validity of the bimodal inference model, we asked whether posterior model quantities could explain aspects of the behavioral data that the model was not fitted to. We predicted that the posterior decision variable</w:t>
      </w:r>
      <w:r>
        <w:t xml:space="preserve"> </w:t>
      </w:r>
      <m:oMath>
        <m:sSub>
          <m:e>
            <m:r>
              <m:t>L</m:t>
            </m:r>
          </m:e>
          <m:sub>
            <m:r>
              <m:t>t</m:t>
            </m:r>
          </m:sub>
        </m:sSub>
      </m:oMath>
      <w:r>
        <w:t xml:space="preserve"> </w:t>
      </w:r>
      <w:r>
        <w:t xml:space="preserve">not only encodes perceptual choices (i.e., the variable used for model estimation), but also predicts the speed of response and subjective confidence</w:t>
      </w:r>
      <w:r>
        <w:rPr>
          <w:vertAlign w:val="superscript"/>
        </w:rPr>
        <w:t xml:space="preserve">30,44</w:t>
      </w:r>
      <w:r>
        <w:t xml:space="preserve">. Indeed, the estimated trial-wise posterior decision certainty</w:t>
      </w:r>
      <w:r>
        <w:t xml:space="preserve"> </w:t>
      </w:r>
      <m:oMath>
        <m:d>
          <m:dPr>
            <m:begChr m:val="|"/>
            <m:endChr m:val="|"/>
            <m:sepChr m:val=""/>
            <m:grow/>
          </m:dPr>
          <m:e>
            <m:sSub>
              <m:e>
                <m:r>
                  <m:t>L</m:t>
                </m:r>
              </m:e>
              <m:sub>
                <m:r>
                  <m:t>t</m:t>
                </m:r>
              </m:sub>
            </m:sSub>
          </m:e>
        </m:d>
      </m:oMath>
      <w:r>
        <w:t xml:space="preserve"> </w:t>
      </w:r>
      <w:r>
        <w:t xml:space="preserve">correlated negatively with RTs in humans (</w:t>
      </w:r>
      <m:oMath>
        <m:r>
          <m:t>β</m:t>
        </m:r>
      </m:oMath>
      <w:r>
        <w:t xml:space="preserve"> </w:t>
      </w:r>
      <w:r>
        <w:t xml:space="preserve">=</w:t>
      </w:r>
      <w:r>
        <w:t xml:space="preserve"> </w:t>
      </w:r>
      <m:oMath>
        <m:r>
          <m:rPr>
            <m:sty m:val="p"/>
          </m:rPr>
          <m:t>−</m:t>
        </m:r>
        <m:r>
          <m:t>4.36</m:t>
        </m:r>
        <m:r>
          <m:rPr>
            <m:sty m:val="p"/>
          </m:rPr>
          <m:t>×</m:t>
        </m:r>
        <m:sSup>
          <m:e>
            <m:r>
              <m:t>10</m:t>
            </m:r>
          </m:e>
          <m:sup>
            <m:r>
              <m:rPr>
                <m:sty m:val="p"/>
              </m:rPr>
              <m:t>−</m:t>
            </m:r>
            <m:r>
              <m:t>3</m:t>
            </m:r>
          </m:sup>
        </m:sSup>
      </m:oMath>
      <w:r>
        <w:t xml:space="preserve"> </w:t>
      </w:r>
      <w:r>
        <w:t xml:space="preserve">±</w:t>
      </w:r>
      <w:r>
        <w:t xml:space="preserve"> </w:t>
      </w:r>
      <m:oMath>
        <m:r>
          <m:t>4.64</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rPr>
            <m:sty m:val="p"/>
          </m:rPr>
          <m:t>−</m:t>
        </m:r>
        <m:r>
          <m:t>9.41</m:t>
        </m:r>
      </m:oMath>
      <w:r>
        <w:t xml:space="preserve">, p =</w:t>
      </w:r>
      <w:r>
        <w:t xml:space="preserve"> </w:t>
      </w:r>
      <m:oMath>
        <m:r>
          <m:t>5.19</m:t>
        </m:r>
        <m:r>
          <m:rPr>
            <m:sty m:val="p"/>
          </m:rPr>
          <m:t>×</m:t>
        </m:r>
        <m:sSup>
          <m:e>
            <m:r>
              <m:t>10</m:t>
            </m:r>
          </m:e>
          <m:sup>
            <m:r>
              <m:rPr>
                <m:sty m:val="p"/>
              </m:rPr>
              <m:t>−</m:t>
            </m:r>
            <m:r>
              <m:t>21</m:t>
            </m:r>
          </m:sup>
        </m:sSup>
      </m:oMath>
      <w:r>
        <w:t xml:space="preserve">) and TDs mice (</w:t>
      </w:r>
      <m:oMath>
        <m:r>
          <m:t>β</m:t>
        </m:r>
      </m:oMath>
      <w:r>
        <w:t xml:space="preserve"> </w:t>
      </w:r>
      <w:r>
        <w:t xml:space="preserve">=</w:t>
      </w:r>
      <w:r>
        <w:t xml:space="preserve"> </w:t>
      </w:r>
      <m:oMath>
        <m:r>
          <m:rPr>
            <m:sty m:val="p"/>
          </m:rPr>
          <m:t>−</m:t>
        </m:r>
        <m:r>
          <m:t>35.45</m:t>
        </m:r>
      </m:oMath>
      <w:r>
        <w:t xml:space="preserve"> </w:t>
      </w:r>
      <w:r>
        <w:t xml:space="preserve">±</w:t>
      </w:r>
      <w:r>
        <w:t xml:space="preserve"> </w:t>
      </w:r>
      <m:oMath>
        <m:r>
          <m:t>0.86</m:t>
        </m:r>
      </m:oMath>
      <w:r>
        <w:t xml:space="preserve">, T(</w:t>
      </w:r>
      <m:oMath>
        <m:r>
          <m:t>1.28</m:t>
        </m:r>
        <m:r>
          <m:rPr>
            <m:sty m:val="p"/>
          </m:rPr>
          <m:t>×</m:t>
        </m:r>
        <m:sSup>
          <m:e>
            <m:r>
              <m:t>10</m:t>
            </m:r>
          </m:e>
          <m:sup>
            <m:r>
              <m:t>6</m:t>
            </m:r>
          </m:sup>
        </m:sSup>
      </m:oMath>
      <w:r>
        <w:t xml:space="preserve">) =</w:t>
      </w:r>
      <w:r>
        <w:t xml:space="preserve"> </w:t>
      </w:r>
      <m:oMath>
        <m:r>
          <m:rPr>
            <m:sty m:val="p"/>
          </m:rPr>
          <m:t>−</m:t>
        </m:r>
        <m:r>
          <m:t>41.13</m:t>
        </m:r>
      </m:oMath>
      <w:r>
        <w:t xml:space="preserve">, p =</w:t>
      </w:r>
      <w:r>
        <w:t xml:space="preserve"> </w:t>
      </w:r>
      <m:oMath>
        <m:r>
          <m:t>0</m:t>
        </m:r>
      </m:oMath>
      <w:r>
        <w:t xml:space="preserve">). Likewise, subjective confidence reports were positively correlated with the estimated posterior decision certainty in humans (</w:t>
      </w:r>
      <m:oMath>
        <m:r>
          <m:t>β</m:t>
        </m:r>
      </m:oMath>
      <w:r>
        <w:t xml:space="preserve"> </w:t>
      </w:r>
      <w:r>
        <w:t xml:space="preserve">=</w:t>
      </w:r>
      <w:r>
        <w:t xml:space="preserve"> </w:t>
      </w:r>
      <m:oMath>
        <m:r>
          <m:t>7.63</m:t>
        </m:r>
        <m:r>
          <m:rPr>
            <m:sty m:val="p"/>
          </m:rPr>
          <m:t>×</m:t>
        </m:r>
        <m:sSup>
          <m:e>
            <m:r>
              <m:t>10</m:t>
            </m:r>
          </m:e>
          <m:sup>
            <m:r>
              <m:rPr>
                <m:sty m:val="p"/>
              </m:rPr>
              <m:t>−</m:t>
            </m:r>
            <m:r>
              <m:t>3</m:t>
            </m:r>
          </m:sup>
        </m:sSup>
      </m:oMath>
      <w:r>
        <w:t xml:space="preserve"> </w:t>
      </w:r>
      <w:r>
        <w:t xml:space="preserve">±</w:t>
      </w:r>
      <w:r>
        <w:t xml:space="preserve"> </w:t>
      </w:r>
      <m:oMath>
        <m:r>
          <m:t>8.32</m:t>
        </m:r>
        <m:r>
          <m:rPr>
            <m:sty m:val="p"/>
          </m:rPr>
          <m:t>×</m:t>
        </m:r>
        <m:sSup>
          <m:e>
            <m:r>
              <m:t>10</m:t>
            </m:r>
          </m:e>
          <m:sup>
            <m:r>
              <m:rPr>
                <m:sty m:val="p"/>
              </m:rPr>
              <m:t>−</m:t>
            </m:r>
            <m:r>
              <m:t>4</m:t>
            </m:r>
          </m:sup>
        </m:sSup>
      </m:oMath>
      <w:r>
        <w:t xml:space="preserve">, T(</w:t>
      </w:r>
      <m:oMath>
        <m:r>
          <m:t>2.06</m:t>
        </m:r>
        <m:r>
          <m:rPr>
            <m:sty m:val="p"/>
          </m:rPr>
          <m:t>×</m:t>
        </m:r>
        <m:sSup>
          <m:e>
            <m:r>
              <m:t>10</m:t>
            </m:r>
          </m:e>
          <m:sup>
            <m:r>
              <m:t>6</m:t>
            </m:r>
          </m:sup>
        </m:sSup>
      </m:oMath>
      <w:r>
        <w:t xml:space="preserve">) =</w:t>
      </w:r>
      <w:r>
        <w:t xml:space="preserve"> </w:t>
      </w:r>
      <m:oMath>
        <m:r>
          <m:t>9.18</m:t>
        </m:r>
      </m:oMath>
      <w:r>
        <w:t xml:space="preserve">, p =</w:t>
      </w:r>
      <w:r>
        <w:t xml:space="preserve"> </w:t>
      </w:r>
      <m:oMath>
        <m:r>
          <m:t>4.48</m:t>
        </m:r>
        <m:r>
          <m:rPr>
            <m:sty m:val="p"/>
          </m:rPr>
          <m:t>×</m:t>
        </m:r>
        <m:sSup>
          <m:e>
            <m:r>
              <m:t>10</m:t>
            </m:r>
          </m:e>
          <m:sup>
            <m:r>
              <m:rPr>
                <m:sty m:val="p"/>
              </m:rPr>
              <m:t>−</m:t>
            </m:r>
            <m:r>
              <m:t>20</m:t>
            </m:r>
          </m:sup>
        </m:sSup>
      </m:oMath>
      <w:r>
        <w:t xml:space="preserve">).</w:t>
      </w:r>
    </w:p>
    <w:p>
      <w:pPr>
        <w:pStyle w:val="BodyText"/>
      </w:pPr>
      <w:r>
        <w:rPr>
          <w:bCs/>
          <w:b/>
        </w:rPr>
        <w:t xml:space="preserve">The dynamic accumulation of information inherent to our model entails that biases toward perceptual history are stronger when the posterior decision certainty at the preceding trial is high</w:t>
      </w:r>
      <w:r>
        <w:rPr>
          <w:vertAlign w:val="superscript"/>
          <w:bCs/>
          <w:b/>
        </w:rPr>
        <w:t xml:space="preserve">30,31,51</w:t>
      </w:r>
      <w:r>
        <w:rPr>
          <w:bCs/>
          <w:b/>
        </w:rPr>
        <w:t xml:space="preserve">. Due to the link between posterior decision certainty and confidence, confident perceptual choices should be more likely to induce history-congruent perception at the subsequent trial</w:t>
      </w:r>
      <w:r>
        <w:rPr>
          <w:vertAlign w:val="superscript"/>
          <w:bCs/>
          <w:b/>
        </w:rPr>
        <w:t xml:space="preserve">30,31</w:t>
      </w:r>
      <w:r>
        <w:rPr>
          <w:bCs/>
          <w:b/>
        </w:rPr>
        <w:t xml:space="preserve">. In line with our prediction, logistic regression indicated that history-congruence was predicted by the posterior decision certainty</w:t>
      </w:r>
      <w:r>
        <w:rPr>
          <w:bCs/>
          <w:b/>
        </w:rPr>
        <w:t xml:space="preserve"> </w:t>
      </w:r>
      <m:oMath>
        <m:d>
          <m:dPr>
            <m:begChr m:val="|"/>
            <m:endChr m:val="|"/>
            <m:sepChr m:val=""/>
            <m:grow/>
          </m:dPr>
          <m:e>
            <m:sSub>
              <m:e>
                <m:r>
                  <m:t>L</m:t>
                </m:r>
              </m:e>
              <m:sub>
                <m:r>
                  <m:t>t</m:t>
                </m:r>
                <m:r>
                  <m:rPr>
                    <m:sty m:val="p"/>
                  </m:rPr>
                  <m:t>−</m:t>
                </m:r>
                <m:r>
                  <m:t>1</m:t>
                </m:r>
              </m:sub>
            </m:sSub>
          </m:e>
        </m:d>
      </m:oMath>
      <w:r>
        <w:rPr>
          <w:bCs/>
          <w:b/>
        </w:rPr>
        <w:t xml:space="preserve"> </w:t>
      </w:r>
      <w:r>
        <w:rPr>
          <w:bCs/>
          <w:b/>
        </w:rPr>
        <w:t xml:space="preserve">extracted from the model</w:t>
      </w:r>
      <w:r>
        <w:t xml:space="preserve"> </w:t>
      </w:r>
      <w:r>
        <w:t xml:space="preserve">(humans:</w:t>
      </w:r>
      <w:r>
        <w:t xml:space="preserve"> </w:t>
      </w:r>
      <m:oMath>
        <m:r>
          <m:t>β</m:t>
        </m:r>
      </m:oMath>
      <w:r>
        <w:t xml:space="preserve"> </w:t>
      </w:r>
      <w:r>
        <w:t xml:space="preserve">=</w:t>
      </w:r>
      <w:r>
        <w:t xml:space="preserve"> </w:t>
      </w:r>
      <m:oMath>
        <m:r>
          <m:t>8.22</m:t>
        </m:r>
        <m:r>
          <m:rPr>
            <m:sty m:val="p"/>
          </m:rPr>
          <m:t>×</m:t>
        </m:r>
        <m:sSup>
          <m:e>
            <m:r>
              <m:t>10</m:t>
            </m:r>
          </m:e>
          <m:sup>
            <m:r>
              <m:rPr>
                <m:sty m:val="p"/>
              </m:rPr>
              <m:t>−</m:t>
            </m:r>
            <m:r>
              <m:t>3</m:t>
            </m:r>
          </m:sup>
        </m:sSup>
      </m:oMath>
      <w:r>
        <w:t xml:space="preserve"> </w:t>
      </w:r>
      <w:r>
        <w:t xml:space="preserve">±</w:t>
      </w:r>
      <w:r>
        <w:t xml:space="preserve"> </w:t>
      </w:r>
      <m:oMath>
        <m:r>
          <m:t>1.94</m:t>
        </m:r>
        <m:r>
          <m:rPr>
            <m:sty m:val="p"/>
          </m:rPr>
          <m:t>×</m:t>
        </m:r>
        <m:sSup>
          <m:e>
            <m:r>
              <m:t>10</m:t>
            </m:r>
          </m:e>
          <m:sup>
            <m:r>
              <m:rPr>
                <m:sty m:val="p"/>
              </m:rPr>
              <m:t>−</m:t>
            </m:r>
            <m:r>
              <m:t>3</m:t>
            </m:r>
          </m:sup>
        </m:sSup>
      </m:oMath>
      <w:r>
        <w:t xml:space="preserve">, z =</w:t>
      </w:r>
      <w:r>
        <w:t xml:space="preserve"> </w:t>
      </w:r>
      <m:oMath>
        <m:r>
          <m:t>4.25</m:t>
        </m:r>
      </m:oMath>
      <w:r>
        <w:t xml:space="preserve">, p =</w:t>
      </w:r>
      <w:r>
        <w:t xml:space="preserve"> </w:t>
      </w:r>
      <m:oMath>
        <m:r>
          <m:t>2.17</m:t>
        </m:r>
        <m:r>
          <m:rPr>
            <m:sty m:val="p"/>
          </m:rPr>
          <m:t>×</m:t>
        </m:r>
        <m:sSup>
          <m:e>
            <m:r>
              <m:t>10</m:t>
            </m:r>
          </m:e>
          <m:sup>
            <m:r>
              <m:rPr>
                <m:sty m:val="p"/>
              </m:rPr>
              <m:t>−</m:t>
            </m:r>
            <m:r>
              <m:t>5</m:t>
            </m:r>
          </m:sup>
        </m:sSup>
      </m:oMath>
      <w:r>
        <w:t xml:space="preserve">; mice:</w:t>
      </w:r>
      <w:r>
        <w:t xml:space="preserve"> </w:t>
      </w:r>
      <m:oMath>
        <m:r>
          <m:t>β</m:t>
        </m:r>
      </m:oMath>
      <w:r>
        <w:t xml:space="preserve"> </w:t>
      </w:r>
      <w:r>
        <w:t xml:space="preserve">=</w:t>
      </w:r>
      <w:r>
        <w:t xml:space="preserve"> </w:t>
      </w:r>
      <m:oMath>
        <m:r>
          <m:rPr>
            <m:sty m:val="p"/>
          </m:rPr>
          <m:t>−</m:t>
        </m:r>
        <m:r>
          <m:t>3.72</m:t>
        </m:r>
        <m:r>
          <m:rPr>
            <m:sty m:val="p"/>
          </m:rPr>
          <m:t>×</m:t>
        </m:r>
        <m:sSup>
          <m:e>
            <m:r>
              <m:t>10</m:t>
            </m:r>
          </m:e>
          <m:sup>
            <m:r>
              <m:rPr>
                <m:sty m:val="p"/>
              </m:rPr>
              <m:t>−</m:t>
            </m:r>
            <m:r>
              <m:t>3</m:t>
            </m:r>
          </m:sup>
        </m:sSup>
      </m:oMath>
      <w:r>
        <w:t xml:space="preserve"> </w:t>
      </w:r>
      <w:r>
        <w:t xml:space="preserve">±</w:t>
      </w:r>
      <w:r>
        <w:t xml:space="preserve"> </w:t>
      </w:r>
      <m:oMath>
        <m:r>
          <m:t>1.83</m:t>
        </m:r>
        <m:r>
          <m:rPr>
            <m:sty m:val="p"/>
          </m:rPr>
          <m:t>×</m:t>
        </m:r>
        <m:sSup>
          <m:e>
            <m:r>
              <m:t>10</m:t>
            </m:r>
          </m:e>
          <m:sup>
            <m:r>
              <m:rPr>
                <m:sty m:val="p"/>
              </m:rPr>
              <m:t>−</m:t>
            </m:r>
            <m:r>
              <m:t>3</m:t>
            </m:r>
          </m:sup>
        </m:sSup>
      </m:oMath>
      <w:r>
        <w:t xml:space="preserve">, z =</w:t>
      </w:r>
      <w:r>
        <w:t xml:space="preserve"> </w:t>
      </w:r>
      <m:oMath>
        <m:r>
          <m:rPr>
            <m:sty m:val="p"/>
          </m:rPr>
          <m:t>−</m:t>
        </m:r>
        <m:r>
          <m:t>2.03</m:t>
        </m:r>
      </m:oMath>
      <w:r>
        <w:t xml:space="preserve">, p =</w:t>
      </w:r>
      <w:r>
        <w:t xml:space="preserve"> </w:t>
      </w:r>
      <m:oMath>
        <m:r>
          <m:t>0.04</m:t>
        </m:r>
      </m:oMath>
      <w:r>
        <w:t xml:space="preserve">) and the subjective confidence reported by the participants (humans:</w:t>
      </w:r>
      <w:r>
        <w:t xml:space="preserve"> </w:t>
      </w:r>
      <m:oMath>
        <m:r>
          <m:t>β</m:t>
        </m:r>
      </m:oMath>
      <w:r>
        <w:t xml:space="preserve"> </w:t>
      </w:r>
      <w:r>
        <w:t xml:space="preserve">=</w:t>
      </w:r>
      <w:r>
        <w:t xml:space="preserve"> </w:t>
      </w:r>
      <m:oMath>
        <m:r>
          <m:t>0.04</m:t>
        </m:r>
      </m:oMath>
      <w:r>
        <w:t xml:space="preserve"> </w:t>
      </w:r>
      <w:r>
        <w:t xml:space="preserve">±</w:t>
      </w:r>
      <w:r>
        <w:t xml:space="preserve"> </w:t>
      </w:r>
      <m:oMath>
        <m:r>
          <m:t>1.62</m:t>
        </m:r>
        <m:r>
          <m:rPr>
            <m:sty m:val="p"/>
          </m:rPr>
          <m:t>×</m:t>
        </m:r>
        <m:sSup>
          <m:e>
            <m:r>
              <m:t>10</m:t>
            </m:r>
          </m:e>
          <m:sup>
            <m:r>
              <m:rPr>
                <m:sty m:val="p"/>
              </m:rPr>
              <m:t>−</m:t>
            </m:r>
            <m:r>
              <m:t>3</m:t>
            </m:r>
          </m:sup>
        </m:sSup>
      </m:oMath>
      <w:r>
        <w:t xml:space="preserve">, z =</w:t>
      </w:r>
      <w:r>
        <w:t xml:space="preserve"> </w:t>
      </w:r>
      <m:oMath>
        <m:r>
          <m:t>27.21</m:t>
        </m:r>
      </m:oMath>
      <w:r>
        <w:t xml:space="preserve">, p =</w:t>
      </w:r>
      <w:r>
        <w:t xml:space="preserve"> </w:t>
      </w:r>
      <m:oMath>
        <m:r>
          <m:t>4.56</m:t>
        </m:r>
        <m:r>
          <m:rPr>
            <m:sty m:val="p"/>
          </m:rPr>
          <m:t>×</m:t>
        </m:r>
        <m:sSup>
          <m:e>
            <m:r>
              <m:t>10</m:t>
            </m:r>
          </m:e>
          <m:sup>
            <m:r>
              <m:rPr>
                <m:sty m:val="p"/>
              </m:rPr>
              <m:t>−</m:t>
            </m:r>
            <m:r>
              <m:t>163</m:t>
            </m:r>
          </m:sup>
        </m:sSup>
      </m:oMath>
      <w:r>
        <w:t xml:space="preserve">) at the preceding trial.</w:t>
      </w:r>
    </w:p>
    <w:p>
      <w:pPr>
        <w:pStyle w:val="BodyText"/>
      </w:pPr>
      <w:r>
        <w:rPr>
          <w:bCs/>
          <w:b/>
        </w:rPr>
        <w:t xml:space="preserve">As a third validation of the bimodal inference model, we used the posterior model parameters to simulate synthetic perceptual choices and repeated the behavioral analyses conducted for the empirical data.</w:t>
      </w:r>
      <w:r>
        <w:t xml:space="preserve"> </w:t>
      </w:r>
      <w:r>
        <w:t xml:space="preserve">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 xml:space="preserve">28,30,44</w:t>
      </w:r>
      <w:r>
        <w:t xml:space="preserve"> </w:t>
      </w:r>
      <w:r>
        <w:t xml:space="preserve">(i.e., the absolute of the log posterior ratio</w:t>
      </w:r>
      <w:r>
        <w:t xml:space="preserve"> </w:t>
      </w:r>
      <m:oMath>
        <m:d>
          <m:dPr>
            <m:begChr m:val="|"/>
            <m:endChr m:val="|"/>
            <m:sepChr m:val=""/>
            <m:grow/>
          </m:dPr>
          <m:e>
            <m:sSub>
              <m:e>
                <m:r>
                  <m:t>L</m:t>
                </m:r>
              </m:e>
              <m:sub>
                <m:r>
                  <m:t>t</m:t>
                </m:r>
              </m:sub>
            </m:sSub>
          </m:e>
        </m:d>
      </m:oMath>
      <w: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Figures S10-13).</w:t>
      </w:r>
    </w:p>
    <w:p>
      <w:pPr>
        <w:pStyle w:val="BodyText"/>
      </w:pPr>
      <w:r>
        <w:rPr>
          <w:bCs/>
          <w:b/>
        </w:rPr>
        <w:t xml:space="preserve">In sum, computational modeling suggested that between-mode fluctuations are best explained by two interlinked processes (Figure 1E and F): (i), the dynamic accumulation of information across successive trials mandated by normative Bayesian models of evidence accumulation and, (ii), ongoing anti-phase oscillations in the impact of external and internal information.</w:t>
      </w:r>
    </w:p>
    <w:bookmarkEnd w:id="30"/>
    <w:bookmarkEnd w:id="31"/>
    <w:bookmarkStart w:id="36" w:name="discussion"/>
    <w:p>
      <w:pPr>
        <w:pStyle w:val="Heading1"/>
      </w:pPr>
      <w:r>
        <w:t xml:space="preserve">Discussion</w:t>
      </w:r>
    </w:p>
    <w:p>
      <w:pPr>
        <w:pStyle w:val="FirstParagraph"/>
      </w:pPr>
      <w:r>
        <w:t xml:space="preserve">This work investigates the behavioral and computational characteristics of ongoing fluctuations in perceptual decision-making using two large-scale datasets in humans</w:t>
      </w:r>
      <w:r>
        <w:rPr>
          <w:vertAlign w:val="superscript"/>
        </w:rPr>
        <w:t xml:space="preserve">20</w:t>
      </w:r>
      <w:r>
        <w:t xml:space="preserve"> </w:t>
      </w:r>
      <w:r>
        <w:t xml:space="preserve">and mice</w:t>
      </w:r>
      <w:r>
        <w:rPr>
          <w:vertAlign w:val="superscript"/>
        </w:rPr>
        <w:t xml:space="preserve">21</w:t>
      </w:r>
      <w:r>
        <w:t xml:space="preserve">.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epiphenomenon of limited processing capacity, but result from a structured and adaptive mechanism that fluctuates between internally- and externally-oriented modes of sensory analysis.</w:t>
      </w:r>
    </w:p>
    <w:bookmarkStart w:id="32" w:name="X31b35897fad1b2a29fdd9d49c8bd90aa4ab72fd"/>
    <w:p>
      <w:pPr>
        <w:pStyle w:val="Heading2"/>
      </w:pPr>
      <w:r>
        <w:t xml:space="preserve">Bimodal inference represents a pervasive aspect of perceptual decision-making in humans and mice</w:t>
      </w:r>
    </w:p>
    <w:p>
      <w:pPr>
        <w:pStyle w:val="FirstParagraph"/>
      </w:pPr>
      <w:r>
        <w:t xml:space="preserve">A growing body of literature has highlighted that perception is modulated by preceding choices</w:t>
      </w:r>
      <w:r>
        <w:rPr>
          <w:vertAlign w:val="superscript"/>
        </w:rPr>
        <w:t xml:space="preserve">22–28,30,32,33</w:t>
      </w:r>
      <w:r>
        <w:t xml:space="preserve">. Our work provides converging cross-species evidence supporting the notion that such serial dependencies are a pervasive and general phenomenon of perceptual decision-making (Figures 2 and 3). While introducing errors in randomized psychophysical designs</w:t>
      </w:r>
      <w:r>
        <w:rPr>
          <w:vertAlign w:val="superscript"/>
        </w:rPr>
        <w:t xml:space="preserve">24,28,30,31,43</w:t>
      </w:r>
      <w:r>
        <w:t xml:space="preserve"> </w:t>
      </w:r>
      <w:r>
        <w:t xml:space="preserve">(Figures 2A and 3A), we found that perceptual history facilitates post-perceptual processes such as speed of response</w:t>
      </w:r>
      <w:r>
        <w:rPr>
          <w:vertAlign w:val="superscript"/>
        </w:rPr>
        <w:t xml:space="preserve">42</w:t>
      </w:r>
      <w:r>
        <w:t xml:space="preserve"> </w:t>
      </w:r>
      <w:r>
        <w:t xml:space="preserve">(Figure 2G and 3G) and subjective confidence in humans (Figure 2I).</w:t>
      </w:r>
    </w:p>
    <w:p>
      <w:pPr>
        <w:pStyle w:val="BodyText"/>
      </w:pPr>
      <w:r>
        <w:t xml:space="preserve">At the level of individual traits, increased biases toward preceding choices were associated with reduced sensitivity to external information (Supplemental Figure 1C-D) and lower metacognitive efficiency. When investigating how serial dependencies evolve over time, we observed dynamic changes in the strength of perceptual history (Figures 2 and 3B) that created wavering biases toward internally- and externally-biased modes of sensory processing. Between-mode fluctuations may thus provide a new explanation for ongoing changes in perceptual performance</w:t>
      </w:r>
      <w:r>
        <w:rPr>
          <w:vertAlign w:val="superscript"/>
        </w:rPr>
        <w:t xml:space="preserve">6–11</w:t>
      </w:r>
      <w:r>
        <w:t xml:space="preserve">.</w:t>
      </w:r>
    </w:p>
    <w:p>
      <w:pPr>
        <w:pStyle w:val="BodyText"/>
      </w:pPr>
      <w:r>
        <w:t xml:space="preserve">In computational terms, serial dependencies may leverage the temporal autocorrelation of natural environments</w:t>
      </w:r>
      <w:r>
        <w:rPr>
          <w:vertAlign w:val="superscript"/>
        </w:rPr>
        <w:t xml:space="preserve">31,46</w:t>
      </w:r>
      <w:r>
        <w:t xml:space="preserve"> </w:t>
      </w:r>
      <w:r>
        <w:t xml:space="preserve">to increase the efficiency of decision-making</w:t>
      </w:r>
      <w:r>
        <w:rPr>
          <w:vertAlign w:val="superscript"/>
        </w:rPr>
        <w:t xml:space="preserve">35,43</w:t>
      </w:r>
      <w:r>
        <w:t xml:space="preserve">. Such temporal smoothing</w:t>
      </w:r>
      <w:r>
        <w:rPr>
          <w:vertAlign w:val="superscript"/>
        </w:rPr>
        <w:t xml:space="preserve">46</w:t>
      </w:r>
      <w:r>
        <w:t xml:space="preserve"> </w:t>
      </w:r>
      <w:r>
        <w:t xml:space="preserve">of sensory inputs may be achieved by updating dynamic predictions about the world based on the sequence of noisy perceptual experiences</w:t>
      </w:r>
      <w:r>
        <w:rPr>
          <w:vertAlign w:val="superscript"/>
        </w:rPr>
        <w:t xml:space="preserve">22,31</w:t>
      </w:r>
      <w:r>
        <w:t xml:space="preserve">,</w:t>
      </w:r>
      <w:r>
        <w:t xml:space="preserve"> </w:t>
      </w:r>
      <w:r>
        <w:rPr>
          <w:bCs/>
          <w:b/>
        </w:rPr>
        <w:t xml:space="preserve">using algorithms based on sequential Bayes</w:t>
      </w:r>
      <w:r>
        <w:rPr>
          <w:vertAlign w:val="superscript"/>
          <w:bCs/>
          <w:b/>
        </w:rPr>
        <w:t xml:space="preserve">25,42,51</w:t>
      </w:r>
      <w:r>
        <w:rPr>
          <w:bCs/>
          <w:b/>
        </w:rPr>
        <w:t xml:space="preserve"> </w:t>
      </w:r>
      <w:r>
        <w:rPr>
          <w:bCs/>
          <w:b/>
        </w:rPr>
        <w:t xml:space="preserve">such as Kalman</w:t>
      </w:r>
      <w:r>
        <w:rPr>
          <w:vertAlign w:val="superscript"/>
          <w:bCs/>
          <w:b/>
        </w:rPr>
        <w:t xml:space="preserve">35</w:t>
      </w:r>
      <w:r>
        <w:rPr>
          <w:bCs/>
          <w:b/>
        </w:rPr>
        <w:t xml:space="preserve"> </w:t>
      </w:r>
      <w:r>
        <w:rPr>
          <w:bCs/>
          <w:b/>
        </w:rPr>
        <w:t xml:space="preserve">or Hierarchical Gaussian filtering</w:t>
      </w:r>
      <w:r>
        <w:rPr>
          <w:vertAlign w:val="superscript"/>
          <w:bCs/>
          <w:b/>
        </w:rPr>
        <w:t xml:space="preserve">54</w:t>
      </w:r>
      <w:r>
        <w:t xml:space="preserve">.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 xml:space="preserve">56</w:t>
      </w:r>
      <w:r>
        <w:t xml:space="preserve">.</w:t>
      </w:r>
    </w:p>
    <w:p>
      <w:pPr>
        <w:pStyle w:val="BodyText"/>
      </w:pPr>
      <w:r>
        <w:t xml:space="preserve">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 xml:space="preserve">57</w:t>
      </w:r>
      <w:r>
        <w:t xml:space="preserve">. Akin to the wake-sleep-algorithm in machine learning</w:t>
      </w:r>
      <w:r>
        <w:rPr>
          <w:vertAlign w:val="superscript"/>
        </w:rPr>
        <w:t xml:space="preserve">58</w:t>
      </w:r>
      <w: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 xml:space="preserve">18</w:t>
      </w:r>
      <w:r>
        <w:t xml:space="preserve">. Between-mode fluctuations may thus generate an unambiguous error signal that aligns internal predictions with the current state of the environment in iterative test-update-cycles</w:t>
      </w:r>
      <w:r>
        <w:rPr>
          <w:vertAlign w:val="superscript"/>
        </w:rPr>
        <w:t xml:space="preserve">58</w:t>
      </w:r>
      <w:r>
        <w:t xml:space="preserve">. On a broader scale, between-mode fluctuations may thus regulate the balance between feedforward versus feedback contributions to perception and thereby play a adaptive role in metacognition and reality monitoring</w:t>
      </w:r>
      <w:r>
        <w:rPr>
          <w:vertAlign w:val="superscript"/>
        </w:rPr>
        <w:t xml:space="preserve">59</w:t>
      </w:r>
      <w:r>
        <w:t xml:space="preserve">.</w:t>
      </w:r>
    </w:p>
    <w:p>
      <w:pPr>
        <w:pStyle w:val="BodyText"/>
      </w:pPr>
      <w:r>
        <w:rPr>
          <w:bCs/>
          <w:b/>
        </w:rPr>
        <w:t xml:space="preserve">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pStyle w:val="BodyText"/>
      </w:pPr>
      <w:r>
        <w:rPr>
          <w:bCs/>
          <w:b/>
        </w:rP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bCs/>
          <w:b/>
        </w:rPr>
        <w:t xml:space="preserve">51</w:t>
      </w:r>
      <w:r>
        <w:rPr>
          <w:bCs/>
          <w:b/>
        </w:rPr>
        <w:t xml:space="preserve"> </w:t>
      </w:r>
      <w:r>
        <w:rPr>
          <w:bCs/>
          <w:b/>
        </w:rPr>
        <w:t xml:space="preserve">allowed us to quantify the dominant timescale of periodic fluctuations mode at approximately 0.11 1/</w:t>
      </w:r>
      <m:oMath>
        <m:sSub>
          <m:e>
            <m:r>
              <m:t>N</m:t>
            </m:r>
          </m:e>
          <m:sub>
            <m:r>
              <m:t>t</m:t>
            </m:r>
            <m:r>
              <m:t>r</m:t>
            </m:r>
            <m:r>
              <m:t>i</m:t>
            </m:r>
            <m:r>
              <m:t>a</m:t>
            </m:r>
            <m:r>
              <m:t>l</m:t>
            </m:r>
            <m:r>
              <m:t>s</m:t>
            </m:r>
          </m:sub>
        </m:sSub>
      </m:oMath>
      <w:r>
        <w:rPr>
          <w:bCs/>
          <w:b/>
        </w:rPr>
        <w:t xml:space="preserve"> </w:t>
      </w:r>
      <w:r>
        <w:rPr>
          <w:bCs/>
          <w:b/>
        </w:rPr>
        <w:t xml:space="preserve">in humans and mice that is appropriate for these kinds of paradigms.</w:t>
      </w:r>
    </w:p>
    <w:bookmarkEnd w:id="32"/>
    <w:bookmarkStart w:id="33" w:name="X838817aa86c782cabddef7bf170df27123e57ee"/>
    <w:p>
      <w:pPr>
        <w:pStyle w:val="Heading2"/>
      </w:pPr>
      <w:r>
        <w:t xml:space="preserve">Bimodal inference versus normative Bayesian evidence accumulation</w:t>
      </w:r>
    </w:p>
    <w:p>
      <w:pPr>
        <w:pStyle w:val="FirstParagraph"/>
      </w:pPr>
      <w:r>
        <w:rPr>
          <w:bCs/>
          <w:b/>
        </w:rP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bCs/>
          <w:b/>
        </w:rPr>
        <w:t xml:space="preserve">51</w:t>
      </w:r>
      <w:r>
        <w:rPr>
          <w:bCs/>
          <w:b/>
        </w:rPr>
        <w:t xml:space="preserve"> </w:t>
      </w:r>
      <w:r>
        <w:rPr>
          <w:bCs/>
          <w:b/>
        </w:rPr>
        <w:t xml:space="preserve">or the drift rate of evidence accumulation</w:t>
      </w:r>
      <w:r>
        <w:rPr>
          <w:vertAlign w:val="superscript"/>
          <w:bCs/>
          <w:b/>
        </w:rPr>
        <w:t xml:space="preserve">32</w:t>
      </w:r>
      <w:r>
        <w:rPr>
          <w:bCs/>
          <w:b/>
        </w:rP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bCs/>
          <w:b/>
        </w:rPr>
        <w:t xml:space="preserve">60</w:t>
      </w:r>
      <w:r>
        <w:rPr>
          <w:bCs/>
          <w:b/>
        </w:rPr>
        <w:t xml:space="preserve">, where the inverse of likelihood precision determines the amount of noise in the accumulation of new evidence, and prior precision determines the absolute shift in its starting point</w:t>
      </w:r>
      <w:r>
        <w:rPr>
          <w:vertAlign w:val="superscript"/>
          <w:bCs/>
          <w:b/>
        </w:rPr>
        <w:t xml:space="preserve">60</w:t>
      </w:r>
      <w:r>
        <w:rPr>
          <w:bCs/>
          <w:b/>
        </w:rPr>
        <w:t xml:space="preserve">.</w:t>
      </w:r>
    </w:p>
    <w:p>
      <w:pPr>
        <w:pStyle w:val="BodyText"/>
      </w:pPr>
      <w:r>
        <w:rPr>
          <w:bCs/>
          <w:b/>
        </w:rPr>
        <w:t xml:space="preserve">While it is thus clear that the impact of perceptual history and sensory evidence are anti-correlated</w:t>
      </w:r>
      <w:r>
        <w:rPr>
          <w:bCs/>
          <w:b/>
        </w:rPr>
        <w:t xml:space="preserve"> </w:t>
      </w:r>
      <w:r>
        <w:rPr>
          <w:iCs/>
          <w:i/>
          <w:bCs/>
          <w:b/>
        </w:rPr>
        <w:t xml:space="preserve">at each individual trial</w:t>
      </w:r>
      <w:r>
        <w:rPr>
          <w:bCs/>
          <w:b/>
        </w:rPr>
        <w:t xml:space="preserve">, we here introduce anti-phase oscillations as an ad-hoc modification to model slow fluctuations in prior and likelihood precision that evolve</w:t>
      </w:r>
      <w:r>
        <w:rPr>
          <w:bCs/>
          <w:b/>
        </w:rPr>
        <w:t xml:space="preserve"> </w:t>
      </w:r>
      <w:r>
        <w:rPr>
          <w:iCs/>
          <w:i/>
          <w:bCs/>
          <w:b/>
        </w:rPr>
        <w:t xml:space="preserve">over many consecutive trials</w:t>
      </w:r>
      <w:r>
        <w:rPr>
          <w:bCs/>
          <w:b/>
        </w:rPr>
        <w:t xml:space="preserve"> </w:t>
      </w:r>
      <w:r>
        <w:rPr>
          <w:bCs/>
          <w:b/>
        </w:rP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pStyle w:val="BodyText"/>
      </w:pPr>
      <w:r>
        <w:rPr>
          <w:bCs/>
          <w:b/>
        </w:rPr>
        <w:t xml:space="preserve">Of note, similar non-stationarities have been observed in descriptive models that assume continuous</w:t>
      </w:r>
      <w:r>
        <w:rPr>
          <w:vertAlign w:val="superscript"/>
          <w:bCs/>
          <w:b/>
        </w:rPr>
        <w:t xml:space="preserve">61</w:t>
      </w:r>
      <w:r>
        <w:rPr>
          <w:bCs/>
          <w:b/>
        </w:rPr>
        <w:t xml:space="preserve"> </w:t>
      </w:r>
      <w:r>
        <w:rPr>
          <w:bCs/>
          <w:b/>
        </w:rPr>
        <w:t xml:space="preserve">or discrete</w:t>
      </w:r>
      <w:r>
        <w:rPr>
          <w:vertAlign w:val="superscript"/>
          <w:bCs/>
          <w:b/>
        </w:rPr>
        <w:t xml:space="preserve">12</w:t>
      </w:r>
      <w:r>
        <w:rPr>
          <w:bCs/>
          <w:b/>
        </w:rPr>
        <w:t xml:space="preserve"> </w:t>
      </w:r>
      <w:r>
        <w:rPr>
          <w:bCs/>
          <w:b/>
        </w:rPr>
        <w:t xml:space="preserve">changes in the latent states that modulate perceptual decision-making at slow timescales.</w:t>
      </w:r>
      <w:r>
        <w:t xml:space="preserve"> </w:t>
      </w:r>
      <w:r>
        <w:t xml:space="preserve">A recent computational study</w:t>
      </w:r>
      <w:r>
        <w:rPr>
          <w:vertAlign w:val="superscript"/>
        </w:rPr>
        <w:t xml:space="preserve">62</w:t>
      </w:r>
      <w:r>
        <w:t xml:space="preserve"> </w:t>
      </w:r>
      <w:r>
        <w:t xml:space="preserve">has used a Hidden Markov model to investigate perceptual decision-making in the IBL database</w:t>
      </w:r>
      <w:r>
        <w:rPr>
          <w:vertAlign w:val="superscript"/>
        </w:rPr>
        <w:t xml:space="preserve">21</w:t>
      </w:r>
      <w:r>
        <w:t xml:space="preserve">. In analogy to our findings, the authors observed that mice switch between temporally extended</w:t>
      </w:r>
      <w:r>
        <w:t xml:space="preserve"> </w:t>
      </w:r>
      <w:r>
        <w:rPr>
          <w:iCs/>
          <w:i/>
        </w:rPr>
        <w:t xml:space="preserve">strategies</w:t>
      </w:r>
      <w:r>
        <w:t xml:space="preserve"> </w:t>
      </w:r>
      <w:r>
        <w:t xml:space="preserve">that last for more than 100 trials: During</w:t>
      </w:r>
      <w:r>
        <w:t xml:space="preserve"> </w:t>
      </w:r>
      <w:r>
        <w:rPr>
          <w:iCs/>
          <w:i/>
        </w:rPr>
        <w:t xml:space="preserve">engaged</w:t>
      </w:r>
      <w:r>
        <w:t xml:space="preserve"> </w:t>
      </w:r>
      <w:r>
        <w:t xml:space="preserve">states, perception was highly sensitive to external sensory information. During</w:t>
      </w:r>
      <w:r>
        <w:t xml:space="preserve"> </w:t>
      </w:r>
      <w:r>
        <w:rPr>
          <w:iCs/>
          <w:i/>
        </w:rPr>
        <w:t xml:space="preserve">disengaged</w:t>
      </w:r>
      <w:r>
        <w:t xml:space="preserve"> </w:t>
      </w:r>
      <w:r>
        <w:t xml:space="preserve">states, in turn, choice behavior was prone to errors due to enhanced biases toward one of the two perceptual outcomes</w:t>
      </w:r>
      <w:r>
        <w:rPr>
          <w:vertAlign w:val="superscript"/>
        </w:rPr>
        <w:t xml:space="preserve">62</w:t>
      </w:r>
      <w:r>
        <w:t xml:space="preserve">. Despite the conceptual differences to our approach (discrete states in a Hidden Markov model that correspond to switches between distinct decision-making strategies</w:t>
      </w:r>
      <w:r>
        <w:rPr>
          <w:vertAlign w:val="superscript"/>
        </w:rPr>
        <w:t xml:space="preserve">62</w:t>
      </w:r>
      <w:r>
        <w:t xml:space="preserve"> </w:t>
      </w:r>
      <w:r>
        <w:t xml:space="preserve">vs. gradual changes in mode that emerge from sequential Bayesian inference and ongoing</w:t>
      </w:r>
      <w:r>
        <w:t xml:space="preserve"> </w:t>
      </w:r>
      <w:r>
        <w:rPr>
          <w:bCs/>
          <w:b/>
        </w:rPr>
        <w:t xml:space="preserve">oscillations</w:t>
      </w:r>
      <w:r>
        <w:t xml:space="preserve"> </w:t>
      </w:r>
      <w:r>
        <w:t xml:space="preserve">in the impact of external relative to internal information), it is tempting to speculate that engaged/disengaged states and between-mode fluctuations might tap into the same underlying phenomenon.</w:t>
      </w:r>
    </w:p>
    <w:bookmarkEnd w:id="33"/>
    <w:bookmarkStart w:id="34" w:name="X49e7731fa72786af96c8735b32c81b47285bf9d"/>
    <w:p>
      <w:pPr>
        <w:pStyle w:val="Heading2"/>
      </w:pPr>
      <w:r>
        <w:t xml:space="preserve">Task engagement and residual motor activation as alternative explanations for bimodal inference</w:t>
      </w:r>
    </w:p>
    <w:p>
      <w:pPr>
        <w:pStyle w:val="FirstParagraph"/>
      </w:pPr>
      <w:r>
        <w:rPr>
          <w:bCs/>
          <w:b/>
        </w:rP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bCs/>
          <w:b/>
        </w:rPr>
        <w:t xml:space="preserve">19,57</w:t>
      </w:r>
      <w:r>
        <w:rPr>
          <w:bCs/>
          <w:b/>
        </w:rPr>
        <w:t xml:space="preserve">.</w:t>
      </w:r>
      <w:r>
        <w:t xml:space="preserve"> </w:t>
      </w:r>
      <w:r>
        <w:t xml:space="preserve">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pStyle w:val="BodyText"/>
      </w:pPr>
      <w:r>
        <w:rPr>
          <w:bCs/>
          <w:b/>
        </w:rPr>
        <w:t xml:space="preserve">How does attention relate to phenomenon of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bCs/>
          <w:b/>
        </w:rPr>
        <w:t xml:space="preserve">53</w:t>
      </w:r>
      <w:r>
        <w:rPr>
          <w:bCs/>
          <w:b/>
        </w:rPr>
        <w:t xml:space="preserve">, fluctuations in attention may provide a plausible explanation for the quadratic relationship of mode to RTs and confidence (Figure 2H and J; Figure 3I, Figure 4I)</w:t>
      </w:r>
      <w:r>
        <w:t xml:space="preserve">.</w:t>
      </w:r>
    </w:p>
    <w:p>
      <w:pPr>
        <w:pStyle w:val="BodyText"/>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Section).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pStyle w:val="BodyText"/>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pStyle w:val="BodyText"/>
      </w:pPr>
      <w:r>
        <w:rPr>
          <w:bCs/>
          <w:b/>
        </w:rPr>
        <w:t xml:space="preserve">Of note, high phasic arousal has been shown to suppress biases in decision-making in humans and mice across domains</w:t>
      </w:r>
      <w:r>
        <w:rPr>
          <w:vertAlign w:val="superscript"/>
          <w:bCs/>
          <w:b/>
        </w:rPr>
        <w:t xml:space="preserve">66–68</w:t>
      </w:r>
      <w:r>
        <w:rPr>
          <w:bCs/>
          <w:b/>
        </w:rPr>
        <w:t xml:space="preserve">, including biases toward perceptual history</w:t>
      </w:r>
      <w:r>
        <w:rPr>
          <w:vertAlign w:val="superscript"/>
          <w:bCs/>
          <w:b/>
        </w:rPr>
        <w:t xml:space="preserve">28</w:t>
      </w:r>
      <w:r>
        <w:rPr>
          <w:bCs/>
          <w:b/>
        </w:rPr>
        <w:t xml:space="preserve"> </w:t>
      </w:r>
      <w:r>
        <w:rPr>
          <w:bCs/>
          <w:b/>
        </w:rPr>
        <w:t xml:space="preserve">that we implicate in internal mode processing. While the increase in response speed and history congruence over time (Supplemental Section 9.4) may argue against insufficient training as an alternative explanation for internal mode processing, it may also be indicative of waning arousal. The multiple mechanistic mappings to RTs and confidence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p>
      <w:pPr>
        <w:pStyle w:val="BodyText"/>
      </w:pPr>
      <w:r>
        <w:rPr>
          <w:bCs/>
          <w:b/>
        </w:rPr>
        <w:t xml:space="preserve">Residual activation of the motor system may provide another contribution to serial biases in perceptual choices</w:t>
      </w:r>
      <w:r>
        <w:rPr>
          <w:vertAlign w:val="superscript"/>
          <w:bCs/>
          <w:b/>
        </w:rPr>
        <w:t xml:space="preserve">72</w:t>
      </w:r>
      <w:r>
        <w:rPr>
          <w:bCs/>
          <w:b/>
        </w:rPr>
        <w:t xml:space="preserve">. Such motor-driven priming may lead to errors in randomized psychophysical designs, resembling the phenomenon that we identify as internally-biased processing</w:t>
      </w:r>
      <w:r>
        <w:rPr>
          <w:vertAlign w:val="superscript"/>
          <w:bCs/>
          <w:b/>
        </w:rPr>
        <w:t xml:space="preserve">73</w:t>
      </w:r>
      <w:r>
        <w:rPr>
          <w:bCs/>
          <w:b/>
        </w:rPr>
        <w:t xml:space="preserve">. Moreover, residual activation of the motor system may lead to faster responses, and thus constitutes an alternative explanation for the quadratic relationship of mode with RTs</w:t>
      </w:r>
      <w:r>
        <w:rPr>
          <w:vertAlign w:val="superscript"/>
          <w:bCs/>
          <w:b/>
        </w:rPr>
        <w:t xml:space="preserve">72</w:t>
      </w:r>
      <w:r>
        <w:rPr>
          <w:bCs/>
          <w:b/>
        </w:rP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bCs/>
          <w:b/>
        </w:rPr>
        <w:t xml:space="preserve">74</w:t>
      </w:r>
      <w:r>
        <w:rPr>
          <w:bCs/>
          <w:b/>
        </w:rPr>
        <w:t xml:space="preserve">. Likewise, perceptual history effects have repeatedly been replicated in experiments with counter-balanced stimulus-response mappings</w:t>
      </w:r>
      <w:r>
        <w:rPr>
          <w:vertAlign w:val="superscript"/>
          <w:bCs/>
          <w:b/>
        </w:rPr>
        <w:t xml:space="preserve">30: Feigin2021</w:t>
      </w:r>
      <w:r>
        <w:rPr>
          <w:bCs/>
          <w:b/>
        </w:rPr>
        <w:t xml:space="preserve">.</w:t>
      </w:r>
    </w:p>
    <w:p>
      <w:pPr>
        <w:pStyle w:val="BodyText"/>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database[IBL2023], may provide further insight into the relation of motor behavior to the perceptual phenomenon of between-mode fluctuations.</w:t>
      </w:r>
    </w:p>
    <w:bookmarkEnd w:id="34"/>
    <w:bookmarkStart w:id="35" w:name="limitations-and-open-questions"/>
    <w:p>
      <w:pPr>
        <w:pStyle w:val="Heading2"/>
      </w:pPr>
      <w:r>
        <w:t xml:space="preserve">Limitations and open questions</w:t>
      </w:r>
    </w:p>
    <w:p>
      <w:pPr>
        <w:pStyle w:val="FirstParagraph"/>
      </w:pPr>
      <w:r>
        <w:rPr>
          <w:bCs/>
          <w:b/>
        </w:rPr>
        <w:t xml:space="preserve">Our results suggest bimodal inference as a pervasive aspect in perceptual decision-making in humans and mice. However, a number of limitations and open questions have to be considered:</w:t>
      </w:r>
    </w:p>
    <w:p>
      <w:pPr>
        <w:pStyle w:val="BodyText"/>
      </w:pPr>
      <w:r>
        <w:rPr>
          <w:bCs/>
          <w:b/>
        </w:rPr>
        <w:t xml:space="preserve">First, this work sought to understand whether fluctuations between internal and external mode, which we initially observed in an experiment on bistable perception in humans</w:t>
      </w:r>
      <w:r>
        <w:rPr>
          <w:vertAlign w:val="superscript"/>
          <w:bCs/>
          <w:b/>
        </w:rPr>
        <w:t xml:space="preserve">19</w:t>
      </w:r>
      <w:r>
        <w:rPr>
          <w:bCs/>
          <w:b/>
        </w:rPr>
        <w:t xml:space="preserve">, are general phenomenon that occurs across a diverse set of perceptual decision-making tasks. Our analysis of the Confidence database</w:t>
      </w:r>
      <w:r>
        <w:rPr>
          <w:vertAlign w:val="superscript"/>
          <w:bCs/>
          <w:b/>
        </w:rPr>
        <w:t xml:space="preserve">20</w:t>
      </w:r>
      <w:r>
        <w:rPr>
          <w:bCs/>
          <w:b/>
        </w:rPr>
        <w:t xml:space="preserve"> </w:t>
      </w:r>
      <w:r>
        <w:rPr>
          <w:bCs/>
          <w:b/>
        </w:rP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pStyle w:val="BodyText"/>
      </w:pPr>
      <w:r>
        <w:rPr>
          <w:bCs/>
          <w:b/>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bCs/>
          <w:b/>
        </w:rPr>
        <w:t xml:space="preserve">21</w:t>
      </w:r>
      <w:r>
        <w:rPr>
          <w:bCs/>
          <w:b/>
        </w:rPr>
        <w:t xml:space="preserve">. It will be an important task for future research to validate our results on bimodal inference in a standardized dataset of comparable volume in humans, which is, to our knowledge, not yet available.</w:t>
      </w:r>
    </w:p>
    <w:p>
      <w:pPr>
        <w:pStyle w:val="BodyText"/>
      </w:pPr>
      <w:r>
        <w:rPr>
          <w:bCs/>
          <w:b/>
        </w:rP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bCs/>
          <w:b/>
        </w:rPr>
        <w:t xml:space="preserve">27,75,76</w:t>
      </w:r>
      <w:r>
        <w:rPr>
          <w:bCs/>
          <w:b/>
        </w:rPr>
        <w:t xml:space="preserve">: Short-term attraction may serve the decoding of noisy sensory inputs and increase the stability of perception, whereas long-term repulsion may enable efficient encoding and sensitivity to change</w:t>
      </w:r>
      <w:r>
        <w:rPr>
          <w:vertAlign w:val="superscript"/>
          <w:bCs/>
          <w:b/>
        </w:rPr>
        <w:t xml:space="preserve">27</w:t>
      </w:r>
      <w:r>
        <w:rPr>
          <w:bCs/>
          <w:b/>
        </w:rPr>
        <w:t xml:space="preserve">. In the data analyzed here, history biases tended to be repetitive (Figure 2A, Figure 3A, Supplemental Figure S6 and S7), as only 2 of the 66 experiments of the Confidence database</w:t>
      </w:r>
      <w:r>
        <w:rPr>
          <w:vertAlign w:val="superscript"/>
          <w:bCs/>
          <w:b/>
        </w:rPr>
        <w:t xml:space="preserve">20</w:t>
      </w:r>
      <w:r>
        <w:rPr>
          <w:bCs/>
          <w:b/>
        </w:rPr>
        <w:t xml:space="preserve"> </w:t>
      </w:r>
      <w:r>
        <w:rPr>
          <w:bCs/>
          <w:b/>
        </w:rP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bCs/>
          <w:b/>
        </w:rPr>
        <w:t xml:space="preserve">27</w:t>
      </w:r>
      <w:r>
        <w:rPr>
          <w:bCs/>
          <w:b/>
        </w:rPr>
        <w:t xml:space="preserve">.</w:t>
      </w:r>
    </w:p>
    <w:p>
      <w:pPr>
        <w:pStyle w:val="BodyText"/>
      </w:pPr>
      <w:r>
        <w:rPr>
          <w:bCs/>
          <w:b/>
        </w:rP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bCs/>
          <w:b/>
        </w:rPr>
        <w:t xml:space="preserve">51</w:t>
      </w:r>
      <w:r>
        <w:rPr>
          <w:bCs/>
          <w:b/>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vertAlign w:val="superscript"/>
          <w:bCs/>
          <w:b/>
        </w:rPr>
        <w:t xml:space="preserve">19</w:t>
      </w:r>
      <w:r>
        <w:rPr>
          <w:bCs/>
          <w:b/>
        </w:rPr>
        <w:t xml:space="preserve"> </w:t>
      </w:r>
      <w:r>
        <w:rPr>
          <w:bCs/>
          <w:b/>
        </w:rPr>
        <w:t xml:space="preserve">or discrete</w:t>
      </w:r>
      <w:r>
        <w:rPr>
          <w:vertAlign w:val="superscript"/>
          <w:bCs/>
          <w:b/>
        </w:rPr>
        <w:t xml:space="preserve">62</w:t>
      </w:r>
      <w:r>
        <w:rPr>
          <w:bCs/>
          <w:b/>
        </w:rPr>
        <w:t xml:space="preserve">,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pPr>
        <w:pStyle w:val="BodyText"/>
      </w:pPr>
      <w:r>
        <w:rPr>
          <w:bCs/>
          <w:b/>
        </w:rPr>
        <w:t xml:space="preserve">A final important avenue for further research on bimodal inference is identifying the neurobiological underpinnings of bimodal inference.</w:t>
      </w:r>
      <w:r>
        <w:t xml:space="preserve"> </w:t>
      </w:r>
      <w:r>
        <w:t xml:space="preserve">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pPr>
        <w:pStyle w:val="BodyText"/>
      </w:pPr>
      <w:r>
        <w:t xml:space="preserve">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 xml:space="preserve">18,77</w:t>
      </w:r>
      <w:r>
        <w:t xml:space="preserve"> </w:t>
      </w:r>
      <w:r>
        <w:t xml:space="preserve">or in calibrating metacognition and reality monitoring</w:t>
      </w:r>
      <w:r>
        <w:rPr>
          <w:vertAlign w:val="superscript"/>
        </w:rPr>
        <w:t xml:space="preserve">59</w:t>
      </w:r>
      <w:r>
        <w:t xml:space="preserve">. Answers to these questions may provide new insights into the pathophysiology of hallucinations and delusions, which have been characterized by an imbalance in the impact of external versus internal information</w:t>
      </w:r>
      <w:r>
        <w:rPr>
          <w:vertAlign w:val="superscript"/>
        </w:rPr>
        <w:t xml:space="preserve">56,78,79</w:t>
      </w:r>
      <w:r>
        <w:t xml:space="preserve"> </w:t>
      </w:r>
      <w:r>
        <w:t xml:space="preserve">and are typically associated with metacognitive failures and a departure from consensual reality</w:t>
      </w:r>
      <w:r>
        <w:rPr>
          <w:vertAlign w:val="superscript"/>
        </w:rPr>
        <w:t xml:space="preserve">79</w:t>
      </w:r>
      <w:r>
        <w:t xml:space="preserve">.</w:t>
      </w:r>
    </w:p>
    <w:p>
      <w:r>
        <w:br w:type="page"/>
      </w:r>
    </w:p>
    <w:bookmarkEnd w:id="35"/>
    <w:bookmarkEnd w:id="36"/>
    <w:bookmarkStart w:id="54" w:name="methods"/>
    <w:p>
      <w:pPr>
        <w:pStyle w:val="Heading1"/>
      </w:pPr>
      <w:r>
        <w:t xml:space="preserve">Methods</w:t>
      </w:r>
    </w:p>
    <w:bookmarkStart w:id="41" w:name="resource-availability"/>
    <w:p>
      <w:pPr>
        <w:pStyle w:val="Heading2"/>
      </w:pPr>
      <w:r>
        <w:t xml:space="preserve">Resource availability</w:t>
      </w:r>
    </w:p>
    <w:bookmarkStart w:id="37" w:name="lead-contact"/>
    <w:p>
      <w:pPr>
        <w:pStyle w:val="Heading3"/>
      </w:pPr>
      <w:r>
        <w:t xml:space="preserve">Lead contact</w:t>
      </w:r>
    </w:p>
    <w:p>
      <w:pPr>
        <w:pStyle w:val="FirstParagraph"/>
      </w:pPr>
      <w:r>
        <w:t xml:space="preserve">Further information and requests for resources should be directed to and will be fulfilled by the lead contact, Veith Weilnhammer (</w:t>
      </w:r>
      <w:hyperlink r:id="rId20">
        <w:r>
          <w:rPr>
            <w:rStyle w:val="Hyperlink"/>
          </w:rPr>
          <w:t xml:space="preserve">veith.weilnhammer@gmail.com</w:t>
        </w:r>
      </w:hyperlink>
      <w:r>
        <w:t xml:space="preserve">).</w:t>
      </w:r>
    </w:p>
    <w:bookmarkEnd w:id="37"/>
    <w:bookmarkStart w:id="38" w:name="materials-availability"/>
    <w:p>
      <w:pPr>
        <w:pStyle w:val="Heading3"/>
      </w:pPr>
      <w:r>
        <w:t xml:space="preserve">Materials availability</w:t>
      </w:r>
    </w:p>
    <w:p>
      <w:pPr>
        <w:pStyle w:val="FirstParagraph"/>
      </w:pPr>
      <w:r>
        <w:t xml:space="preserve">This study did not generate new unique reagents.</w:t>
      </w:r>
    </w:p>
    <w:bookmarkEnd w:id="38"/>
    <w:bookmarkStart w:id="40" w:name="data-and-code-availability"/>
    <w:p>
      <w:pPr>
        <w:pStyle w:val="Heading3"/>
      </w:pPr>
      <w:r>
        <w:t xml:space="preserve">Data and code availability</w:t>
      </w:r>
    </w:p>
    <w:p>
      <w:pPr>
        <w:pStyle w:val="FirstParagraph"/>
      </w:pPr>
      <w:r>
        <w:t xml:space="preserve">All custom code and behavioral data are available on</w:t>
      </w:r>
      <w:r>
        <w:t xml:space="preserve"> </w:t>
      </w:r>
      <w:hyperlink r:id="rId39">
        <w:r>
          <w:rPr>
            <w:rStyle w:val="Hyperlink"/>
          </w:rPr>
          <w:t xml:space="preserve">https://github.com/veithweilnhammer/Modes</w:t>
        </w:r>
      </w:hyperlink>
      <w:r>
        <w:t xml:space="preserve">. This manuscript was created using the</w:t>
      </w:r>
      <w:r>
        <w:t xml:space="preserve"> </w:t>
      </w:r>
      <w:r>
        <w:rPr>
          <w:iCs/>
          <w:i/>
        </w:rPr>
        <w:t xml:space="preserve">R Markdown</w:t>
      </w:r>
      <w:r>
        <w:t xml:space="preserve"> </w:t>
      </w:r>
      <w:r>
        <w:t xml:space="preserve">framework, which integrates all data-related computations and the formatted text within one document. With this, we wish to make our approach fully transparent and reproducible for reviewers and future readers.</w:t>
      </w:r>
    </w:p>
    <w:bookmarkEnd w:id="40"/>
    <w:bookmarkEnd w:id="41"/>
    <w:bookmarkStart w:id="44" w:name="experimental-model-and-subject-details"/>
    <w:p>
      <w:pPr>
        <w:pStyle w:val="Heading2"/>
      </w:pPr>
      <w:r>
        <w:t xml:space="preserve">Experimental model and subject details</w:t>
      </w:r>
    </w:p>
    <w:bookmarkStart w:id="42" w:name="confidence-database"/>
    <w:p>
      <w:pPr>
        <w:pStyle w:val="Heading3"/>
      </w:pPr>
      <w:r>
        <w:t xml:space="preserve">Confidence database</w:t>
      </w:r>
    </w:p>
    <w:p>
      <w:pPr>
        <w:pStyle w:val="FirstParagraph"/>
      </w:pPr>
      <w:r>
        <w:rPr>
          <w:bCs/>
          <w:b/>
        </w:rPr>
        <w:t xml:space="preserve">We downloaded the human data from the Confidence database</w:t>
      </w:r>
      <w:r>
        <w:rPr>
          <w:vertAlign w:val="superscript"/>
          <w:bCs/>
          <w:b/>
        </w:rPr>
        <w:t xml:space="preserve">20</w:t>
      </w:r>
      <w:r>
        <w:rPr>
          <w:bCs/>
          <w:b/>
        </w:rPr>
        <w:t xml:space="preserve"> </w:t>
      </w:r>
      <w:r>
        <w:rPr>
          <w:bCs/>
          <w:b/>
        </w:rPr>
        <w:t xml:space="preserve">on 10/21/2020, limiting our analyses to the category</w:t>
      </w:r>
      <w:r>
        <w:rPr>
          <w:bCs/>
          <w:b/>
        </w:rPr>
        <w:t xml:space="preserve"> </w:t>
      </w:r>
      <w:r>
        <w:rPr>
          <w:iCs/>
          <w:i/>
          <w:bCs/>
          <w:b/>
        </w:rPr>
        <w:t xml:space="preserve">perception</w:t>
      </w:r>
      <w:r>
        <w:rPr>
          <w:bCs/>
          <w:b/>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rPr>
          <w:bCs/>
          <w:b/>
        </w:rPr>
        <w:t xml:space="preserve"> </w:t>
      </w:r>
      <m:oMath>
        <m:r>
          <m:t>21.05</m:t>
        </m:r>
      </m:oMath>
      <w:r>
        <w:rPr>
          <w:bCs/>
          <w:b/>
        </w:rPr>
        <w:t xml:space="preserve"> </w:t>
      </w:r>
      <w:r>
        <w:rPr>
          <w:bCs/>
          <w:b/>
        </w:rP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bookmarkEnd w:id="42"/>
    <w:bookmarkStart w:id="43" w:name="ibl-database"/>
    <w:p>
      <w:pPr>
        <w:pStyle w:val="Heading3"/>
      </w:pPr>
      <w:r>
        <w:t xml:space="preserve">IBL database</w:t>
      </w:r>
    </w:p>
    <w:p>
      <w:pPr>
        <w:pStyle w:val="FirstParagraph"/>
      </w:pPr>
      <w:r>
        <w:t xml:space="preserve">We downloaded the data from the IBL database</w:t>
      </w:r>
      <w:r>
        <w:rPr>
          <w:vertAlign w:val="superscript"/>
        </w:rPr>
        <w:t xml:space="preserve">21</w:t>
      </w:r>
      <w:r>
        <w:t xml:space="preserve"> </w:t>
      </w:r>
      <w:r>
        <w:t xml:space="preserve">on 04/28/2021. We limited our analyses to the</w:t>
      </w:r>
      <w:r>
        <w:t xml:space="preserve"> </w:t>
      </w:r>
      <w:r>
        <w:rPr>
          <w:iCs/>
          <w:i/>
        </w:rPr>
        <w:t xml:space="preserve">basic task</w:t>
      </w:r>
      <w:r>
        <w:t xml:space="preserve">, during which mice responded to gratings that appeared with equal probability in the left or right hemifield. Within each mouse, we excluded sessions in which perceptual accuracy was below 80% for stimuli presented at a contrast</w:t>
      </w:r>
      <w:r>
        <w:t xml:space="preserve"> </w:t>
      </w:r>
      <m:oMath>
        <m:r>
          <m:rPr>
            <m:sty m:val="p"/>
          </m:rPr>
          <m:t>≥</m:t>
        </m:r>
      </m:oMath>
      <w:r>
        <w:t xml:space="preserve"> </w:t>
      </w:r>
      <w:r>
        <w:t xml:space="preserve">50%. After exclusion, our sample consisted of</w:t>
      </w:r>
      <w:r>
        <w:t xml:space="preserve"> </w:t>
      </w:r>
      <m:oMath>
        <m:r>
          <m:t>1.46</m:t>
        </m:r>
      </m:oMath>
      <w:r>
        <w:t xml:space="preserve"> </w:t>
      </w:r>
      <w:r>
        <w:t xml:space="preserve">million trials trials obtained from N = 165 mice.</w:t>
      </w:r>
    </w:p>
    <w:bookmarkEnd w:id="43"/>
    <w:bookmarkEnd w:id="44"/>
    <w:bookmarkStart w:id="49" w:name="method-details"/>
    <w:p>
      <w:pPr>
        <w:pStyle w:val="Heading2"/>
      </w:pPr>
      <w:r>
        <w:t xml:space="preserve">Method details</w:t>
      </w:r>
    </w:p>
    <w:bookmarkStart w:id="45" w:name="variables-of-interest"/>
    <w:p>
      <w:pPr>
        <w:pStyle w:val="Heading3"/>
      </w:pPr>
      <w:r>
        <w:t xml:space="preserve">Variables of interest</w:t>
      </w:r>
    </w:p>
    <w:p>
      <w:pPr>
        <w:pStyle w:val="FirstParagraph"/>
      </w:pPr>
      <w:r>
        <w:rPr>
          <w:bCs/>
          <w:b/>
        </w:rPr>
        <w:t xml:space="preserve">Primary variables of interest:</w:t>
      </w:r>
      <w:r>
        <w:t xml:space="preserve"> </w:t>
      </w:r>
      <w:r>
        <w:t xml:space="preserve">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pPr>
        <w:pStyle w:val="BodyText"/>
      </w:pPr>
      <w:r>
        <w:t xml:space="preserve">The</w:t>
      </w:r>
      <w:r>
        <w:t xml:space="preserve"> </w:t>
      </w:r>
      <w:r>
        <w:rPr>
          <w:iCs/>
          <w:i/>
        </w:rPr>
        <w:t xml:space="preserve">mode</w:t>
      </w:r>
      <w:r>
        <w:t xml:space="preserve"> </w:t>
      </w:r>
      <w:r>
        <w:t xml:space="preserve">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pPr>
        <w:pStyle w:val="BodyText"/>
      </w:pPr>
      <w:r>
        <w:rPr>
          <w:bCs/>
          <w:b/>
        </w:rPr>
        <w:t xml:space="preserve">Secondary variables of interest</w:t>
      </w:r>
      <w:r>
        <w:t xml:space="preserve">: From the Confidence Database</w:t>
      </w:r>
      <w:r>
        <w:rPr>
          <w:vertAlign w:val="superscript"/>
        </w:rPr>
        <w:t xml:space="preserve">20</w:t>
      </w:r>
      <w:r>
        <w:t xml:space="preserve">, we furthermore extracted trial-wise confidence reports and RTs.</w:t>
      </w:r>
      <w:r>
        <w:t xml:space="preserve"> </w:t>
      </w:r>
      <w:r>
        <w:rPr>
          <w:bCs/>
          <w:b/>
        </w:rPr>
        <w:t xml:space="preserve">Out of the 58 experiments that provide information on RTs, 46 cued the response by the onset of a response screen or an additional response cue, whereas 14 allowed participants to response at any time after stimulus onset.</w:t>
      </w:r>
      <w:r>
        <w:t xml:space="preserve"> </w:t>
      </w:r>
      <w:r>
        <w:t xml:space="preserve">If RTs were available for both the perceptual decision and the confidence report, we only extracted the RT associated with the perceptual decision. To enable comparability between studies, we normalized RTs and confidence reports within individual studies using the</w:t>
      </w:r>
      <w:r>
        <w:t xml:space="preserve"> </w:t>
      </w:r>
      <w:r>
        <w:rPr>
          <w:iCs/>
          <w:i/>
        </w:rPr>
        <w:t xml:space="preserve">scale</w:t>
      </w:r>
      <w:r>
        <w:t xml:space="preserve"> </w:t>
      </w:r>
      <w:r>
        <w:t xml:space="preserve">R function. If not available for a particular study, RTs were treated as missing variables.</w:t>
      </w:r>
      <w:r>
        <w:t xml:space="preserve"> </w:t>
      </w:r>
      <w:r>
        <w:t xml:space="preserve">From the IBL database</w:t>
      </w:r>
      <w:r>
        <w:rPr>
          <w:vertAlign w:val="superscript"/>
        </w:rPr>
        <w:t xml:space="preserve">21</w:t>
      </w:r>
      <w:r>
        <w:t xml:space="preserve">, we extracted trial durations (TDs) as defined by interval between stimulus onset and feedback, which represents a coarse measure of RT</w:t>
      </w:r>
      <w:r>
        <w:rPr>
          <w:vertAlign w:val="superscript"/>
        </w:rPr>
        <w:t xml:space="preserve">21</w:t>
      </w:r>
      <w:r>
        <w:t xml:space="preserve">.</w:t>
      </w:r>
    </w:p>
    <w:p>
      <w:pPr>
        <w:pStyle w:val="BodyText"/>
      </w:pPr>
      <w:r>
        <w:rPr>
          <w:bCs/>
          <w:b/>
        </w:rPr>
        <w:t xml:space="preserve">Exclusion criteria for individual data-points:</w:t>
      </w:r>
      <w:r>
        <w:t xml:space="preserve"> </w:t>
      </w:r>
      <w:r>
        <w:t xml:space="preserve">For non-normalized data (TDs from the IBL database</w:t>
      </w:r>
      <w:r>
        <w:rPr>
          <w:vertAlign w:val="superscript"/>
        </w:rPr>
        <w:t xml:space="preserve">21</w:t>
      </w:r>
      <w:r>
        <w:t xml:space="preserve">; d-prime, meta-dprime and M-ratio from the Confidence database</w:t>
      </w:r>
      <w:r>
        <w:rPr>
          <w:vertAlign w:val="superscript"/>
        </w:rPr>
        <w:t xml:space="preserve">20</w:t>
      </w:r>
      <w:r>
        <w:t xml:space="preserve"> </w:t>
      </w:r>
      <w:r>
        <w:t xml:space="preserve">and simulated confidence reports), we excluded data-points that differed from the median by more than 3 x MAD (median absolute distance</w:t>
      </w:r>
      <w:r>
        <w:rPr>
          <w:vertAlign w:val="superscript"/>
        </w:rPr>
        <w:t xml:space="preserve">49</w:t>
      </w:r>
      <w:r>
        <w:t xml:space="preserve">). For normalized data (RTs and confidence reports from the Confidence database</w:t>
      </w:r>
      <w:r>
        <w:rPr>
          <w:vertAlign w:val="superscript"/>
        </w:rPr>
        <w:t xml:space="preserve">20</w:t>
      </w:r>
      <w:r>
        <w:t xml:space="preserve">), we excluded data-points that differed from the mean by more than 3 x SD (standard deviation).</w:t>
      </w:r>
    </w:p>
    <w:bookmarkEnd w:id="45"/>
    <w:bookmarkStart w:id="46" w:name="control-variables"/>
    <w:p>
      <w:pPr>
        <w:pStyle w:val="Heading3"/>
      </w:pPr>
      <w:r>
        <w:t xml:space="preserve">Control variables</w:t>
      </w:r>
    </w:p>
    <w:p>
      <w:pPr>
        <w:pStyle w:val="FirstParagraph"/>
      </w:pPr>
      <w:r>
        <w:t xml:space="preserve">Next to the sequence of presented stimuli, we assessed the autocorrelation of task difficulty as an alternative explanation for any autocorrelation in stimulus- and history-congruence. In the Confidence Database</w:t>
      </w:r>
      <w:r>
        <w:rPr>
          <w:vertAlign w:val="superscript"/>
        </w:rPr>
        <w:t xml:space="preserve">20</w:t>
      </w:r>
      <w:r>
        <w:t xml:space="preserve">,</w:t>
      </w:r>
      <w:r>
        <w:t xml:space="preserve"> </w:t>
      </w:r>
      <w:r>
        <w:rPr>
          <w:bCs/>
          <w:b/>
        </w:rP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r>
        <w:t xml:space="preserve"> </w:t>
      </w:r>
      <w:r>
        <w:t xml:space="preserve">In analogy to RTs and confidence, difficulty levels were normalized within individual studies. For the IBL Database</w:t>
      </w:r>
      <w:r>
        <w:rPr>
          <w:vertAlign w:val="superscript"/>
        </w:rPr>
        <w:t xml:space="preserve">21</w:t>
      </w:r>
      <w:r>
        <w:t xml:space="preserve">, task difficulty was defined by the contrast of the presented grating.</w:t>
      </w:r>
    </w:p>
    <w:bookmarkEnd w:id="46"/>
    <w:bookmarkStart w:id="47" w:name="autocorrelations"/>
    <w:p>
      <w:pPr>
        <w:pStyle w:val="Heading3"/>
      </w:pPr>
      <w:r>
        <w:t xml:space="preserve">Autocorrelations</w:t>
      </w:r>
    </w:p>
    <w:p>
      <w:pPr>
        <w:pStyle w:val="FirstParagraph"/>
      </w:pPr>
      <w:r>
        <w:t xml:space="preserve">For each participant, trial-wise autocorrelation coefficients were estimated using the R-function</w:t>
      </w:r>
      <w:r>
        <w:t xml:space="preserve"> </w:t>
      </w:r>
      <w:r>
        <w:rPr>
          <w:iCs/>
          <w:i/>
        </w:rPr>
        <w:t xml:space="preserve">acf</w:t>
      </w:r>
      <w:r>
        <w:t xml:space="preserve"> </w:t>
      </w:r>
      <w:r>
        <w:t xml:space="preserve">with a maximum lag defined by the number of trials available per subject. Autocorrelation coefficients are displayed against the lag (in numbers of trials, ranging from 1 to 20) relative to the index trial (t = 0; Figure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pPr>
        <w:pStyle w:val="BodyText"/>
      </w:pPr>
      <w: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w:t>
      </w:r>
      <w:r>
        <w:t xml:space="preserve"> </w:t>
      </w:r>
      <w:r>
        <w:rPr>
          <w:iCs/>
          <w:i/>
        </w:rPr>
        <w:t xml:space="preserve">Mixed effects modeling</w:t>
      </w:r>
      <w:r>
        <w:t xml:space="preserve">).</w:t>
      </w:r>
    </w:p>
    <w:p>
      <w:pPr>
        <w:pStyle w:val="BodyText"/>
      </w:pPr>
      <w: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w:t>
      </w:r>
      <w:r>
        <w:t xml:space="preserve"> </w:t>
      </w:r>
      <w:r>
        <w:rPr>
          <w:iCs/>
          <w:i/>
        </w:rPr>
        <w:t xml:space="preserve">less than 50%</w:t>
      </w:r>
      <w:r>
        <w:t xml:space="preserve"> </w:t>
      </w:r>
      <w:r>
        <w:t xml:space="preserve">of the autocorrelation coefficients computed for randomly permuted data at the first trial following the index trial. A count of five indicates that, for the first five trials following the index trial, the true autocorrelation coefficients exceeded</w:t>
      </w:r>
      <w:r>
        <w:t xml:space="preserve"> </w:t>
      </w:r>
      <w:r>
        <w:rPr>
          <w:iCs/>
          <w:i/>
        </w:rPr>
        <w:t xml:space="preserve">more than 50%</w:t>
      </w:r>
      <w:r>
        <w:t xml:space="preserve"> </w:t>
      </w:r>
      <w:r>
        <w:t xml:space="preserve">of the respective autocorrelation coefficients for the randomly permuted data; at the 6th trial following the index trial, however,</w:t>
      </w:r>
      <w:r>
        <w:t xml:space="preserve"> </w:t>
      </w:r>
      <w:r>
        <w:rPr>
          <w:iCs/>
          <w:i/>
        </w:rPr>
        <w:t xml:space="preserve">less than 50%</w:t>
      </w:r>
      <w:r>
        <w:t xml:space="preserve"> </w:t>
      </w:r>
      <w:r>
        <w:t xml:space="preserve">of the autocorrelation coefficients exceeded the respective permuted autocorrelation coefficients.</w:t>
      </w:r>
    </w:p>
    <w:bookmarkEnd w:id="47"/>
    <w:bookmarkStart w:id="48" w:name="spectral-analysis"/>
    <w:p>
      <w:pPr>
        <w:pStyle w:val="Heading3"/>
      </w:pPr>
      <w:r>
        <w:t xml:space="preserve">Spectral analysis</w:t>
      </w:r>
    </w:p>
    <w:p>
      <w:pPr>
        <w:pStyle w:val="FirstParagraph"/>
      </w:pPr>
      <w:r>
        <w:t xml:space="preserve">We used the R function</w:t>
      </w:r>
      <w:r>
        <w:t xml:space="preserve"> </w:t>
      </w:r>
      <w:r>
        <w:rPr>
          <w:iCs/>
          <w:i/>
        </w:rPr>
        <w:t xml:space="preserve">spectrum</w:t>
      </w:r>
      <w:r>
        <w:t xml:space="preserve"> </w:t>
      </w:r>
      <w:r>
        <w:t xml:space="preserve">to compute the spectral densities for the dynamic probabilities of stimulus- and history-congruence as well as the phase (i.e., frequency-specific shift between the two time-series ranging from 0 to</w:t>
      </w:r>
      <w:r>
        <w:t xml:space="preserve"> </w:t>
      </w:r>
      <m:oMath>
        <m:r>
          <m:t>2</m:t>
        </m:r>
        <m:r>
          <m:rPr>
            <m:sty m:val="p"/>
          </m:rPr>
          <m:t>*</m:t>
        </m:r>
        <m:r>
          <m:t>π</m:t>
        </m:r>
      </m:oMath>
      <w:r>
        <w:t xml:space="preserve">) and squared coherence (frequency-specific variable that denotes the degree to which the shift between the two time-series in constant, ranging from 0 to 100%). Periodograms were smoothed using modified Daniell smoothers at a width of 50.</w:t>
      </w:r>
    </w:p>
    <w:p>
      <w:pPr>
        <w:pStyle w:val="BodyText"/>
      </w:pPr>
      <w:r>
        <w:t xml:space="preserve">Since the dynamic probabilities of history- and stimulus-congruence were computed using a sliding windows of ±5 trials (i.e., intervals containing a total of 11 trials), we report the spectral density, coherence and phase for frequencies below 1/11 1/</w:t>
      </w:r>
      <m:oMath>
        <m:sSub>
          <m:e>
            <m:r>
              <m:t>N</m:t>
            </m:r>
          </m:e>
          <m:sub>
            <m:r>
              <m:t>t</m:t>
            </m:r>
            <m:r>
              <m:t>r</m:t>
            </m:r>
            <m:r>
              <m:t>i</m:t>
            </m:r>
            <m:r>
              <m:t>a</m:t>
            </m:r>
            <m:r>
              <m:t>l</m:t>
            </m:r>
            <m:r>
              <m:t>s</m:t>
            </m:r>
          </m:sub>
        </m:sSub>
      </m:oMath>
      <w:r>
        <w:t xml:space="preserve">. Spectral densities have one value per subject and frequency (data shown in Figures 2D and 3D). To assess the relation between stimulus- and history-congruence in this frequency range, we report average phase and average squared coherence for all frequencies below 1/11 1/</w:t>
      </w:r>
      <m:oMath>
        <m:sSub>
          <m:e>
            <m:r>
              <m:t>N</m:t>
            </m:r>
          </m:e>
          <m:sub>
            <m:r>
              <m:t>t</m:t>
            </m:r>
            <m:r>
              <m:t>r</m:t>
            </m:r>
            <m:r>
              <m:t>i</m:t>
            </m:r>
            <m:r>
              <m:t>a</m:t>
            </m:r>
            <m:r>
              <m:t>l</m:t>
            </m:r>
            <m:r>
              <m:t>s</m:t>
            </m:r>
          </m:sub>
        </m:sSub>
      </m:oMath>
      <w:r>
        <w:t xml:space="preserve"> </w:t>
      </w:r>
      <w:r>
        <w:t xml:space="preserve">(i.e., one value per subject; data shown in Figure 2E-F and 3E-F).</w:t>
      </w:r>
    </w:p>
    <w:p>
      <w:pPr>
        <w:pStyle w:val="BodyText"/>
      </w:pPr>
      <w:r>
        <w:t xml:space="preserve">Since the data extracted from the Confidence Database</w:t>
      </w:r>
      <w:r>
        <w:rPr>
          <w:vertAlign w:val="superscript"/>
        </w:rPr>
        <w:t xml:space="preserve">20</w:t>
      </w:r>
      <w:r>
        <w:t xml:space="preserve"> </w:t>
      </w:r>
      <w:r>
        <w:t xml:space="preserve">consist of a large set of individual studies that differ with respect to inter-trial intervals, we defined the variable</w:t>
      </w:r>
      <w:r>
        <w:t xml:space="preserve"> </w:t>
      </w:r>
      <w:r>
        <w:rPr>
          <w:iCs/>
          <w:i/>
        </w:rPr>
        <w:t xml:space="preserve">frequency</w:t>
      </w:r>
      <w:r>
        <w:t xml:space="preserve"> </w:t>
      </w:r>
      <w:r>
        <w:t xml:space="preserve">in the dimension of cycles per trial 1/</w:t>
      </w:r>
      <m:oMath>
        <m:sSub>
          <m:e>
            <m:r>
              <m:t>N</m:t>
            </m:r>
          </m:e>
          <m:sub>
            <m:r>
              <m:t>t</m:t>
            </m:r>
            <m:r>
              <m:t>r</m:t>
            </m:r>
            <m:r>
              <m:t>i</m:t>
            </m:r>
            <m:r>
              <m:t>a</m:t>
            </m:r>
            <m:r>
              <m:t>l</m:t>
            </m:r>
            <m:r>
              <m:t>s</m:t>
            </m:r>
          </m:sub>
        </m:sSub>
      </m:oMath>
      <w:r>
        <w:t xml:space="preserve"> </w:t>
      </w:r>
      <w:r>
        <w:t xml:space="preserve">rather than cycles per second (Hz). For consistency, we chose 1/</w:t>
      </w:r>
      <m:oMath>
        <m:sSub>
          <m:e>
            <m:r>
              <m:t>N</m:t>
            </m:r>
          </m:e>
          <m:sub>
            <m:r>
              <m:t>t</m:t>
            </m:r>
            <m:r>
              <m:t>r</m:t>
            </m:r>
            <m:r>
              <m:t>i</m:t>
            </m:r>
            <m:r>
              <m:t>a</m:t>
            </m:r>
            <m:r>
              <m:t>l</m:t>
            </m:r>
            <m:r>
              <m:t>s</m:t>
            </m:r>
          </m:sub>
        </m:sSub>
      </m:oMath>
      <w:r>
        <w:t xml:space="preserve"> </w:t>
      </w:r>
      <w:r>
        <w:t xml:space="preserve">as the unit of frequency for the IBL database</w:t>
      </w:r>
      <w:r>
        <w:rPr>
          <w:vertAlign w:val="superscript"/>
        </w:rPr>
        <w:t xml:space="preserve">21</w:t>
      </w:r>
      <w:r>
        <w:t xml:space="preserve"> </w:t>
      </w:r>
      <w:r>
        <w:t xml:space="preserve">as well.</w:t>
      </w:r>
    </w:p>
    <w:bookmarkEnd w:id="48"/>
    <w:bookmarkEnd w:id="49"/>
    <w:bookmarkStart w:id="53" w:name="X6d83ce5805ac134a746faa986951a3328d4574a"/>
    <w:p>
      <w:pPr>
        <w:pStyle w:val="Heading2"/>
      </w:pPr>
      <w:r>
        <w:t xml:space="preserve">Quantification and statistical procedures</w:t>
      </w:r>
    </w:p>
    <w:p>
      <w:pPr>
        <w:pStyle w:val="FirstParagraph"/>
      </w:pPr>
      <w:r>
        <w:t xml:space="preserve">All aggregate data are reported and displayed with errorbars as mean ± standard error of the mean.</w:t>
      </w:r>
    </w:p>
    <w:bookmarkStart w:id="50" w:name="mixed-effects-modeling"/>
    <w:p>
      <w:pPr>
        <w:pStyle w:val="Heading3"/>
      </w:pPr>
      <w:r>
        <w:t xml:space="preserve">Mixed effects modeling</w:t>
      </w:r>
    </w:p>
    <w:p>
      <w:pPr>
        <w:pStyle w:val="FirstParagraph"/>
      </w:pPr>
      <w:r>
        <w:t xml:space="preserve">Unless indicated otherwise, we performed group-level inference using the R-packages</w:t>
      </w:r>
      <w:r>
        <w:t xml:space="preserve"> </w:t>
      </w:r>
      <w:r>
        <w:rPr>
          <w:iCs/>
          <w:i/>
        </w:rPr>
        <w:t xml:space="preserve">lmer</w:t>
      </w:r>
      <w:r>
        <w:t xml:space="preserve"> </w:t>
      </w:r>
      <w:r>
        <w:t xml:space="preserve">and</w:t>
      </w:r>
      <w:r>
        <w:t xml:space="preserve"> </w:t>
      </w:r>
      <w:r>
        <w:rPr>
          <w:iCs/>
          <w:i/>
        </w:rPr>
        <w:t xml:space="preserve">afex</w:t>
      </w:r>
      <w:r>
        <w:t xml:space="preserve"> </w:t>
      </w:r>
      <w:r>
        <w:t xml:space="preserve">for linear mixed effects modeling and</w:t>
      </w:r>
      <w:r>
        <w:t xml:space="preserve"> </w:t>
      </w:r>
      <w:r>
        <w:rPr>
          <w:iCs/>
          <w:i/>
        </w:rPr>
        <w:t xml:space="preserve">glmer</w:t>
      </w:r>
      <w:r>
        <w:t xml:space="preserve"> </w:t>
      </w:r>
      <w:r>
        <w:t xml:space="preserve">with a binomial link-function for logistic regression. We compared models based on AIC. To account for variability between the studies available from the Confidence Database</w:t>
      </w:r>
      <w:r>
        <w:rPr>
          <w:vertAlign w:val="superscript"/>
        </w:rPr>
        <w:t xml:space="preserve">20</w:t>
      </w:r>
      <w:r>
        <w:t xml:space="preserve">, mixed modeling was conducted using random intercepts defined for each study. To account for variability across experimental session within the IBL database</w:t>
      </w:r>
      <w:r>
        <w:rPr>
          <w:vertAlign w:val="superscript"/>
        </w:rPr>
        <w:t xml:space="preserve">21</w:t>
      </w:r>
      <w:r>
        <w:t xml:space="preserve">, mixed modeling was conducted using random intercepts defined for each individual session. When multiple within-participant datapoints were analyzed, we estimated random intercepts for each participant that were</w:t>
      </w:r>
      <w:r>
        <w:t xml:space="preserve"> </w:t>
      </w:r>
      <w:r>
        <w:rPr>
          <w:iCs/>
          <w:i/>
        </w:rPr>
        <w:t xml:space="preserve">nested</w:t>
      </w:r>
      <w:r>
        <w:t xml:space="preserve"> </w:t>
      </w:r>
      <w:r>
        <w:t xml:space="preserve">within the respective study of the Confidence database</w:t>
      </w:r>
      <w:r>
        <w:rPr>
          <w:vertAlign w:val="superscript"/>
        </w:rPr>
        <w:t xml:space="preserve">20</w:t>
      </w:r>
      <w:r>
        <w:t xml:space="preserve">. By analogy, for the IBL database</w:t>
      </w:r>
      <w:r>
        <w:rPr>
          <w:vertAlign w:val="superscript"/>
        </w:rPr>
        <w:t xml:space="preserve">21</w:t>
      </w:r>
      <w:r>
        <w:t xml:space="preserve">, we estimated random intercepts for each session that were nested within the respective mouse. We report</w:t>
      </w:r>
      <w:r>
        <w:t xml:space="preserve"> </w:t>
      </w:r>
      <m:oMath>
        <m:r>
          <m:t>β</m:t>
        </m:r>
      </m:oMath>
      <w:r>
        <w:t xml:space="preserve"> </w:t>
      </w:r>
      <w:r>
        <w:t xml:space="preserve">values referring to the estimates provided by mixed effects modeling, followed by the respective T statistic (linear models) or z statistic (logistic models).</w:t>
      </w:r>
    </w:p>
    <w:p>
      <w:pPr>
        <w:pStyle w:val="BodyText"/>
      </w:pPr>
      <w:r>
        <w:t xml:space="preserve">The effects of stimulus- and history-congruence on RTs and confidence reports (Figure 2, 3 and 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bookmarkEnd w:id="50"/>
    <w:bookmarkStart w:id="51" w:name="psychometric-function"/>
    <w:p>
      <w:pPr>
        <w:pStyle w:val="Heading3"/>
      </w:pPr>
      <w:r>
        <w:t xml:space="preserve">Psychometric function</w:t>
      </w:r>
    </w:p>
    <w:p>
      <w:pPr>
        <w:pStyle w:val="FirstParagraph"/>
      </w:pPr>
      <w:r>
        <w:t xml:space="preserve">We obtained psychometric curves by fitting the following error function to the behavioral data:</w:t>
      </w:r>
    </w:p>
    <w:p>
      <w:pPr>
        <w:pStyle w:val="BodyText"/>
      </w:pPr>
    </w:p>
    <w:p>
      <w:pPr>
        <w:pStyle w:val="BodyText"/>
      </w:pPr>
      <w:r>
        <w:t xml:space="preserve">We used the Broyden–Fletcher–Goldfarb–Shanno algorithm in maximum likelihood estimation</w:t>
      </w:r>
      <w:r>
        <w:rPr>
          <w:vertAlign w:val="superscript"/>
        </w:rPr>
        <w:t xml:space="preserve">80</w:t>
      </w:r>
      <w:r>
        <w:t xml:space="preserve"> </w:t>
      </w:r>
      <w:r>
        <w:t xml:space="preserve">to predict individual choices</w:t>
      </w:r>
      <w:r>
        <w:t xml:space="preserve"> </w:t>
      </w:r>
      <m:oMath>
        <m:r>
          <m:t>y</m:t>
        </m:r>
      </m:oMath>
      <w:r>
        <w:t xml:space="preserve"> </w:t>
      </w:r>
      <w:r>
        <w:t xml:space="preserve">(outcome A:</w:t>
      </w:r>
      <w:r>
        <w:t xml:space="preserve"> </w:t>
      </w:r>
      <m:oMath>
        <m:r>
          <m:t>y</m:t>
        </m:r>
        <m:r>
          <m:rPr>
            <m:sty m:val="p"/>
          </m:rPr>
          <m:t>=</m:t>
        </m:r>
        <m:r>
          <m:t>0</m:t>
        </m:r>
      </m:oMath>
      <w:r>
        <w:t xml:space="preserve">; outcome B:</w:t>
      </w:r>
      <w:r>
        <w:t xml:space="preserve"> </w:t>
      </w:r>
      <m:oMath>
        <m:r>
          <m:t>y</m:t>
        </m:r>
        <m:r>
          <m:rPr>
            <m:sty m:val="p"/>
          </m:rPr>
          <m:t>=</m:t>
        </m:r>
        <m:r>
          <m:t>1</m:t>
        </m:r>
      </m:oMath>
      <w:r>
        <w:t xml:space="preserve">) from the choice probability</w:t>
      </w:r>
      <w:r>
        <w:t xml:space="preserve"> </w:t>
      </w:r>
      <m:oMath>
        <m:sSub>
          <m:e>
            <m:r>
              <m:t>y</m:t>
            </m:r>
          </m:e>
          <m:sub>
            <m:r>
              <m:t>p</m:t>
            </m:r>
          </m:sub>
        </m:sSub>
      </m:oMath>
      <w:r>
        <w:t xml:space="preserve">. In humans, we computed</w:t>
      </w:r>
      <w:r>
        <w:t xml:space="preserve"> </w:t>
      </w:r>
      <m:oMath>
        <m:sSub>
          <m:e>
            <m:r>
              <m:t>s</m:t>
            </m:r>
          </m:e>
          <m:sub>
            <m:r>
              <m:t>w</m:t>
            </m:r>
          </m:sub>
        </m:sSub>
      </m:oMath>
      <w:r>
        <w:t xml:space="preserve"> </w:t>
      </w:r>
      <w:r>
        <w:t xml:space="preserve">by multiplying the inputs</w:t>
      </w:r>
      <w:r>
        <w:t xml:space="preserve"> </w:t>
      </w:r>
      <m:oMath>
        <m:r>
          <m:t>s</m:t>
        </m:r>
      </m:oMath>
      <w:r>
        <w:t xml:space="preserve"> </w:t>
      </w:r>
      <w:r>
        <w:t xml:space="preserve">(stimulus A: 0; outcome B: 1) with the task difficulty</w:t>
      </w:r>
      <w:r>
        <w:t xml:space="preserve"> </w:t>
      </w:r>
      <m:oMath>
        <m:sSub>
          <m:e>
            <m:r>
              <m:t>D</m:t>
            </m:r>
          </m:e>
          <m:sub>
            <m:r>
              <m:t>b</m:t>
            </m:r>
          </m:sub>
        </m:sSub>
      </m:oMath>
      <w:r>
        <w:t xml:space="preserve"> </w:t>
      </w:r>
      <w:r>
        <w:t xml:space="preserve">(binarized across 7 levels):</w:t>
      </w:r>
    </w:p>
    <w:p>
      <w:pPr>
        <w:pStyle w:val="BodyText"/>
      </w:pPr>
    </w:p>
    <w:p>
      <w:pPr>
        <w:pStyle w:val="BodyText"/>
      </w:pPr>
      <w:r>
        <w:t xml:space="preserve">In mice,</w:t>
      </w:r>
      <w:r>
        <w:t xml:space="preserve"> </w:t>
      </w:r>
      <m:oMath>
        <m:sSub>
          <m:e>
            <m:r>
              <m:t>s</m:t>
            </m:r>
          </m:e>
          <m:sub>
            <m:r>
              <m:t>w</m:t>
            </m:r>
          </m:sub>
        </m:sSub>
      </m:oMath>
      <w:r>
        <w:t xml:space="preserve"> </w:t>
      </w:r>
      <w:r>
        <w:t xml:space="preserve">was defined by the respective stimulus contrast in the two hemifields:</w:t>
      </w:r>
    </w:p>
    <w:p>
      <w:pPr>
        <w:pStyle w:val="BodyText"/>
      </w:pPr>
    </w:p>
    <w:p>
      <w:pPr>
        <w:pStyle w:val="BodyText"/>
      </w:pPr>
      <w:r>
        <w:t xml:space="preserve">Parameters of the psychometric error function were fitted using the R-package</w:t>
      </w:r>
      <w:r>
        <w:t xml:space="preserve"> </w:t>
      </w:r>
      <w:r>
        <w:rPr>
          <w:iCs/>
          <w:i/>
        </w:rPr>
        <w:t xml:space="preserve">optimx</w:t>
      </w:r>
      <w:r>
        <w:rPr>
          <w:vertAlign w:val="superscript"/>
        </w:rPr>
        <w:t xml:space="preserve">80</w:t>
      </w:r>
      <w:r>
        <w:t xml:space="preserve">. The psychometric error function was defined via the parameters</w:t>
      </w:r>
      <w:r>
        <w:t xml:space="preserve"> </w:t>
      </w:r>
      <m:oMath>
        <m:r>
          <m:t>γ</m:t>
        </m:r>
      </m:oMath>
      <w:r>
        <w:t xml:space="preserve"> </w:t>
      </w:r>
      <w:r>
        <w:t xml:space="preserve">(lower lapse; lower bound = 0, upper bound = 0.5),</w:t>
      </w:r>
      <w:r>
        <w:t xml:space="preserve"> </w:t>
      </w:r>
      <m:oMath>
        <m:r>
          <m:t>δ</m:t>
        </m:r>
      </m:oMath>
      <w:r>
        <w:t xml:space="preserve"> </w:t>
      </w:r>
      <w:r>
        <w:t xml:space="preserve">(upper lapse; lower bound = 0, upper bound = 0.5),</w:t>
      </w:r>
      <w:r>
        <w:t xml:space="preserve"> </w:t>
      </w:r>
      <m:oMath>
        <m:r>
          <m:t>μ</m:t>
        </m:r>
      </m:oMath>
      <w:r>
        <w:t xml:space="preserve"> </w:t>
      </w:r>
      <w:r>
        <w:t xml:space="preserve">(bias; lower bound humans = -5; upper bound humans = 5, lower bound mice = -0.5, upper bound mice = 0.5) and threshold</w:t>
      </w:r>
      <w:r>
        <w:t xml:space="preserve"> </w:t>
      </w:r>
      <m:oMath>
        <m:r>
          <m:t>t</m:t>
        </m:r>
      </m:oMath>
      <w:r>
        <w:t xml:space="preserve"> </w:t>
      </w:r>
      <w:r>
        <w:t xml:space="preserve">(lower bound humans = 0.5, upper bound humans = 25; lower bound mice = 0.01, upper bound mice = 1.5).</w:t>
      </w:r>
    </w:p>
    <w:bookmarkEnd w:id="51"/>
    <w:bookmarkStart w:id="52" w:name="computational-modeling"/>
    <w:p>
      <w:pPr>
        <w:pStyle w:val="Heading3"/>
      </w:pPr>
      <w:r>
        <w:t xml:space="preserve">Computational modeling</w:t>
      </w:r>
    </w:p>
    <w:p>
      <w:pPr>
        <w:pStyle w:val="FirstParagraph"/>
      </w:pPr>
      <w:r>
        <w:rPr>
          <w:bCs/>
          <w:b/>
        </w:rPr>
        <w:t xml:space="preserve">Model definition</w:t>
      </w:r>
      <w:r>
        <w:t xml:space="preserve">: Our modeling analysis is an extension of a model proposed by Glaze et al.</w:t>
      </w:r>
      <w:r>
        <w:rPr>
          <w:vertAlign w:val="superscript"/>
        </w:rPr>
        <w:t xml:space="preserve">51</w:t>
      </w:r>
      <w:r>
        <w:t xml:space="preserve">, who defined a normative account of evidence accumulation for decision-making. In this model, trial-wise choices are explained by applying Bayes theorem to infer moment-by-moment changes in the state of environment from trial-wise noisy observations across trials.</w:t>
      </w:r>
    </w:p>
    <w:p>
      <w:pPr>
        <w:pStyle w:val="BodyText"/>
      </w:pPr>
      <w:r>
        <w:t xml:space="preserve">Following Glaze et al.</w:t>
      </w:r>
      <w:r>
        <w:rPr>
          <w:vertAlign w:val="superscript"/>
        </w:rPr>
        <w:t xml:space="preserve">51</w:t>
      </w:r>
      <w:r>
        <w:t xml:space="preserve">, we applied Bayes rule to compute the posterior evidence for the two alternative choices (i.e., the log posterior ratio</w:t>
      </w:r>
      <w:r>
        <w:t xml:space="preserve"> </w:t>
      </w:r>
      <m:oMath>
        <m:r>
          <m:t>L</m:t>
        </m:r>
      </m:oMath>
      <w:r>
        <w:t xml:space="preserve">) from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w:t>
      </w:r>
      <w:r>
        <w:t xml:space="preserve"> </w:t>
      </w:r>
      <w:r>
        <w:rPr>
          <w:bCs/>
          <w:b/>
        </w:rPr>
        <w:t xml:space="preserve">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 xml:space="preserve">20,21</w:t>
      </w:r>
      <w:r>
        <w:t xml:space="preserve">, humans and mice showed significant biases toward preceding choices (Figure 2A and 3A). We thus assumed that the prior probability of the two possible outcomes depends on the posterior choice probability at the preceding trial and the hazard rate</w:t>
      </w:r>
      <w:r>
        <w:t xml:space="preserve"> </w:t>
      </w:r>
      <m:oMath>
        <m:r>
          <m:t>H</m:t>
        </m:r>
      </m:oMath>
      <w:r>
        <w:t xml:space="preserve"> </w:t>
      </w:r>
      <w:r>
        <w:t xml:space="preserve">assumed by the participant. Following Glaze et al.</w:t>
      </w:r>
      <w:r>
        <w:rPr>
          <w:vertAlign w:val="superscript"/>
        </w:rPr>
        <w:t xml:space="preserve">51</w:t>
      </w:r>
      <w:r>
        <w:t xml:space="preserve">, the prior</w:t>
      </w:r>
      <w:r>
        <w:t xml:space="preserve"> </w:t>
      </w:r>
      <m:oMath>
        <m:r>
          <m:t>ψ</m:t>
        </m:r>
      </m:oMath>
      <w:r>
        <w:t xml:space="preserve"> </w:t>
      </w:r>
      <w:r>
        <w:t xml:space="preserve">is thus computed as follows:</w:t>
      </w:r>
    </w:p>
    <w:p>
      <w:pPr>
        <w:pStyle w:val="BodyText"/>
      </w:pPr>
    </w:p>
    <w:p>
      <w:pPr>
        <w:pStyle w:val="BodyText"/>
      </w:pPr>
      <w:r>
        <w:t xml:space="preserve">In this model, humans, mice and simulated agents make perceptual choices based on noisy observations</w:t>
      </w:r>
      <w:r>
        <w:t xml:space="preserve"> </w:t>
      </w:r>
      <m:oMath>
        <m:r>
          <m:t>u</m:t>
        </m:r>
      </m:oMath>
      <w:r>
        <w:t xml:space="preserve">. The are computed by applying a sensitivity parameter</w:t>
      </w:r>
      <w:r>
        <w:t xml:space="preserve"> </w:t>
      </w:r>
      <m:oMath>
        <m:r>
          <m:t>α</m:t>
        </m:r>
      </m:oMath>
      <w:r>
        <w:t xml:space="preserve"> </w:t>
      </w:r>
      <w:r>
        <w:t xml:space="preserve">to the content of external sensory information</w:t>
      </w:r>
      <w:r>
        <w:t xml:space="preserve"> </w:t>
      </w:r>
      <m:oMath>
        <m:r>
          <m:t>s</m:t>
        </m:r>
      </m:oMath>
      <w:r>
        <w:t xml:space="preserve">. For humans, we defined the input</w:t>
      </w:r>
      <w:r>
        <w:t xml:space="preserve"> </w:t>
      </w:r>
      <m:oMath>
        <m:r>
          <m:t>s</m:t>
        </m:r>
      </m:oMath>
      <w:r>
        <w:t xml:space="preserve"> </w:t>
      </w:r>
      <w:r>
        <w:t xml:space="preserve">by the two alternative states of the environment (stimulus A:</w:t>
      </w:r>
      <w:r>
        <w:t xml:space="preserve"> </w:t>
      </w:r>
      <m:oMath>
        <m:r>
          <m:t>s</m:t>
        </m:r>
        <m:r>
          <m:rPr>
            <m:sty m:val="p"/>
          </m:rPr>
          <m:t>=</m:t>
        </m:r>
        <m:r>
          <m:t>0</m:t>
        </m:r>
      </m:oMath>
      <w:r>
        <w:t xml:space="preserve">; stimulus B:</w:t>
      </w:r>
      <w:r>
        <w:t xml:space="preserve"> </w:t>
      </w:r>
      <m:oMath>
        <m:r>
          <m:t>s</m:t>
        </m:r>
        <m:r>
          <m:rPr>
            <m:sty m:val="p"/>
          </m:rPr>
          <m:t>=</m:t>
        </m:r>
        <m:r>
          <m:t>1</m:t>
        </m:r>
      </m:oMath>
      <w:r>
        <w:t xml:space="preserve">), which generated the observations</w:t>
      </w:r>
      <w:r>
        <w:t xml:space="preserve"> </w:t>
      </w:r>
      <m:oMath>
        <m:r>
          <m:t>u</m:t>
        </m:r>
      </m:oMath>
      <w:r>
        <w:t xml:space="preserve"> </w:t>
      </w:r>
      <w:r>
        <w:t xml:space="preserve">through a sigmoid function that applied a sensitivity parameter</w:t>
      </w:r>
      <w:r>
        <w:t xml:space="preserve"> </w:t>
      </w:r>
      <m:oMath>
        <m:r>
          <m:t>α</m:t>
        </m:r>
      </m:oMath>
      <w:r>
        <w:t xml:space="preserve">:</w:t>
      </w:r>
    </w:p>
    <w:p>
      <w:pPr>
        <w:pStyle w:val="BodyText"/>
      </w:pPr>
    </w:p>
    <w:p>
      <w:pPr>
        <w:pStyle w:val="BodyText"/>
      </w:pPr>
      <w:r>
        <w:t xml:space="preserve">In mice, the inputs</w:t>
      </w:r>
      <w:r>
        <w:t xml:space="preserve"> </w:t>
      </w:r>
      <m:oMath>
        <m:r>
          <m:t>s</m:t>
        </m:r>
      </m:oMath>
      <w:r>
        <w:t xml:space="preserve"> </w:t>
      </w:r>
      <w:r>
        <w:t xml:space="preserve">were defined by the respective stimulus contrast in the two hemifields:</w:t>
      </w:r>
    </w:p>
    <w:p>
      <w:pPr>
        <w:pStyle w:val="BodyText"/>
      </w:pPr>
    </w:p>
    <w:p>
      <w:pPr>
        <w:pStyle w:val="BodyText"/>
      </w:pPr>
      <w:r>
        <w:t xml:space="preserve">As in humans, we derived the input</w:t>
      </w:r>
      <w:r>
        <w:t xml:space="preserve"> </w:t>
      </w:r>
      <m:oMath>
        <m:r>
          <m:t>u</m:t>
        </m:r>
      </m:oMath>
      <w:r>
        <w:t xml:space="preserve"> </w:t>
      </w:r>
      <w:r>
        <w:t xml:space="preserve">by applying a sigmoid function with a sensitivity parameter</w:t>
      </w:r>
      <w:r>
        <w:t xml:space="preserve"> </w:t>
      </w:r>
      <m:oMath>
        <m:r>
          <m:t>α</m:t>
        </m:r>
      </m:oMath>
      <w:r>
        <w:t xml:space="preserve"> </w:t>
      </w:r>
      <w:r>
        <w:t xml:space="preserve">to input</w:t>
      </w:r>
      <w:r>
        <w:t xml:space="preserve"> </w:t>
      </w:r>
      <m:oMath>
        <m:r>
          <m:t>s</m:t>
        </m:r>
      </m:oMath>
      <w:r>
        <w:t xml:space="preserve">:</w:t>
      </w:r>
    </w:p>
    <w:p>
      <w:pPr>
        <w:pStyle w:val="BodyText"/>
      </w:pPr>
    </w:p>
    <w:p>
      <w:pPr>
        <w:pStyle w:val="BodyText"/>
      </w:pPr>
      <w:r>
        <w:t xml:space="preserve">For humans, mice and in simulations, the log likelihood ratio</w:t>
      </w:r>
      <w:r>
        <w:t xml:space="preserve"> </w:t>
      </w:r>
      <m:oMath>
        <m:r>
          <m:t>L</m:t>
        </m:r>
        <m:r>
          <m:t>L</m:t>
        </m:r>
        <m:r>
          <m:t>R</m:t>
        </m:r>
      </m:oMath>
      <w:r>
        <w:t xml:space="preserve"> </w:t>
      </w:r>
      <w:r>
        <w:t xml:space="preserve">was computed from</w:t>
      </w:r>
      <w:r>
        <w:t xml:space="preserve"> </w:t>
      </w:r>
      <m:oMath>
        <m:r>
          <m:t>u</m:t>
        </m:r>
      </m:oMath>
      <w:r>
        <w:t xml:space="preserve"> </w:t>
      </w:r>
      <w:r>
        <w:t xml:space="preserve">as follows:</w:t>
      </w:r>
    </w:p>
    <w:p>
      <w:pPr>
        <w:pStyle w:val="BodyText"/>
      </w:pPr>
    </w:p>
    <w:p>
      <w:pPr>
        <w:pStyle w:val="BodyText"/>
      </w:pPr>
      <w:r>
        <w:t xml:space="preserve">To allow for long-range autocorrelation in stimulus- and history-congruence (Figure 2B and 3B), our modeling approach differed from Glaze et al.</w:t>
      </w:r>
      <w:r>
        <w:rPr>
          <w:vertAlign w:val="superscript"/>
        </w:rPr>
        <w:t xml:space="preserve">51</w:t>
      </w:r>
      <w:r>
        <w:t xml:space="preserve"> </w:t>
      </w:r>
      <w:r>
        <w:t xml:space="preserve">in that it allowed for systematic fluctuation in the impact of sensory information (i.e.,</w:t>
      </w:r>
      <w:r>
        <w:t xml:space="preserve"> </w:t>
      </w:r>
      <m:oMath>
        <m:r>
          <m:t>L</m:t>
        </m:r>
        <m:r>
          <m:t>L</m:t>
        </m:r>
        <m:r>
          <m:t>R</m:t>
        </m:r>
      </m:oMath>
      <w:r>
        <w:t xml:space="preserve">) and the prior probability of choices</w:t>
      </w:r>
      <w:r>
        <w:t xml:space="preserve"> </w:t>
      </w:r>
      <m:oMath>
        <m:r>
          <m:t>ψ</m:t>
        </m:r>
      </m:oMath>
      <w:r>
        <w:t xml:space="preserve"> </w:t>
      </w:r>
      <w:r>
        <w:t xml:space="preserve">on the posterior probability</w:t>
      </w:r>
      <w:r>
        <w:t xml:space="preserve"> </w:t>
      </w:r>
      <m:oMath>
        <m:r>
          <m:t>L</m:t>
        </m:r>
      </m:oMath>
      <w:r>
        <w:t xml:space="preserve">. This was achieved by multiplying the log likelihood ratio and the log prior ratio with coherent anti-phase fluctuations according to</w:t>
      </w:r>
      <w:r>
        <w:t xml:space="preserve"> </w:t>
      </w:r>
      <m:oMath>
        <m:sSub>
          <m:e>
            <m:r>
              <m:t>ω</m:t>
            </m:r>
          </m:e>
          <m:sub>
            <m:r>
              <m:t>L</m:t>
            </m:r>
            <m:r>
              <m:t>L</m:t>
            </m:r>
            <m:r>
              <m:t>R</m:t>
            </m:r>
          </m:sub>
        </m:sSub>
        <m:r>
          <m:rPr>
            <m:sty m:val="p"/>
          </m:rPr>
          <m:t>=</m:t>
        </m:r>
        <m:sSub>
          <m:e>
            <m:r>
              <m:t>a</m:t>
            </m:r>
          </m:e>
          <m:sub>
            <m:r>
              <m:t>L</m:t>
            </m:r>
            <m:r>
              <m:t>L</m:t>
            </m:r>
            <m:r>
              <m:t>R</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e>
        </m:d>
        <m:r>
          <m:rPr>
            <m:sty m:val="p"/>
          </m:rPr>
          <m:t>+</m:t>
        </m:r>
        <m:r>
          <m:t>1</m:t>
        </m:r>
      </m:oMath>
      <w:r>
        <w:t xml:space="preserve"> </w:t>
      </w:r>
      <w:r>
        <w:t xml:space="preserve">and</w:t>
      </w:r>
      <w:r>
        <w:t xml:space="preserve"> </w:t>
      </w:r>
      <m:oMath>
        <m:sSub>
          <m:e>
            <m:r>
              <m:t>ω</m:t>
            </m:r>
          </m:e>
          <m:sub>
            <m:r>
              <m:t>ψ</m:t>
            </m:r>
          </m:sub>
        </m:sSub>
        <m:r>
          <m:rPr>
            <m:sty m:val="p"/>
          </m:rPr>
          <m:t>=</m:t>
        </m:r>
        <m:sSub>
          <m:e>
            <m:r>
              <m:t>a</m:t>
            </m:r>
          </m:e>
          <m:sub>
            <m:r>
              <m:t>ψ</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r>
              <m:rPr>
                <m:sty m:val="p"/>
              </m:rPr>
              <m:t>+</m:t>
            </m:r>
            <m:r>
              <m:t>π</m:t>
            </m:r>
          </m:e>
        </m:d>
        <m:r>
          <m:rPr>
            <m:sty m:val="p"/>
          </m:rPr>
          <m:t>+</m:t>
        </m:r>
        <m:r>
          <m:t>1</m:t>
        </m:r>
      </m:oMath>
      <w:r>
        <w:t xml:space="preserve">.</w:t>
      </w:r>
    </w:p>
    <w:p>
      <w:pPr>
        <w:pStyle w:val="BodyText"/>
      </w:pPr>
      <w:r>
        <w:rPr>
          <w:bCs/>
          <w:b/>
        </w:rPr>
        <w:t xml:space="preserve">Model fitting</w:t>
      </w:r>
      <w:r>
        <w:t xml:space="preserve">: In model fitting, we predicted the trial-wise choices</w:t>
      </w:r>
      <w:r>
        <w:t xml:space="preserve"> </w:t>
      </w:r>
      <m:oMath>
        <m:sSub>
          <m:e>
            <m:r>
              <m:t>y</m:t>
            </m:r>
          </m:e>
          <m:sub>
            <m:r>
              <m:t>t</m:t>
            </m:r>
          </m:sub>
        </m:sSub>
      </m:oMath>
      <w:r>
        <w:t xml:space="preserve"> </w:t>
      </w:r>
      <w:r>
        <w:t xml:space="preserve">(option A: 0; option B: 1) from inputs</w:t>
      </w:r>
      <w:r>
        <w:t xml:space="preserve"> </w:t>
      </w:r>
      <m:oMath>
        <m:r>
          <m:t>s</m:t>
        </m:r>
      </m:oMath>
      <w:r>
        <w:t xml:space="preserve">. To this end, we minimized the log loss between</w:t>
      </w:r>
      <w:r>
        <w:t xml:space="preserve"> </w:t>
      </w:r>
      <m:oMath>
        <m:sSub>
          <m:e>
            <m:r>
              <m:t>y</m:t>
            </m:r>
          </m:e>
          <m:sub>
            <m:r>
              <m:t>t</m:t>
            </m:r>
          </m:sub>
        </m:sSub>
      </m:oMath>
      <w:r>
        <w:t xml:space="preserve"> </w:t>
      </w:r>
      <w:r>
        <w:t xml:space="preserve">and the choice probability</w:t>
      </w:r>
      <w:r>
        <w:t xml:space="preserve"> </w:t>
      </w:r>
      <m:oMath>
        <m:sSub>
          <m:e>
            <m:r>
              <m:t>y</m:t>
            </m:r>
          </m:e>
          <m:sub>
            <m:r>
              <m:t>p</m:t>
            </m:r>
            <m:r>
              <m:t>t</m:t>
            </m:r>
          </m:sub>
        </m:sSub>
      </m:oMath>
      <w:r>
        <w:t xml:space="preserve"> </w:t>
      </w:r>
      <w:r>
        <w:t xml:space="preserve">in the unit interval.</w:t>
      </w:r>
      <w:r>
        <w:t xml:space="preserve"> </w:t>
      </w:r>
      <m:oMath>
        <m:sSub>
          <m:e>
            <m:r>
              <m:t>y</m:t>
            </m:r>
          </m:e>
          <m:sub>
            <m:r>
              <m:t>p</m:t>
            </m:r>
            <m:r>
              <m:t>t</m:t>
            </m:r>
          </m:sub>
        </m:sSub>
      </m:oMath>
      <w:r>
        <w:t xml:space="preserve"> </w:t>
      </w:r>
      <w:r>
        <w:t xml:space="preserve">was derived from</w:t>
      </w:r>
      <w:r>
        <w:t xml:space="preserve"> </w:t>
      </w:r>
      <m:oMath>
        <m:sSub>
          <m:e>
            <m:r>
              <m:t>L</m:t>
            </m:r>
          </m:e>
          <m:sub>
            <m:r>
              <m:t>t</m:t>
            </m:r>
          </m:sub>
        </m:sSub>
      </m:oMath>
      <w:r>
        <w:t xml:space="preserve"> </w:t>
      </w:r>
      <w:r>
        <w:t xml:space="preserve">using a sigmoid function defined by the inverse decision temperature</w:t>
      </w:r>
      <w:r>
        <w:t xml:space="preserve"> </w:t>
      </w:r>
      <m:oMath>
        <m:r>
          <m:t>ζ</m:t>
        </m:r>
      </m:oMath>
      <w:r>
        <w:t xml:space="preserve">:</w:t>
      </w:r>
    </w:p>
    <w:p>
      <w:pPr>
        <w:pStyle w:val="BodyText"/>
      </w:pPr>
    </w:p>
    <w:p>
      <w:pPr>
        <w:pStyle w:val="BodyText"/>
      </w:pPr>
      <w:r>
        <w:t xml:space="preserve">This allowed us to infer the free parameters</w:t>
      </w:r>
      <w:r>
        <w:t xml:space="preserve"> </w:t>
      </w:r>
      <m:oMath>
        <m:r>
          <m:t>H</m:t>
        </m:r>
      </m:oMath>
      <w:r>
        <w:t xml:space="preserve"> </w:t>
      </w:r>
      <w:r>
        <w:t xml:space="preserve">(lower bound = 0, upper bound = 1; human posterior =</w:t>
      </w:r>
      <w:r>
        <w:t xml:space="preserve"> </w:t>
      </w:r>
      <m:oMath>
        <m:r>
          <m:t>0.45</m:t>
        </m:r>
      </m:oMath>
      <w:r>
        <w:t xml:space="preserve"> </w:t>
      </w:r>
      <w:r>
        <w:t xml:space="preserve">±</w:t>
      </w:r>
      <w:r>
        <w:t xml:space="preserve"> </w:t>
      </w:r>
      <m:oMath>
        <m:r>
          <m:t>4.8</m:t>
        </m:r>
        <m:r>
          <m:rPr>
            <m:sty m:val="p"/>
          </m:rPr>
          <m:t>×</m:t>
        </m:r>
        <m:sSup>
          <m:e>
            <m:r>
              <m:t>10</m:t>
            </m:r>
          </m:e>
          <m:sup>
            <m:r>
              <m:rPr>
                <m:sty m:val="p"/>
              </m:rPr>
              <m:t>−</m:t>
            </m:r>
            <m:r>
              <m:t>5</m:t>
            </m:r>
          </m:sup>
        </m:sSup>
      </m:oMath>
      <w:r>
        <w:t xml:space="preserve">; mouse posterior =</w:t>
      </w:r>
      <w:r>
        <w:t xml:space="preserve"> </w:t>
      </w:r>
      <m:oMath>
        <m:r>
          <m:t>0.46</m:t>
        </m:r>
      </m:oMath>
      <w:r>
        <w:t xml:space="preserve"> </w:t>
      </w:r>
      <w:r>
        <w:t xml:space="preserve">±</w:t>
      </w:r>
      <w:r>
        <w:t xml:space="preserve"> </w:t>
      </w:r>
      <m:oMath>
        <m:r>
          <m:t>2.97</m:t>
        </m:r>
        <m:r>
          <m:rPr>
            <m:sty m:val="p"/>
          </m:rPr>
          <m:t>×</m:t>
        </m:r>
        <m:sSup>
          <m:e>
            <m:r>
              <m:t>10</m:t>
            </m:r>
          </m:e>
          <m:sup>
            <m:r>
              <m:rPr>
                <m:sty m:val="p"/>
              </m:rPr>
              <m:t>−</m:t>
            </m:r>
            <m:r>
              <m:t>4</m:t>
            </m:r>
          </m:sup>
        </m:sSup>
      </m:oMath>
      <w:r>
        <w:t xml:space="preserve">),</w:t>
      </w:r>
      <w:r>
        <w:t xml:space="preserve"> </w:t>
      </w:r>
      <m:oMath>
        <m:r>
          <m:t>α</m:t>
        </m:r>
      </m:oMath>
      <w:r>
        <w:t xml:space="preserve"> </w:t>
      </w:r>
      <w:r>
        <w:t xml:space="preserve">(lower bound = 0, upper bound = 5; human posterior =</w:t>
      </w:r>
      <w:r>
        <w:t xml:space="preserve"> </w:t>
      </w:r>
      <m:oMath>
        <m:r>
          <m:t>0.5</m:t>
        </m:r>
      </m:oMath>
      <w:r>
        <w:t xml:space="preserve"> </w:t>
      </w:r>
      <w:r>
        <w:t xml:space="preserve">±</w:t>
      </w:r>
      <w:r>
        <w:t xml:space="preserve"> </w:t>
      </w:r>
      <m:oMath>
        <m:r>
          <m:t>1.12</m:t>
        </m:r>
        <m:r>
          <m:rPr>
            <m:sty m:val="p"/>
          </m:rPr>
          <m:t>×</m:t>
        </m:r>
        <m:sSup>
          <m:e>
            <m:r>
              <m:t>10</m:t>
            </m:r>
          </m:e>
          <m:sup>
            <m:r>
              <m:rPr>
                <m:sty m:val="p"/>
              </m:rPr>
              <m:t>−</m:t>
            </m:r>
            <m:r>
              <m:t>4</m:t>
            </m:r>
          </m:sup>
        </m:sSup>
      </m:oMath>
      <w:r>
        <w:t xml:space="preserve">; mouse posterior =</w:t>
      </w:r>
      <w:r>
        <w:t xml:space="preserve"> </w:t>
      </w:r>
      <m:oMath>
        <m:r>
          <m:t>1.06</m:t>
        </m:r>
      </m:oMath>
      <w:r>
        <w:t xml:space="preserve"> </w:t>
      </w:r>
      <w:r>
        <w:t xml:space="preserve">±</w:t>
      </w:r>
      <w:r>
        <w:t xml:space="preserve"> </w:t>
      </w:r>
      <m:oMath>
        <m:r>
          <m:t>2.88</m:t>
        </m:r>
        <m:r>
          <m:rPr>
            <m:sty m:val="p"/>
          </m:rPr>
          <m:t>×</m:t>
        </m:r>
        <m:sSup>
          <m:e>
            <m:r>
              <m:t>10</m:t>
            </m:r>
          </m:e>
          <m:sup>
            <m:r>
              <m:rPr>
                <m:sty m:val="p"/>
              </m:rPr>
              <m:t>−</m:t>
            </m:r>
            <m:r>
              <m:t>3</m:t>
            </m:r>
          </m:sup>
        </m:sSup>
      </m:oMath>
      <w:r>
        <w:t xml:space="preserve">),</w:t>
      </w:r>
      <w:r>
        <w:t xml:space="preserve"> </w:t>
      </w:r>
      <m:oMath>
        <m:sSub>
          <m:e>
            <m:r>
              <m:t>a</m:t>
            </m:r>
          </m:e>
          <m:sub>
            <m:r>
              <m:t>ψ</m:t>
            </m:r>
          </m:sub>
        </m:sSub>
      </m:oMath>
      <w:r>
        <w:t xml:space="preserve"> </w:t>
      </w:r>
      <w:r>
        <w:t xml:space="preserve">(lower bound = 0, upper bound = 10; human posterior =</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mouse posterior =</w:t>
      </w:r>
      <w:r>
        <w:t xml:space="preserve"> </w:t>
      </w:r>
      <m:oMath>
        <m:r>
          <m:t>1.71</m:t>
        </m:r>
      </m:oMath>
      <w:r>
        <w:t xml:space="preserve"> </w:t>
      </w:r>
      <w:r>
        <w:t xml:space="preserve">±</w:t>
      </w:r>
      <w:r>
        <w:t xml:space="preserve"> </w:t>
      </w:r>
      <m:oMath>
        <m:r>
          <m:t>7.15</m:t>
        </m:r>
        <m:r>
          <m:rPr>
            <m:sty m:val="p"/>
          </m:rPr>
          <m:t>×</m:t>
        </m:r>
        <m:sSup>
          <m:e>
            <m:r>
              <m:t>10</m:t>
            </m:r>
          </m:e>
          <m:sup>
            <m:r>
              <m:rPr>
                <m:sty m:val="p"/>
              </m:rPr>
              <m:t>−</m:t>
            </m:r>
            <m:r>
              <m:t>3</m:t>
            </m:r>
          </m:sup>
        </m:sSup>
      </m:oMath>
      <w:r>
        <w:t xml:space="preserve">),</w:t>
      </w:r>
      <w:r>
        <w:t xml:space="preserve"> </w:t>
      </w:r>
      <m:oMath>
        <m:r>
          <m:t>a</m:t>
        </m:r>
        <m:r>
          <m:t>m</m:t>
        </m:r>
        <m:sSub>
          <m:e>
            <m:r>
              <m:t>p</m:t>
            </m:r>
          </m:e>
          <m:sub>
            <m:r>
              <m:t>L</m:t>
            </m:r>
            <m:r>
              <m:t>L</m:t>
            </m:r>
            <m:r>
              <m:t>R</m:t>
            </m:r>
          </m:sub>
        </m:sSub>
      </m:oMath>
      <w:r>
        <w:t xml:space="preserve"> </w:t>
      </w:r>
      <w:r>
        <w:t xml:space="preserve">(lower bound = 0, upper bound = 10; human posterior =</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mouse posterior =</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w:t>
      </w:r>
      <w:r>
        <w:t xml:space="preserve"> </w:t>
      </w:r>
      <w:r>
        <w:t xml:space="preserve">frequency</w:t>
      </w:r>
      <w:r>
        <w:t xml:space="preserve"> </w:t>
      </w:r>
      <m:oMath>
        <m:r>
          <m:t>f</m:t>
        </m:r>
      </m:oMath>
      <w:r>
        <w:t xml:space="preserve"> </w:t>
      </w:r>
      <w:r>
        <w:t xml:space="preserve">(lower bound = 1/40, upper bound = 1/5; human posterior =</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mouse posterior =</w:t>
      </w:r>
      <w:r>
        <w:t xml:space="preserve"> </w:t>
      </w:r>
      <m:oMath>
        <m:r>
          <m:t>0.11</m:t>
        </m:r>
      </m:oMath>
      <w:r>
        <w:t xml:space="preserve"> </w:t>
      </w:r>
      <w:r>
        <w:t xml:space="preserve">±</w:t>
      </w:r>
      <w:r>
        <w:t xml:space="preserve"> </w:t>
      </w:r>
      <m:oMath>
        <m:r>
          <m:t>1.63</m:t>
        </m:r>
        <m:r>
          <m:rPr>
            <m:sty m:val="p"/>
          </m:rPr>
          <m:t>×</m:t>
        </m:r>
        <m:sSup>
          <m:e>
            <m:r>
              <m:t>10</m:t>
            </m:r>
          </m:e>
          <m:sup>
            <m:r>
              <m:rPr>
                <m:sty m:val="p"/>
              </m:rPr>
              <m:t>−</m:t>
            </m:r>
            <m:r>
              <m:t>4</m:t>
            </m:r>
          </m:sup>
        </m:sSup>
      </m:oMath>
      <w:r>
        <w:t xml:space="preserve">),</w:t>
      </w:r>
      <w:r>
        <w:t xml:space="preserve"> </w:t>
      </w:r>
      <m:oMath>
        <m:r>
          <m:t>p</m:t>
        </m:r>
      </m:oMath>
      <w:r>
        <w:t xml:space="preserve"> </w:t>
      </w:r>
      <w:r>
        <w:t xml:space="preserve">(lower bound = 0, upper bound =</w:t>
      </w:r>
      <w:r>
        <w:t xml:space="preserve"> </w:t>
      </w:r>
      <m:oMath>
        <m:r>
          <m:t>2</m:t>
        </m:r>
        <m:r>
          <m:rPr>
            <m:sty m:val="p"/>
          </m:rPr>
          <m:t>*</m:t>
        </m:r>
        <m:r>
          <m:t>π</m:t>
        </m:r>
      </m:oMath>
      <w:r>
        <w:t xml:space="preserve">; human posterior =</w:t>
      </w:r>
      <w:r>
        <w:t xml:space="preserve"> </w:t>
      </w:r>
      <m:oMath>
        <m:r>
          <m:t>2.72</m:t>
        </m:r>
        <m:r>
          <m:rPr>
            <m:sty m:val="p"/>
          </m:rPr>
          <m:t>±</m:t>
        </m:r>
        <m:r>
          <m:t>4.41</m:t>
        </m:r>
        <m:r>
          <m:rPr>
            <m:sty m:val="p"/>
          </m:rPr>
          <m:t>×</m:t>
        </m:r>
        <m:sSup>
          <m:e>
            <m:r>
              <m:t>10</m:t>
            </m:r>
          </m:e>
          <m:sup>
            <m:r>
              <m:rPr>
                <m:sty m:val="p"/>
              </m:rPr>
              <m:t>−</m:t>
            </m:r>
            <m:r>
              <m:t>4</m:t>
            </m:r>
          </m:sup>
        </m:sSup>
      </m:oMath>
      <w:r>
        <w:t xml:space="preserve">; mouse posterior =</w:t>
      </w:r>
      <w:r>
        <w:t xml:space="preserve"> </w:t>
      </w:r>
      <m:oMath>
        <m:r>
          <m:t>2.83</m:t>
        </m:r>
      </m:oMath>
      <w:r>
        <w:t xml:space="preserve"> </w:t>
      </w:r>
      <w:r>
        <w:t xml:space="preserve">±</w:t>
      </w:r>
      <w:r>
        <w:t xml:space="preserve"> </w:t>
      </w:r>
      <m:oMath>
        <m:r>
          <m:t>3.95</m:t>
        </m:r>
        <m:r>
          <m:rPr>
            <m:sty m:val="p"/>
          </m:rPr>
          <m:t>×</m:t>
        </m:r>
        <m:sSup>
          <m:e>
            <m:r>
              <m:t>10</m:t>
            </m:r>
          </m:e>
          <m:sup>
            <m:r>
              <m:rPr>
                <m:sty m:val="p"/>
              </m:rPr>
              <m:t>−</m:t>
            </m:r>
            <m:r>
              <m:t>3</m:t>
            </m:r>
          </m:sup>
        </m:sSup>
      </m:oMath>
      <w:r>
        <w:t xml:space="preserve">)</w:t>
      </w:r>
      <w:r>
        <w:t xml:space="preserve"> </w:t>
      </w:r>
      <w:r>
        <w:t xml:space="preserve">and inverse decision temperature</w:t>
      </w:r>
      <w:r>
        <w:t xml:space="preserve"> </w:t>
      </w:r>
      <m:oMath>
        <m:r>
          <m:t>ζ</m:t>
        </m:r>
      </m:oMath>
      <w:r>
        <w:t xml:space="preserve"> </w:t>
      </w:r>
      <w:r>
        <w:t xml:space="preserve">(lower bound = 1, upper bound = 10; human posterior =</w:t>
      </w:r>
      <w:r>
        <w:t xml:space="preserve"> </w:t>
      </w:r>
      <m:oMath>
        <m:r>
          <m:t>4.63</m:t>
        </m:r>
      </m:oMath>
      <w:r>
        <w:t xml:space="preserve"> </w:t>
      </w:r>
      <w:r>
        <w:t xml:space="preserve">±</w:t>
      </w:r>
      <w:r>
        <w:t xml:space="preserve"> </w:t>
      </w:r>
      <m:oMath>
        <m:r>
          <m:t>1.95</m:t>
        </m:r>
        <m:r>
          <m:rPr>
            <m:sty m:val="p"/>
          </m:rPr>
          <m:t>×</m:t>
        </m:r>
        <m:sSup>
          <m:e>
            <m:r>
              <m:t>10</m:t>
            </m:r>
          </m:e>
          <m:sup>
            <m:r>
              <m:rPr>
                <m:sty m:val="p"/>
              </m:rPr>
              <m:t>−</m:t>
            </m:r>
            <m:r>
              <m:t>4</m:t>
            </m:r>
          </m:sup>
        </m:sSup>
      </m:oMath>
      <w:r>
        <w:t xml:space="preserve">; mouse posterior =</w:t>
      </w:r>
      <w:r>
        <w:t xml:space="preserve"> </w:t>
      </w:r>
      <m:oMath>
        <m:r>
          <m:t>4.82</m:t>
        </m:r>
      </m:oMath>
      <w:r>
        <w:t xml:space="preserve"> </w:t>
      </w:r>
      <w:r>
        <w:t xml:space="preserve">±</w:t>
      </w:r>
      <w:r>
        <w:t xml:space="preserve"> </w:t>
      </w:r>
      <m:oMath>
        <m:r>
          <m:t>3.03</m:t>
        </m:r>
        <m:r>
          <m:rPr>
            <m:sty m:val="p"/>
          </m:rPr>
          <m:t>×</m:t>
        </m:r>
        <m:sSup>
          <m:e>
            <m:r>
              <m:t>10</m:t>
            </m:r>
          </m:e>
          <m:sup>
            <m:r>
              <m:rPr>
                <m:sty m:val="p"/>
              </m:rPr>
              <m:t>−</m:t>
            </m:r>
            <m:r>
              <m:t>3</m:t>
            </m:r>
          </m:sup>
        </m:sSup>
      </m:oMath>
      <w:r>
        <w:t xml:space="preserve">) using maximum likelihood estimation with the Broyden–Fletcher–Goldfarb–Shanno algorithm as implemented in the R-function</w:t>
      </w:r>
      <w:r>
        <w:t xml:space="preserve"> </w:t>
      </w:r>
      <w:r>
        <w:rPr>
          <w:iCs/>
          <w:i/>
        </w:rPr>
        <w:t xml:space="preserve">optimx</w:t>
      </w:r>
      <w:r>
        <w:rPr>
          <w:vertAlign w:val="superscript"/>
        </w:rPr>
        <w:t xml:space="preserve">80</w:t>
      </w:r>
      <w:r>
        <w:t xml:space="preserve"> </w:t>
      </w:r>
      <w:r>
        <w:rPr>
          <w:bCs/>
          <w:b/>
        </w:rPr>
        <w:t xml:space="preserve">(see Supplemental Table T2 for a description of our model parameters)</w:t>
      </w:r>
      <w:r>
        <w:t xml:space="preserve">.</w:t>
      </w:r>
    </w:p>
    <w:p>
      <w:pPr>
        <w:pStyle w:val="BodyText"/>
      </w:pPr>
      <w:r>
        <w:rPr>
          <w:bCs/>
          <w:b/>
        </w:rP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pStyle w:val="BodyText"/>
      </w:pPr>
      <w:r>
        <w:rPr>
          <w:bCs/>
          <w:b/>
        </w:rPr>
        <w:t xml:space="preserve">Model comparison. We assessed the following model space based on AIC:</w:t>
      </w:r>
    </w:p>
    <w:p>
      <w:pPr>
        <w:numPr>
          <w:ilvl w:val="0"/>
          <w:numId w:val="1001"/>
        </w:numPr>
      </w:pPr>
      <w:r>
        <w:rPr>
          <w:bCs/>
          <w:b/>
        </w:rPr>
        <w:t xml:space="preserve">The full</w:t>
      </w:r>
      <w:r>
        <w:rPr>
          <w:bCs/>
          <w:b/>
        </w:rPr>
        <w:t xml:space="preserve"> </w:t>
      </w:r>
      <w:r>
        <w:rPr>
          <w:iCs/>
          <w:i/>
          <w:bCs/>
          <w:b/>
        </w:rPr>
        <w:t xml:space="preserve">bimodal inference model</w:t>
      </w:r>
      <w:r>
        <w:rPr>
          <w:bCs/>
          <w:b/>
        </w:rPr>
        <w:t xml:space="preserve"> </w:t>
      </w:r>
      <w:r>
        <w:rPr>
          <w:bCs/>
          <w:b/>
        </w:rPr>
        <w:t xml:space="preserve">(M1; Figure 1F) incorporates the influence of sensory information according to the parameter</w:t>
      </w:r>
      <w:r>
        <w:rPr>
          <w:bCs/>
          <w:b/>
        </w:rPr>
        <w:t xml:space="preserve"> </w:t>
      </w:r>
      <m:oMath>
        <m:r>
          <m:t>α</m:t>
        </m:r>
      </m:oMath>
      <w:r>
        <w:rPr>
          <w:bCs/>
          <w:b/>
        </w:rPr>
        <w:t xml:space="preserve"> </w:t>
      </w:r>
      <w:r>
        <w:rPr>
          <w:bCs/>
          <w:b/>
        </w:rPr>
        <w:t xml:space="preserve">(likelihood); the integration of evidence across trials according to the parameter</w:t>
      </w:r>
      <w:r>
        <w:rPr>
          <w:bCs/>
          <w:b/>
        </w:rPr>
        <w:t xml:space="preserve"> </w:t>
      </w:r>
      <m:oMath>
        <m:r>
          <m:t>H</m:t>
        </m:r>
      </m:oMath>
      <w:r>
        <w:rPr>
          <w:bCs/>
          <w:b/>
        </w:rPr>
        <w:t xml:space="preserve"> </w:t>
      </w:r>
      <w:r>
        <w:rPr>
          <w:bCs/>
          <w:b/>
        </w:rPr>
        <w:t xml:space="preserve">(prior); anti-phase oscillations in between likelihood and prior precision according to</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likelihood-oscillation-only model</w:t>
      </w:r>
      <w:r>
        <w:rPr>
          <w:bCs/>
          <w:b/>
        </w:rPr>
        <w:t xml:space="preserve"> </w:t>
      </w:r>
      <w:r>
        <w:rPr>
          <w:bCs/>
          <w:b/>
        </w:rPr>
        <w:t xml:space="preserve">(M2;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likelihood precision according to</w:t>
      </w:r>
      <w:r>
        <w:rPr>
          <w:bCs/>
          <w:b/>
        </w:rPr>
        <w:t xml:space="preserve"> </w:t>
      </w:r>
      <m:oMath>
        <m:sSub>
          <m:e>
            <m:r>
              <m:t>ω</m:t>
            </m:r>
          </m:e>
          <m:sub>
            <m:r>
              <m:t>L</m:t>
            </m:r>
            <m:r>
              <m:t>L</m:t>
            </m:r>
            <m:r>
              <m:t>R</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prior-oscillation-only model</w:t>
      </w:r>
      <w:r>
        <w:rPr>
          <w:bCs/>
          <w:b/>
        </w:rPr>
        <w:t xml:space="preserve"> </w:t>
      </w:r>
      <w:r>
        <w:rPr>
          <w:bCs/>
          <w:b/>
        </w:rPr>
        <w:t xml:space="preserve">(M3;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the prior precision according to</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 Please note that all models M1-3 lead to shifts in the relative precision of likelihood and prior.</w:t>
      </w:r>
    </w:p>
    <w:p>
      <w:pPr>
        <w:numPr>
          <w:ilvl w:val="0"/>
          <w:numId w:val="1001"/>
        </w:numPr>
      </w:pPr>
      <w:r>
        <w:rPr>
          <w:bCs/>
          <w:b/>
        </w:rPr>
        <w:t xml:space="preserve">The</w:t>
      </w:r>
      <w:r>
        <w:rPr>
          <w:bCs/>
          <w:b/>
        </w:rPr>
        <w:t xml:space="preserve"> </w:t>
      </w:r>
      <w:r>
        <w:rPr>
          <w:iCs/>
          <w:i/>
          <w:bCs/>
          <w:b/>
        </w:rPr>
        <w:t xml:space="preserve">normative-evidence-accumulation</w:t>
      </w:r>
      <w:r>
        <w:rPr>
          <w:bCs/>
          <w:b/>
        </w:rPr>
        <w:t xml:space="preserve"> </w:t>
      </w:r>
      <w:r>
        <w:rPr>
          <w:bCs/>
          <w:b/>
        </w:rPr>
        <w:t xml:space="preserve">(M4;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There are no additional oscillations. Model M4 thus corresponds to the model proposed by Glaze et al. and captures normative evidence accumulation in unpredictable environments using a Bayesian update scheme</w:t>
      </w:r>
      <w:r>
        <w:rPr>
          <w:vertAlign w:val="superscript"/>
          <w:bCs/>
          <w:b/>
        </w:rPr>
        <w:t xml:space="preserve">51</w:t>
      </w:r>
      <w:r>
        <w:rPr>
          <w:bCs/>
          <w:b/>
        </w:rPr>
        <w:t xml:space="preserve">. The comparison against M4 tests the null hypothesis that fluctuations in mode emerge from a normative Bayesian model without the ad-hoc addition of oscillations as in models M1-3.</w:t>
      </w:r>
    </w:p>
    <w:p>
      <w:pPr>
        <w:numPr>
          <w:ilvl w:val="0"/>
          <w:numId w:val="1001"/>
        </w:numPr>
      </w:pPr>
      <w:r>
        <w:rPr>
          <w:bCs/>
          <w:b/>
        </w:rPr>
        <w:t xml:space="preserve">The</w:t>
      </w:r>
      <w:r>
        <w:rPr>
          <w:bCs/>
          <w:b/>
        </w:rPr>
        <w:t xml:space="preserve"> </w:t>
      </w:r>
      <w:r>
        <w:rPr>
          <w:iCs/>
          <w:i/>
          <w:bCs/>
          <w:b/>
        </w:rPr>
        <w:t xml:space="preserve">no-evidence-accumulation</w:t>
      </w:r>
      <w:r>
        <w:rPr>
          <w:bCs/>
          <w:b/>
        </w:rPr>
        <w:t xml:space="preserve"> </w:t>
      </w:r>
      <w:r>
        <w:rPr>
          <w:bCs/>
          <w:b/>
        </w:rPr>
        <w:t xml:space="preserve">(M5; Figure 1G) incorporates the influence of sensory information according to parameter</w:t>
      </w:r>
      <w:r>
        <w:rPr>
          <w:bCs/>
          <w:b/>
        </w:rPr>
        <w:t xml:space="preserve"> </w:t>
      </w:r>
      <m:oMath>
        <m:r>
          <m:t>α</m:t>
        </m:r>
      </m:oMath>
      <w:r>
        <w:rPr>
          <w:bCs/>
          <w:b/>
        </w:rPr>
        <w:t xml:space="preserve"> </w:t>
      </w:r>
      <w:r>
        <w:rPr>
          <w:bCs/>
          <w:b/>
        </w:rPr>
        <w:t xml:space="preserve">(likelihood). The model lacks integration of evidence across trials (flat prior) and oscillations. The comparison against M5 tests the null hypothesis that observers do not use prior information derived from serial dependency in perception.</w:t>
      </w:r>
    </w:p>
    <w:p>
      <w:pPr>
        <w:pStyle w:val="FirstParagraph"/>
      </w:pPr>
      <w:r>
        <w:rPr>
          <w:bCs/>
          <w:b/>
        </w:rPr>
        <w:t xml:space="preserve">Prediction of within-training and out-of-training variables. To validate our model, we correlated individual posterior parameter estimates with the respective conventional variables. As a sanity check, we tested (i), whether the estimated hazard rate</w:t>
      </w:r>
      <w:r>
        <w:rPr>
          <w:bCs/>
          <w:b/>
        </w:rPr>
        <w:t xml:space="preserve"> </w:t>
      </w:r>
      <m:oMath>
        <m:r>
          <m:t>H</m:t>
        </m:r>
      </m:oMath>
      <w:r>
        <w:rPr>
          <w:bCs/>
          <w:b/>
        </w:rPr>
        <w:t xml:space="preserve"> </w:t>
      </w:r>
      <w:r>
        <w:rPr>
          <w:bCs/>
          <w:b/>
        </w:rPr>
        <w:t xml:space="preserve">correlated negatively with the frequency of history-congruent choices and, (ii), whether the estimated sensitivity to sensory information</w:t>
      </w:r>
      <w:r>
        <w:rPr>
          <w:bCs/>
          <w:b/>
        </w:rPr>
        <w:t xml:space="preserve"> </w:t>
      </w:r>
      <m:oMath>
        <m:r>
          <m:t>α</m:t>
        </m:r>
      </m:oMath>
      <w:r>
        <w:rPr>
          <w:bCs/>
          <w:b/>
        </w:rPr>
        <w:t xml:space="preserve"> </w:t>
      </w:r>
      <w:r>
        <w:rPr>
          <w:bCs/>
          <w:b/>
        </w:rP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pStyle w:val="BodyText"/>
      </w:pPr>
      <w:r>
        <w:rPr>
          <w:bCs/>
          <w:b/>
        </w:rPr>
        <w:t xml:space="preserve">Simulations. Finally, we used simulations (Figure 4, Supplemental Figures S10-13) to show that all model components, including the anti-phase oscillations governed by</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rPr>
          <w:bCs/>
          <w:b/>
        </w:rPr>
        <w:t xml:space="preserve">,</w:t>
      </w:r>
      <w:r>
        <w:rPr>
          <w:bCs/>
          <w:b/>
        </w:rPr>
        <w:t xml:space="preserve"> </w:t>
      </w:r>
      <m:oMath>
        <m:r>
          <m:t>α</m:t>
        </m:r>
      </m:oMath>
      <w:r>
        <w:rPr>
          <w:bCs/>
          <w:b/>
        </w:rPr>
        <w:t xml:space="preserve">,</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ζ</m:t>
        </m:r>
      </m:oMath>
      <w:r>
        <w:rPr>
          <w:bCs/>
          <w:b/>
        </w:rPr>
        <w:t xml:space="preserve">) to define individual parameters for simulation in 4317 simulated participants (i.e., equivalent to the number of human participants). For each participant, the number of simulated trials was drawn at random between 300 to 700. Inputs</w:t>
      </w:r>
      <w:r>
        <w:rPr>
          <w:bCs/>
          <w:b/>
        </w:rPr>
        <w:t xml:space="preserve"> </w:t>
      </w:r>
      <m:oMath>
        <m:r>
          <m:t>s</m:t>
        </m:r>
      </m:oMath>
      <w:r>
        <w:rPr>
          <w:bCs/>
          <w:b/>
        </w:rPr>
        <w:t xml:space="preserve"> </w:t>
      </w:r>
      <w:r>
        <w:rPr>
          <w:bCs/>
          <w:b/>
        </w:rPr>
        <w:t xml:space="preserve">were drawn at random for each trial, such that the sequence of inputs to the simulation did not contain any systematic seriality. Noisy observations</w:t>
      </w:r>
      <w:r>
        <w:rPr>
          <w:bCs/>
          <w:b/>
        </w:rPr>
        <w:t xml:space="preserve"> </w:t>
      </w:r>
      <m:oMath>
        <m:r>
          <m:t>u</m:t>
        </m:r>
      </m:oMath>
      <w:r>
        <w:rPr>
          <w:bCs/>
          <w:b/>
        </w:rPr>
        <w:t xml:space="preserve"> </w:t>
      </w:r>
      <w:r>
        <w:rPr>
          <w:bCs/>
          <w:b/>
        </w:rPr>
        <w:t xml:space="preserve">were generated by applying the posterior parameter</w:t>
      </w:r>
      <w:r>
        <w:rPr>
          <w:bCs/>
          <w:b/>
        </w:rPr>
        <w:t xml:space="preserve"> </w:t>
      </w:r>
      <m:oMath>
        <m:r>
          <m:t>α</m:t>
        </m:r>
      </m:oMath>
      <w:r>
        <w:rPr>
          <w:bCs/>
          <w:b/>
        </w:rPr>
        <w:t xml:space="preserve"> </w:t>
      </w:r>
      <w:r>
        <w:rPr>
          <w:bCs/>
          <w:b/>
        </w:rPr>
        <w:t xml:space="preserve">to inputs</w:t>
      </w:r>
      <w:r>
        <w:rPr>
          <w:bCs/>
          <w:b/>
        </w:rPr>
        <w:t xml:space="preserve"> </w:t>
      </w:r>
      <m:oMath>
        <m:r>
          <m:t>s</m:t>
        </m:r>
      </m:oMath>
      <w:r>
        <w:rPr>
          <w:bCs/>
          <w:b/>
        </w:rPr>
        <w:t xml:space="preserve">, thus generating stimulus-congruent choices in</w:t>
      </w:r>
      <w:r>
        <w:rPr>
          <w:bCs/>
          <w:b/>
        </w:rPr>
        <w:t xml:space="preserve"> </w:t>
      </w:r>
      <m:oMath>
        <m:r>
          <m:t>71.36</m:t>
        </m:r>
      </m:oMath>
      <w:r>
        <w:rPr>
          <w:bCs/>
          <w:b/>
        </w:rPr>
        <w:t xml:space="preserve"> </w:t>
      </w:r>
      <w:r>
        <w:rPr>
          <w:bCs/>
          <w:b/>
        </w:rPr>
        <w:t xml:space="preserve">±</w:t>
      </w:r>
      <w:r>
        <w:rPr>
          <w:bCs/>
          <w:b/>
        </w:rPr>
        <w:t xml:space="preserve"> </w:t>
      </w:r>
      <m:oMath>
        <m:r>
          <m:t>2.6</m:t>
        </m:r>
        <m:r>
          <m:rPr>
            <m:sty m:val="p"/>
          </m:rPr>
          <m:t>×</m:t>
        </m:r>
        <m:sSup>
          <m:e>
            <m:r>
              <m:t>10</m:t>
            </m:r>
          </m:e>
          <m:sup>
            <m:r>
              <m:rPr>
                <m:sty m:val="p"/>
              </m:rPr>
              <m:t>−</m:t>
            </m:r>
            <m:r>
              <m:t>3</m:t>
            </m:r>
          </m:sup>
        </m:sSup>
      </m:oMath>
      <w:r>
        <w:rPr>
          <w:bCs/>
          <w:b/>
        </w:rPr>
        <w:t xml:space="preserve">% of trials. Choices were simulated based on the trial-wise choice probabilities</w:t>
      </w:r>
      <w:r>
        <w:rPr>
          <w:bCs/>
          <w:b/>
        </w:rPr>
        <w:t xml:space="preserve"> </w:t>
      </w:r>
      <m:oMath>
        <m:sSub>
          <m:e>
            <m:r>
              <m:t>y</m:t>
            </m:r>
          </m:e>
          <m:sub>
            <m:r>
              <m:t>p</m:t>
            </m:r>
          </m:sub>
        </m:sSub>
      </m:oMath>
      <w:r>
        <w:rPr>
          <w:bCs/>
          <w:b/>
        </w:rPr>
        <w:t xml:space="preserve"> </w:t>
      </w:r>
      <w:r>
        <w:rPr>
          <w:bCs/>
          <w:b/>
        </w:rPr>
        <w:t xml:space="preserve">obtained from our model. Simulated data were analyzed in analogy to the human and mouse data. As a substitute of subjective confidence, we computed the absolute of the trial-wise log posterior ratio</w:t>
      </w:r>
      <w:r>
        <w:rPr>
          <w:bCs/>
          <w:b/>
        </w:rPr>
        <w:t xml:space="preserve"> </w:t>
      </w:r>
      <m:oMath>
        <m:d>
          <m:dPr>
            <m:begChr m:val="|"/>
            <m:endChr m:val="|"/>
            <m:sepChr m:val=""/>
            <m:grow/>
          </m:dPr>
          <m:e>
            <m:r>
              <m:t>L</m:t>
            </m:r>
          </m:e>
        </m:d>
      </m:oMath>
      <w:r>
        <w:rPr>
          <w:bCs/>
          <w:b/>
        </w:rPr>
        <w:t xml:space="preserve"> </w:t>
      </w:r>
      <w:r>
        <w:rPr>
          <w:bCs/>
          <w:b/>
        </w:rPr>
        <w:t xml:space="preserve">(i.e., the posterior decision certainty).</w:t>
      </w:r>
    </w:p>
    <w:p>
      <w:r>
        <w:br w:type="page"/>
      </w:r>
    </w:p>
    <w:bookmarkEnd w:id="52"/>
    <w:bookmarkEnd w:id="53"/>
    <w:bookmarkEnd w:id="54"/>
    <w:bookmarkStart w:id="71" w:name="figures"/>
    <w:p>
      <w:pPr>
        <w:pStyle w:val="Heading1"/>
      </w:pPr>
      <w:r>
        <w:t xml:space="preserve">Figures</w:t>
      </w:r>
    </w:p>
    <w:bookmarkStart w:id="58" w:name="figure-1"/>
    <w:p>
      <w:pPr>
        <w:pStyle w:val="Heading2"/>
      </w:pPr>
      <w:r>
        <w:t xml:space="preserve">Figure 1</w:t>
      </w:r>
    </w:p>
    <w:p>
      <w:pPr>
        <w:pStyle w:val="FirstParagraph"/>
      </w:pPr>
      <w:r>
        <w:drawing>
          <wp:inline>
            <wp:extent cx="4620126" cy="3696101"/>
            <wp:effectExtent b="0" l="0" r="0" t="0"/>
            <wp:docPr descr="" title="" id="56" name="Picture"/>
            <a:graphic>
              <a:graphicData uri="http://schemas.openxmlformats.org/drawingml/2006/picture">
                <pic:pic>
                  <pic:nvPicPr>
                    <pic:cNvPr descr="modes_mouse_rev1b_files/figure-docx/Figure_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 Concept.</w:t>
      </w:r>
    </w:p>
    <w:p>
      <w:pPr>
        <w:pStyle w:val="BodyText"/>
      </w:pPr>
      <w:r>
        <w:t xml:space="preserve">A. In binary perceptual decision-making, a participant is presented with stimuli from two categories (A vs. B; dotted line) and reports consecutive perceptual choices via button presses (sold line). All panels below refer to these stimulated example data.</w:t>
      </w:r>
    </w:p>
    <w:p>
      <w:pPr>
        <w:pStyle w:val="BodyText"/>
      </w:pPr>
      <w:r>
        <w:t xml:space="preserve">B. When the response matches the external stimulus information (i.e., overlap between dotted and solid line in panel A), perceptual choices are</w:t>
      </w:r>
      <w:r>
        <w:t xml:space="preserve"> </w:t>
      </w:r>
      <w:r>
        <w:rPr>
          <w:iCs/>
          <w:i/>
        </w:rPr>
        <w:t xml:space="preserve">stimulus-congruent</w:t>
      </w:r>
      <w:r>
        <w:t xml:space="preserve"> </w:t>
      </w:r>
      <w:r>
        <w:t xml:space="preserve">(red line). When the response matches the response at the preceding trial, perceptual choices are</w:t>
      </w:r>
      <w:r>
        <w:t xml:space="preserve"> </w:t>
      </w:r>
      <w:r>
        <w:rPr>
          <w:iCs/>
          <w:i/>
        </w:rPr>
        <w:t xml:space="preserve">history-congruent</w:t>
      </w:r>
      <w:r>
        <w:t xml:space="preserve"> </w:t>
      </w:r>
      <w:r>
        <w:t xml:space="preserve">(blue line).</w:t>
      </w:r>
    </w:p>
    <w:p>
      <w:pPr>
        <w:pStyle w:val="BodyText"/>
      </w:pPr>
      <w:r>
        <w:t xml:space="preserve">C. The dynamic probabilities of stimulus- and history-congruence (i.e., computed in sliding windows of ±5 trials) fluctuate over time.</w:t>
      </w:r>
    </w:p>
    <w:p>
      <w:pPr>
        <w:pStyle w:val="BodyText"/>
      </w:pPr>
      <w:r>
        <w:t xml:space="preserve">D. The</w:t>
      </w:r>
      <w:r>
        <w:t xml:space="preserve"> </w:t>
      </w:r>
      <w:r>
        <w:rPr>
          <w:iCs/>
          <w:i/>
        </w:rPr>
        <w:t xml:space="preserve">mode</w:t>
      </w:r>
      <w:r>
        <w:t xml:space="preserve"> </w:t>
      </w:r>
      <w:r>
        <w:t xml:space="preserve">of perceptual processing is derived by computing the difference between the dynamic probabilities of stimulus- and history-congruence. Values above 0% indicate a bias toward external information, whereas values below 0% indicate a bias toward internal information.</w:t>
      </w:r>
    </w:p>
    <w:p>
      <w:pPr>
        <w:pStyle w:val="BodyText"/>
      </w:pPr>
      <w:r>
        <w:t xml:space="preserve">E. In computational modeling, internal mode is caused by an enhanced impact of perceptual history. This causes the posterior (black line) to be close to the prior (blue line). Conversely, during external mode, the posterior is close to the sensory information (log likelihood ratio, red line).</w:t>
      </w:r>
    </w:p>
    <w:p>
      <w:pPr>
        <w:pStyle w:val="BodyText"/>
      </w:pPr>
      <w:r>
        <w:rPr>
          <w:bCs/>
          <w:b/>
        </w:rPr>
        <w:t xml:space="preserve">F. The bimodal inference model (M1) explains fluctuations between externally- and externally-biased modes (left panel) by two interacting factors: a normative accumulation of evidence according to parameters</w:t>
      </w:r>
      <w:r>
        <w:rPr>
          <w:bCs/>
          <w:b/>
        </w:rPr>
        <w:t xml:space="preserve"> </w:t>
      </w:r>
      <m:oMath>
        <m:r>
          <m:t>H</m:t>
        </m:r>
      </m:oMath>
      <w:r>
        <w:rPr>
          <w:bCs/>
          <w:b/>
        </w:rPr>
        <w:t xml:space="preserve"> </w:t>
      </w:r>
      <w:r>
        <w:rPr>
          <w:bCs/>
          <w:b/>
        </w:rPr>
        <w:t xml:space="preserve">(middle panel), and anti-phase oscillations in the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(right panel).</w:t>
      </w:r>
    </w:p>
    <w:p>
      <w:pPr>
        <w:pStyle w:val="BodyText"/>
      </w:pPr>
      <w:r>
        <w:rPr>
          <w:bCs/>
          <w:b/>
        </w:rP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bCs/>
          <w:b/>
        </w:rPr>
        <w:t xml:space="preserve">51</w:t>
      </w:r>
      <w:r>
        <w:rPr>
          <w:bCs/>
          <w:b/>
        </w:rPr>
        <w:t xml:space="preserve">. In the no-evidence-accumulation model (M5), perceptual decisions depend only on likelihood information (flat priors).</w:t>
      </w:r>
    </w:p>
    <w:p>
      <w:r>
        <w:br w:type="page"/>
      </w:r>
    </w:p>
    <w:bookmarkEnd w:id="58"/>
    <w:bookmarkStart w:id="62" w:name="figure-2"/>
    <w:p>
      <w:pPr>
        <w:pStyle w:val="Heading2"/>
      </w:pPr>
      <w:r>
        <w:t xml:space="preserve">Figure 2</w:t>
      </w:r>
    </w:p>
    <w:p>
      <w:pPr>
        <w:pStyle w:val="FirstParagraph"/>
      </w:pPr>
      <w:r>
        <w:drawing>
          <wp:inline>
            <wp:extent cx="4620126" cy="3696101"/>
            <wp:effectExtent b="0" l="0" r="0" t="0"/>
            <wp:docPr descr="" title="" id="60" name="Picture"/>
            <a:graphic>
              <a:graphicData uri="http://schemas.openxmlformats.org/drawingml/2006/picture">
                <pic:pic>
                  <pic:nvPicPr>
                    <pic:cNvPr descr="modes_mouse_rev1b_files/figure-docx/Figure_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2. Internal and external modes in human perceptual decision-making.</w:t>
      </w:r>
    </w:p>
    <w:p>
      <w:pPr>
        <w:pStyle w:val="BodyText"/>
      </w:pPr>
      <w:r>
        <w:t xml:space="preserve">A. In humans, perception was stimulus-congruent in 73.46% ± 0.15% (in red) and history-congruent in 52.7% ± 0.12% of trials (in blue; upper panel). History-congruent perceptual choices were more frequent when perception was stimulus-incongruent (i.e., on</w:t>
      </w:r>
      <w:r>
        <w:t xml:space="preserve"> </w:t>
      </w:r>
      <w:r>
        <w:rPr>
          <w:iCs/>
          <w:i/>
        </w:rPr>
        <w:t xml:space="preserve">error</w:t>
      </w:r>
      <w:r>
        <w:t xml:space="preserve"> </w:t>
      </w:r>
      <w:r>
        <w:t xml:space="preserve">trials; lower panel), indicating that history effects impair performance in randomized psychophysical designs.</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Across trials, the autocorrelation coefficients were best fit by an exponential function (adjusted</w:t>
      </w:r>
      <w:r>
        <w:t xml:space="preserve"> </w:t>
      </w:r>
      <m:oMath>
        <m:sSup>
          <m:e>
            <m:r>
              <m:t>R</m:t>
            </m:r>
          </m:e>
          <m:sup>
            <m:r>
              <m:t>2</m:t>
            </m:r>
          </m:sup>
        </m:sSup>
      </m:oMath>
      <w:r>
        <w:t xml:space="preserve"> </w:t>
      </w:r>
      <w:r>
        <w:t xml:space="preserve">for stimulus-congruence: 0.53; history-congruence: 0.72) as compared to a linear function (adjusted</w:t>
      </w:r>
      <w:r>
        <w:t xml:space="preserve"> </w:t>
      </w:r>
      <m:oMath>
        <m:sSup>
          <m:e>
            <m:r>
              <m:t>R</m:t>
            </m:r>
          </m:e>
          <m:sup>
            <m:r>
              <m:t>2</m:t>
            </m:r>
          </m:sup>
        </m:sSup>
      </m:oMath>
      <w:r>
        <w:t xml:space="preserve"> </w:t>
      </w:r>
      <w:r>
        <w:t xml:space="preserve">for stimulus-congruence: 0.53; history-congruence: 0.51), decaying at a rate of</w:t>
      </w:r>
      <w:r>
        <w:t xml:space="preserve"> </w:t>
      </w:r>
      <m:oMath>
        <m:r>
          <m:t>γ</m:t>
        </m:r>
      </m:oMath>
      <w:r>
        <w:t xml:space="preserve"> </w:t>
      </w:r>
      <w:r>
        <w:t xml:space="preserve">=</w:t>
      </w:r>
      <w:r>
        <w:t xml:space="preserve"> </w:t>
      </w:r>
      <m:oMath>
        <m:r>
          <m:rPr>
            <m:sty m:val="p"/>
          </m:rPr>
          <m:t>−</m:t>
        </m:r>
        <m:r>
          <m:t>1.92</m:t>
        </m:r>
        <m:r>
          <m:rPr>
            <m:sty m:val="p"/>
          </m:rPr>
          <m:t>×</m:t>
        </m:r>
        <m:sSup>
          <m:e>
            <m:r>
              <m:t>10</m:t>
            </m:r>
          </m:e>
          <m:sup>
            <m:r>
              <m:rPr>
                <m:sty m:val="p"/>
              </m:rPr>
              <m:t>−</m:t>
            </m:r>
            <m:r>
              <m:t>3</m:t>
            </m:r>
          </m:sup>
        </m:sSup>
      </m:oMath>
      <w:r>
        <w:t xml:space="preserve"> </w:t>
      </w:r>
      <w:r>
        <w:t xml:space="preserve">±</w:t>
      </w:r>
      <w:r>
        <w:t xml:space="preserve"> </w:t>
      </w:r>
      <m:oMath>
        <m:r>
          <m:t>4.5</m:t>
        </m:r>
        <m:r>
          <m:rPr>
            <m:sty m:val="p"/>
          </m:rPr>
          <m:t>×</m:t>
        </m:r>
        <m:sSup>
          <m:e>
            <m:r>
              <m:t>10</m:t>
            </m:r>
          </m:e>
          <m:sup>
            <m:r>
              <m:rPr>
                <m:sty m:val="p"/>
              </m:rPr>
              <m:t>−</m:t>
            </m:r>
            <m:r>
              <m:t>4</m:t>
            </m:r>
          </m:sup>
        </m:sSup>
      </m:oMath>
      <w:r>
        <w:t xml:space="preserve"> </w:t>
      </w:r>
      <w:r>
        <w:t xml:space="preserve">(T(</w:t>
      </w:r>
      <m:oMath>
        <m:r>
          <m:t>6.88</m:t>
        </m:r>
        <m:r>
          <m:rPr>
            <m:sty m:val="p"/>
          </m:rPr>
          <m:t>×</m:t>
        </m:r>
        <m:sSup>
          <m:e>
            <m:r>
              <m:t>10</m:t>
            </m:r>
          </m:e>
          <m:sup>
            <m:r>
              <m:t>4</m:t>
            </m:r>
          </m:sup>
        </m:sSup>
      </m:oMath>
      <w:r>
        <w:t xml:space="preserve">) =</w:t>
      </w:r>
      <w:r>
        <w:t xml:space="preserve"> </w:t>
      </w:r>
      <m:oMath>
        <m:r>
          <m:rPr>
            <m:sty m:val="p"/>
          </m:rPr>
          <m:t>−</m:t>
        </m:r>
        <m:r>
          <m:t>4.27</m:t>
        </m:r>
      </m:oMath>
      <w:r>
        <w:t xml:space="preserve">, p =</w:t>
      </w:r>
      <w:r>
        <w:t xml:space="preserve"> </w:t>
      </w:r>
      <m:oMath>
        <m:r>
          <m:t>1.98</m:t>
        </m:r>
        <m:r>
          <m:rPr>
            <m:sty m:val="p"/>
          </m:rPr>
          <m:t>×</m:t>
        </m:r>
        <m:sSup>
          <m:e>
            <m:r>
              <m:t>10</m:t>
            </m:r>
          </m:e>
          <m:sup>
            <m:r>
              <m:rPr>
                <m:sty m:val="p"/>
              </m:rPr>
              <m:t>−</m:t>
            </m:r>
            <m:r>
              <m:t>5</m:t>
            </m:r>
          </m:sup>
        </m:sSup>
      </m:oMath>
      <w:r>
        <w:t xml:space="preserve">) for stimulus-congruence and at a rate of</w:t>
      </w:r>
      <w:r>
        <w:t xml:space="preserve"> </w:t>
      </w:r>
      <m:oMath>
        <m:r>
          <m:t>γ</m:t>
        </m:r>
      </m:oMath>
      <w:r>
        <w:t xml:space="preserve"> </w:t>
      </w:r>
      <w:r>
        <w:t xml:space="preserve">=</w:t>
      </w:r>
      <w:r>
        <w:t xml:space="preserve"> </w:t>
      </w:r>
      <m:oMath>
        <m:r>
          <m:rPr>
            <m:sty m:val="p"/>
          </m:rPr>
          <m:t>−</m:t>
        </m:r>
        <m:r>
          <m:t>6.11</m:t>
        </m:r>
        <m:r>
          <m:rPr>
            <m:sty m:val="p"/>
          </m:rPr>
          <m:t>×</m:t>
        </m:r>
        <m:sSup>
          <m:e>
            <m:r>
              <m:t>10</m:t>
            </m:r>
          </m:e>
          <m:sup>
            <m:r>
              <m:rPr>
                <m:sty m:val="p"/>
              </m:rPr>
              <m:t>−</m:t>
            </m:r>
            <m:r>
              <m:t>3</m:t>
            </m:r>
          </m:sup>
        </m:sSup>
      </m:oMath>
      <w:r>
        <w:t xml:space="preserve"> </w:t>
      </w:r>
      <w:r>
        <w:t xml:space="preserve">±</w:t>
      </w:r>
      <w:r>
        <w:t xml:space="preserve"> </w:t>
      </w:r>
      <m:oMath>
        <m:r>
          <m:t>5.69</m:t>
        </m:r>
        <m:r>
          <m:rPr>
            <m:sty m:val="p"/>
          </m:rPr>
          <m:t>×</m:t>
        </m:r>
        <m:sSup>
          <m:e>
            <m:r>
              <m:t>10</m:t>
            </m:r>
          </m:e>
          <m:sup>
            <m:r>
              <m:rPr>
                <m:sty m:val="p"/>
              </m:rPr>
              <m:t>−</m:t>
            </m:r>
            <m:r>
              <m:t>4</m:t>
            </m:r>
          </m:sup>
        </m:sSup>
      </m:oMath>
      <w:r>
        <w:t xml:space="preserve"> </w:t>
      </w:r>
      <w:r>
        <w:t xml:space="preserve">(T(</w:t>
      </w:r>
      <m:oMath>
        <m:r>
          <m:t>6.75</m:t>
        </m:r>
        <m:r>
          <m:rPr>
            <m:sty m:val="p"/>
          </m:rPr>
          <m:t>×</m:t>
        </m:r>
        <m:sSup>
          <m:e>
            <m:r>
              <m:t>10</m:t>
            </m:r>
          </m:e>
          <m:sup>
            <m:r>
              <m:t>4</m:t>
            </m:r>
          </m:sup>
        </m:sSup>
      </m:oMath>
      <w:r>
        <w:t xml:space="preserve">) =</w:t>
      </w:r>
      <w:r>
        <w:t xml:space="preserve"> </w:t>
      </w:r>
      <m:oMath>
        <m:r>
          <m:rPr>
            <m:sty m:val="p"/>
          </m:rPr>
          <m:t>−</m:t>
        </m:r>
        <m:r>
          <m:t>10.74</m:t>
        </m:r>
      </m:oMath>
      <w:r>
        <w:t xml:space="preserve">, p =</w:t>
      </w:r>
      <w:r>
        <w:t xml:space="preserve"> </w:t>
      </w:r>
      <m:oMath>
        <m:r>
          <m:t>7.18</m:t>
        </m:r>
        <m:r>
          <m:rPr>
            <m:sty m:val="p"/>
          </m:rPr>
          <m:t>×</m:t>
        </m:r>
        <m:sSup>
          <m:e>
            <m:r>
              <m:t>10</m:t>
            </m:r>
          </m:e>
          <m:sup>
            <m:r>
              <m:rPr>
                <m:sty m:val="p"/>
              </m:rPr>
              <m:t>−</m:t>
            </m:r>
            <m:r>
              <m:t>27</m:t>
            </m:r>
          </m:sup>
        </m:sSup>
      </m:oMath>
      <w:r>
        <w:t xml:space="preserve">) for history-congruence.</w:t>
      </w:r>
    </w:p>
    <w:p>
      <w:pPr>
        <w:pStyle w:val="BodyText"/>
      </w:pPr>
      <w:r>
        <w:t xml:space="preserve">C. Here, we depict the number of consecutive trials at which autocorrelation coefficients exceeded the respective autocorrelation of randomly permuted data within individual participants. For stimulus-congruence (upper panel), the lag of positive autocorrelation amounted to</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on average, showing a peak at trial t+1 after the index trial. For history-congruence (lower panel), the lag of positive autocorrelation amounted to</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on average, peaking at trial t+2 after the index trial.</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We observed faster RTs for both stimulus-congruence (as opposed to stimulus-incongruence,</w:t>
      </w:r>
      <w:r>
        <w:t xml:space="preserve">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w:t>
      </w:r>
    </w:p>
    <w:p>
      <w:pPr>
        <w:pStyle w:val="BodyText"/>
      </w:pPr>
      <w:r>
        <w:t xml:space="preserve">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The horizontal and vertical dotted lines indicate maximum RT and the associated mode, respectively.</w:t>
      </w:r>
    </w:p>
    <w:p>
      <w:pPr>
        <w:pStyle w:val="BodyText"/>
      </w:pPr>
      <w:r>
        <w:t xml:space="preserve">I. Confidence was enhanced for both stimulus-congruence (as opposed to stimulus-incongruence,</w:t>
      </w:r>
      <w:r>
        <w:t xml:space="preserv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w:t>
      </w:r>
    </w:p>
    <w:p>
      <w:pPr>
        <w:pStyle w:val="BodyText"/>
      </w:pPr>
      <w:r>
        <w:t xml:space="preserve">J. In analogy to RTs, we found a quadratic relationship between the mode of perceptual processing and confidence, which increased when both externally- and internally-biased modes grew stronger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The horizontal and vertical dotted lines indicate minimum confidence and the associated mode, respectively.</w:t>
      </w:r>
    </w:p>
    <w:bookmarkEnd w:id="62"/>
    <w:bookmarkStart w:id="66" w:name="figure-3"/>
    <w:p>
      <w:pPr>
        <w:pStyle w:val="Heading2"/>
      </w:pPr>
      <w:r>
        <w:t xml:space="preserve">Figure 3</w:t>
      </w:r>
    </w:p>
    <w:p>
      <w:pPr>
        <w:pStyle w:val="FirstParagraph"/>
      </w:pPr>
      <w:r>
        <w:drawing>
          <wp:inline>
            <wp:extent cx="4620126" cy="3696101"/>
            <wp:effectExtent b="0" l="0" r="0" t="0"/>
            <wp:docPr descr="" title="" id="64" name="Picture"/>
            <a:graphic>
              <a:graphicData uri="http://schemas.openxmlformats.org/drawingml/2006/picture">
                <pic:pic>
                  <pic:nvPicPr>
                    <pic:cNvPr descr="modes_mouse_rev1b_files/figure-docx/Figure_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3. Internal and external modes in mouse perceptual decision-making.</w:t>
      </w:r>
    </w:p>
    <w:p>
      <w:pPr>
        <w:pStyle w:val="BodyText"/>
      </w:pPr>
      <w:r>
        <w:t xml:space="preserve">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Please note that the negative autocorrelation of stimulus-congruence at trial 2 was a consequence of the experimental design (Supplemental Figure 2D-F). As in humans, autocorrelation coefficients were best fit by an exponential function (adjusted</w:t>
      </w:r>
      <w:r>
        <w:t xml:space="preserve"> </w:t>
      </w:r>
      <m:oMath>
        <m:sSup>
          <m:e>
            <m:r>
              <m:t>R</m:t>
            </m:r>
          </m:e>
          <m:sup>
            <m:r>
              <m:t>2</m:t>
            </m:r>
          </m:sup>
        </m:sSup>
      </m:oMath>
      <w:r>
        <w:t xml:space="preserve"> </w:t>
      </w:r>
      <w:r>
        <w:t xml:space="preserve">for stimulus-congruence:</w:t>
      </w:r>
      <w:r>
        <w:t xml:space="preserve"> </w:t>
      </w:r>
      <m:oMath>
        <m:r>
          <m:t>0.44</m:t>
        </m:r>
      </m:oMath>
      <w:r>
        <w:t xml:space="preserve">; history-congruence:</w:t>
      </w:r>
      <w:r>
        <w:t xml:space="preserve"> </w:t>
      </w:r>
      <m:oMath>
        <m:r>
          <m:t>0.52</m:t>
        </m:r>
      </m:oMath>
      <w:r>
        <w:t xml:space="preserve">) as compared to a linear function (adjusted</w:t>
      </w:r>
      <w:r>
        <w:t xml:space="preserve"> </w:t>
      </w:r>
      <m:oMath>
        <m:sSup>
          <m:e>
            <m:r>
              <m:t>R</m:t>
            </m:r>
          </m:e>
          <m:sup>
            <m:r>
              <m:t>2</m:t>
            </m:r>
          </m:sup>
        </m:sSup>
      </m:oMath>
      <w:r>
        <w:t xml:space="preserve"> </w:t>
      </w:r>
      <w:r>
        <w:t xml:space="preserve">for stimulus-congruence:</w:t>
      </w:r>
      <w:r>
        <w:t xml:space="preserve"> </w:t>
      </w:r>
      <m:oMath>
        <m:r>
          <m:t>3.16</m:t>
        </m:r>
        <m:r>
          <m:rPr>
            <m:sty m:val="p"/>
          </m:rPr>
          <m:t>×</m:t>
        </m:r>
        <m:sSup>
          <m:e>
            <m:r>
              <m:t>10</m:t>
            </m:r>
          </m:e>
          <m:sup>
            <m:r>
              <m:rPr>
                <m:sty m:val="p"/>
              </m:rPr>
              <m:t>−</m:t>
            </m:r>
            <m:r>
              <m:t>3</m:t>
            </m:r>
          </m:sup>
        </m:sSup>
      </m:oMath>
      <w:r>
        <w:t xml:space="preserve">; history-congruence:</w:t>
      </w:r>
      <w:r>
        <w:t xml:space="preserve"> </w:t>
      </w:r>
      <m:oMath>
        <m:r>
          <m:t>0.26</m:t>
        </m:r>
      </m:oMath>
      <w:r>
        <w:t xml:space="preserve">), decaying at a rate of</w:t>
      </w:r>
      <w:r>
        <w:t xml:space="preserve"> </w:t>
      </w:r>
      <m:oMath>
        <m:r>
          <m:t>γ</m:t>
        </m:r>
      </m:oMath>
      <w:r>
        <w:t xml:space="preserve"> </w:t>
      </w:r>
      <w:r>
        <w:t xml:space="preserve">=</w:t>
      </w:r>
      <w:r>
        <w:t xml:space="preserve"> </w:t>
      </w:r>
      <m:oMath>
        <m:r>
          <m:rPr>
            <m:sty m:val="p"/>
          </m:rPr>
          <m:t>−</m:t>
        </m:r>
        <m:r>
          <m:t>6.2</m:t>
        </m:r>
        <m:r>
          <m:rPr>
            <m:sty m:val="p"/>
          </m:rPr>
          <m:t>×</m:t>
        </m:r>
        <m:sSup>
          <m:e>
            <m:r>
              <m:t>10</m:t>
            </m:r>
          </m:e>
          <m:sup>
            <m:r>
              <m:rPr>
                <m:sty m:val="p"/>
              </m:rPr>
              <m:t>−</m:t>
            </m:r>
            <m:r>
              <m:t>4</m:t>
            </m:r>
          </m:sup>
        </m:sSup>
      </m:oMath>
      <w:r>
        <w:t xml:space="preserve"> </w:t>
      </w:r>
      <w:r>
        <w:t xml:space="preserve">±</w:t>
      </w:r>
      <w:r>
        <w:t xml:space="preserve"> </w:t>
      </w:r>
      <m:oMath>
        <m:r>
          <m:t>5.93</m:t>
        </m:r>
        <m:r>
          <m:rPr>
            <m:sty m:val="p"/>
          </m:rPr>
          <m:t>×</m:t>
        </m:r>
        <m:sSup>
          <m:e>
            <m:r>
              <m:t>10</m:t>
            </m:r>
          </m:e>
          <m:sup>
            <m:r>
              <m:rPr>
                <m:sty m:val="p"/>
              </m:rPr>
              <m:t>−</m:t>
            </m:r>
            <m:r>
              <m:t>4</m:t>
            </m:r>
          </m:sup>
        </m:sSup>
      </m:oMath>
      <w:r>
        <w:t xml:space="preserve"> </w:t>
      </w:r>
      <w:r>
        <w:t xml:space="preserve">(T(</w:t>
      </w:r>
      <m:oMath>
        <m:r>
          <m:t>3.55</m:t>
        </m:r>
        <m:r>
          <m:rPr>
            <m:sty m:val="p"/>
          </m:rPr>
          <m:t>×</m:t>
        </m:r>
        <m:sSup>
          <m:e>
            <m:r>
              <m:t>10</m:t>
            </m:r>
          </m:e>
          <m:sup>
            <m:r>
              <m:t>4</m:t>
            </m:r>
          </m:sup>
        </m:sSup>
      </m:oMath>
      <w:r>
        <w:t xml:space="preserve">) =</w:t>
      </w:r>
      <w:r>
        <w:t xml:space="preserve"> </w:t>
      </w:r>
      <m:oMath>
        <m:r>
          <m:rPr>
            <m:sty m:val="p"/>
          </m:rPr>
          <m:t>−</m:t>
        </m:r>
        <m:r>
          <m:t>1.05</m:t>
        </m:r>
      </m:oMath>
      <w:r>
        <w:t xml:space="preserve">, p =</w:t>
      </w:r>
      <w:r>
        <w:t xml:space="preserve"> </w:t>
      </w:r>
      <m:oMath>
        <m:r>
          <m:t>0.3</m:t>
        </m:r>
      </m:oMath>
      <w:r>
        <w:t xml:space="preserve">) for stimulus-congruence and at a rate of</w:t>
      </w:r>
      <w:r>
        <w:t xml:space="preserve"> </w:t>
      </w:r>
      <m:oMath>
        <m:r>
          <m:t>γ</m:t>
        </m:r>
      </m:oMath>
      <w:r>
        <w:t xml:space="preserve"> </w:t>
      </w:r>
      <w:r>
        <w:t xml:space="preserve">=</w:t>
      </w:r>
      <w:r>
        <w:t xml:space="preserve"> </w:t>
      </w:r>
      <m:oMath>
        <m:r>
          <m:rPr>
            <m:sty m:val="p"/>
          </m:rPr>
          <m:t>−</m:t>
        </m:r>
        <m:r>
          <m:t>6.7</m:t>
        </m:r>
        <m:r>
          <m:rPr>
            <m:sty m:val="p"/>
          </m:rPr>
          <m:t>×</m:t>
        </m:r>
        <m:sSup>
          <m:e>
            <m:r>
              <m:t>10</m:t>
            </m:r>
          </m:e>
          <m:sup>
            <m:r>
              <m:rPr>
                <m:sty m:val="p"/>
              </m:rPr>
              <m:t>−</m:t>
            </m:r>
            <m:r>
              <m:t>3</m:t>
            </m:r>
          </m:sup>
        </m:sSup>
      </m:oMath>
      <w:r>
        <w:t xml:space="preserve"> </w:t>
      </w:r>
      <w:r>
        <w:t xml:space="preserve">±</w:t>
      </w:r>
      <w:r>
        <w:t xml:space="preserve"> </w:t>
      </w:r>
      <m:oMath>
        <m:r>
          <m:t>5.94</m:t>
        </m:r>
        <m:r>
          <m:rPr>
            <m:sty m:val="p"/>
          </m:rPr>
          <m:t>×</m:t>
        </m:r>
        <m:sSup>
          <m:e>
            <m:r>
              <m:t>10</m:t>
            </m:r>
          </m:e>
          <m:sup>
            <m:r>
              <m:rPr>
                <m:sty m:val="p"/>
              </m:rPr>
              <m:t>−</m:t>
            </m:r>
            <m:r>
              <m:t>4</m:t>
            </m:r>
          </m:sup>
        </m:sSup>
      </m:oMath>
      <w:r>
        <w:t xml:space="preserve"> </w:t>
      </w:r>
      <w:r>
        <w:t xml:space="preserve">(T(</w:t>
      </w:r>
      <m:oMath>
        <m:r>
          <m:t>3.69</m:t>
        </m:r>
        <m:r>
          <m:rPr>
            <m:sty m:val="p"/>
          </m:rPr>
          <m:t>×</m:t>
        </m:r>
        <m:sSup>
          <m:e>
            <m:r>
              <m:t>10</m:t>
            </m:r>
          </m:e>
          <m:sup>
            <m:r>
              <m:t>4</m:t>
            </m:r>
          </m:sup>
        </m:sSup>
      </m:oMath>
      <w:r>
        <w:t xml:space="preserve">) =</w:t>
      </w:r>
      <w:r>
        <w:t xml:space="preserve"> </w:t>
      </w:r>
      <m:oMath>
        <m:r>
          <m:rPr>
            <m:sty m:val="p"/>
          </m:rPr>
          <m:t>−</m:t>
        </m:r>
        <m:r>
          <m:t>11.27</m:t>
        </m:r>
      </m:oMath>
      <w:r>
        <w:t xml:space="preserve">, p =</w:t>
      </w:r>
      <w:r>
        <w:t xml:space="preserve"> </w:t>
      </w:r>
      <m:oMath>
        <m:r>
          <m:t>2.07</m:t>
        </m:r>
        <m:r>
          <m:rPr>
            <m:sty m:val="p"/>
          </m:rPr>
          <m:t>×</m:t>
        </m:r>
        <m:sSup>
          <m:e>
            <m:r>
              <m:t>10</m:t>
            </m:r>
          </m:e>
          <m:sup>
            <m:r>
              <m:rPr>
                <m:sty m:val="p"/>
              </m:rPr>
              <m:t>−</m:t>
            </m:r>
            <m:r>
              <m:t>29</m:t>
            </m:r>
          </m:sup>
        </m:sSup>
      </m:oMath>
      <w:r>
        <w:t xml:space="preserve">) for history-congruence.</w:t>
      </w:r>
    </w:p>
    <w:p>
      <w:pPr>
        <w:pStyle w:val="BodyText"/>
      </w:pPr>
      <w:r>
        <w:t xml:space="preserve">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w:t>
      </w:r>
    </w:p>
    <w:p>
      <w:pPr>
        <w:pStyle w:val="BodyText"/>
      </w:pPr>
      <w:r>
        <w:t xml:space="preserve">D. In mice, the dynamic probabilities of stimulus- and history-congruence (sliding windows of ±5 trials) fluctuated as</w:t>
      </w:r>
      <w:r>
        <w:t xml:space="preserve"> </w:t>
      </w:r>
      <w:r>
        <w:rPr>
          <w:bCs/>
          <w:b/>
        </w:rPr>
        <w:t xml:space="preserve">a scale-invariant process with a 1/f power law</w:t>
      </w:r>
      <w:r>
        <w:t xml:space="preserve">.</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 3.45 ± 0.01%.</w:t>
      </w:r>
    </w:p>
    <w:p>
      <w:pPr>
        <w:pStyle w:val="BodyText"/>
      </w:pPr>
      <w:r>
        <w:t xml:space="preserve">G. We observed shorter trial durations (TDs) for stimulus-congruence (as opposed to stimulus-incongruence,</w:t>
      </w:r>
      <w:r>
        <w:t xml:space="preserve"> </w:t>
      </w:r>
      <m:oMath>
        <m:r>
          <m:t>β</m:t>
        </m:r>
      </m:oMath>
      <w:r>
        <w:t xml:space="preserve"> </w:t>
      </w:r>
      <w:r>
        <w:t xml:space="preserve">=</w:t>
      </w:r>
      <w:r>
        <w:t xml:space="preserve"> </w:t>
      </w:r>
      <m:oMath>
        <m:r>
          <m:rPr>
            <m:sty m:val="p"/>
          </m:rPr>
          <m:t>−</m:t>
        </m:r>
        <m:r>
          <m:t>1.12</m:t>
        </m:r>
      </m:oMath>
      <w:r>
        <w:t xml:space="preserve"> </w:t>
      </w:r>
      <w:r>
        <w:t xml:space="preserve">±</w:t>
      </w:r>
      <w:r>
        <w:t xml:space="preserve"> </w:t>
      </w:r>
      <m:oMath>
        <m:r>
          <m:t>8.53</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131.78</m:t>
        </m:r>
      </m:oMath>
      <w:r>
        <w:t xml:space="preserve">, p =</w:t>
      </w:r>
      <w:r>
        <w:t xml:space="preserve"> </w:t>
      </w:r>
      <m:oMath>
        <m:r>
          <m:t>0</m:t>
        </m:r>
      </m:oMath>
      <w:r>
        <w:t xml:space="preserve">),</w:t>
      </w:r>
      <w:r>
        <w:t xml:space="preserve"> </w:t>
      </w:r>
      <w:r>
        <w:t xml:space="preserve">but longer TDs for history-congruence (</w:t>
      </w:r>
      <m:oMath>
        <m:r>
          <m:t>β</m:t>
        </m:r>
      </m:oMath>
      <w:r>
        <w:t xml:space="preserve"> </w:t>
      </w:r>
      <w:r>
        <w:t xml:space="preserve">=</w:t>
      </w:r>
      <w:r>
        <w:t xml:space="preserve"> </w:t>
      </w:r>
      <m:oMath>
        <m:r>
          <m:t>0.06</m:t>
        </m:r>
      </m:oMath>
      <w:r>
        <w:t xml:space="preserve"> </w:t>
      </w:r>
      <w:r>
        <w:t xml:space="preserve">±</w:t>
      </w:r>
      <w:r>
        <w:t xml:space="preserve"> </w:t>
      </w:r>
      <m:oMath>
        <m:r>
          <m:t>6.76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t>8.52</m:t>
        </m:r>
      </m:oMath>
      <w:r>
        <w:t xml:space="preserve">, p =</w:t>
      </w:r>
      <w:r>
        <w:t xml:space="preserve"> </w:t>
      </w:r>
      <m:oMath>
        <m:r>
          <m:t>1.58</m:t>
        </m:r>
        <m:r>
          <m:rPr>
            <m:sty m:val="p"/>
          </m:rPr>
          <m:t>×</m:t>
        </m:r>
        <m:sSup>
          <m:e>
            <m:r>
              <m:t>10</m:t>
            </m:r>
          </m:e>
          <m:sup>
            <m:r>
              <m:rPr>
                <m:sty m:val="p"/>
              </m:rPr>
              <m:t>−</m:t>
            </m:r>
            <m:r>
              <m:t>17</m:t>
            </m:r>
          </m:sup>
        </m:sSup>
      </m:oMath>
      <w:r>
        <w:t xml:space="preserve">).</w:t>
      </w:r>
    </w:p>
    <w:p>
      <w:pPr>
        <w:pStyle w:val="BodyText"/>
      </w:pPr>
      <w:r>
        <w:t xml:space="preserve">H. TDs decreased monotonically for stronger biases toward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The horizontal and vertical dotted lines indicate maximum TD and the associated mode, respectively.</w:t>
      </w:r>
    </w:p>
    <w:p>
      <w:pPr>
        <w:pStyle w:val="BodyText"/>
      </w:pPr>
      <w:r>
        <w:t xml:space="preserve">I. For TDs that differed from the median TD by no more than 1.5 x MAD (median absolute distance</w:t>
      </w:r>
      <w:r>
        <w:rPr>
          <w:vertAlign w:val="superscript"/>
        </w:rPr>
        <w:t xml:space="preserve">49</w:t>
      </w:r>
      <w:r>
        <w:t xml:space="preserve">), mice exhibited a quadratic component in the relationship between the mode of sensory processing and TDs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This explorative post-hoc analysis focuses on trials at which mice engage more swiftly with the experimental task. The horizontal and vertical dotted lines indicate maximum TD and the associated mode, respectively.</w:t>
      </w:r>
    </w:p>
    <w:p>
      <w:r>
        <w:br w:type="page"/>
      </w:r>
    </w:p>
    <w:bookmarkEnd w:id="66"/>
    <w:bookmarkStart w:id="70" w:name="figure-4"/>
    <w:p>
      <w:pPr>
        <w:pStyle w:val="Heading2"/>
      </w:pPr>
      <w:r>
        <w:t xml:space="preserve">Figure 4</w:t>
      </w:r>
    </w:p>
    <w:p>
      <w:pPr>
        <w:pStyle w:val="FirstParagraph"/>
      </w:pPr>
      <w:r>
        <w:drawing>
          <wp:inline>
            <wp:extent cx="4620126" cy="3696101"/>
            <wp:effectExtent b="0" l="0" r="0" t="0"/>
            <wp:docPr descr="" title="" id="68" name="Picture"/>
            <a:graphic>
              <a:graphicData uri="http://schemas.openxmlformats.org/drawingml/2006/picture">
                <pic:pic>
                  <pic:nvPicPr>
                    <pic:cNvPr descr="modes_mouse_rev1b_files/figure-docx/Figure_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4. Internal and external modes in simulated perceptual decision-making.</w:t>
      </w:r>
    </w:p>
    <w:p>
      <w:pPr>
        <w:pStyle w:val="BodyText"/>
      </w:pPr>
      <w:r>
        <w:t xml:space="preserve">A. Simulated perceptual choices were stimulus-congruent in 71.36% ± 0.17% (in red) and history-congruent in 51.99% ± 0.11% of trials (in blue; T(</w:t>
      </w:r>
      <m:oMath>
        <m:r>
          <m:t>4.32</m:t>
        </m:r>
        <m:r>
          <m:rPr>
            <m:sty m:val="p"/>
          </m:rPr>
          <m:t>×</m:t>
        </m:r>
        <m:sSup>
          <m:e>
            <m:r>
              <m:t>10</m:t>
            </m:r>
          </m:e>
          <m:sup>
            <m:r>
              <m:t>3</m:t>
            </m:r>
          </m:sup>
        </m:sSup>
      </m:oMath>
      <w:r>
        <w:t xml:space="preserve">) =</w:t>
      </w:r>
      <w:r>
        <w:t xml:space="preserve"> </w:t>
      </w:r>
      <m:oMath>
        <m:r>
          <m:t>17.42</m:t>
        </m:r>
      </m:oMath>
      <w:r>
        <w:t xml:space="preserve">, p =</w:t>
      </w:r>
      <w:r>
        <w:t xml:space="preserve"> </w:t>
      </w:r>
      <m:oMath>
        <m:r>
          <m:t>9.89</m:t>
        </m:r>
        <m:r>
          <m:rPr>
            <m:sty m:val="p"/>
          </m:rPr>
          <m:t>×</m:t>
        </m:r>
        <m:sSup>
          <m:e>
            <m:r>
              <m:t>10</m:t>
            </m:r>
          </m:e>
          <m:sup>
            <m:r>
              <m:rPr>
                <m:sty m:val="p"/>
              </m:rPr>
              <m:t>−</m:t>
            </m:r>
            <m:r>
              <m:t>66</m:t>
            </m:r>
          </m:sup>
        </m:sSup>
      </m:oMath>
      <w:r>
        <w:t xml:space="preserve">; upper panel).</w:t>
      </w:r>
      <w:r>
        <w:t xml:space="preserve"> </w:t>
      </w:r>
      <w:r>
        <w:t xml:space="preserve">Due to the competition between stimulus- and history-congruence, history-congruent perceptual choices were more frequent when perception was stimulus-incongruent (i.e., on</w:t>
      </w:r>
      <w:r>
        <w:t xml:space="preserve"> </w:t>
      </w:r>
      <w:r>
        <w:rPr>
          <w:iCs/>
          <w:i/>
        </w:rPr>
        <w:t xml:space="preserve">error</w:t>
      </w:r>
      <w:r>
        <w:t xml:space="preserve"> </w:t>
      </w:r>
      <w:r>
        <w:t xml:space="preserve">trials; T(4.32</w:t>
      </w:r>
      <w:r>
        <w:t xml:space="preserve">^{3}) = 11.19, p =</w:t>
      </w:r>
      <w:r>
        <w:t xml:space="preserve"> </w:t>
      </w:r>
      <m:oMath>
        <m:r>
          <m:t>1.17</m:t>
        </m:r>
        <m:r>
          <m:rPr>
            <m:sty m:val="p"/>
          </m:rPr>
          <m:t>×</m:t>
        </m:r>
        <m:sSup>
          <m:e>
            <m:r>
              <m:t>10</m:t>
            </m:r>
          </m:e>
          <m:sup>
            <m:r>
              <m:rPr>
                <m:sty m:val="p"/>
              </m:rPr>
              <m:t>−</m:t>
            </m:r>
            <m:r>
              <m:t>28</m:t>
            </m:r>
          </m:sup>
        </m:sSup>
      </m:oMath>
      <w:r>
        <w:t xml:space="preserve">; lower panel) and thus impaired performance in the randomized psychophysical design simulated here.</w:t>
      </w:r>
    </w:p>
    <w:p>
      <w:pPr>
        <w:pStyle w:val="BodyText"/>
      </w:pPr>
      <w:r>
        <w:t xml:space="preserve">B. At the simulated group level, we found significant autocorrelations in both stimulus-congruence (13 consecutive trials) and history-congruence (30 consecutive trials).</w:t>
      </w:r>
      <w:r>
        <w:t xml:space="preserve"> </w:t>
      </w:r>
    </w:p>
    <w:p>
      <w:pPr>
        <w:pStyle w:val="BodyText"/>
      </w:pPr>
      <w:r>
        <w:t xml:space="preserve">C. On the level of individual simulated participants, autocorrelation coefficients exceeded the autocorrelation coefficients of randomly permuted data within a lag of</w:t>
      </w:r>
      <w:r>
        <w:t xml:space="preserve"> </w:t>
      </w:r>
      <m:oMath>
        <m:r>
          <m:t>2.46</m:t>
        </m:r>
      </m:oMath>
      <w:r>
        <w:t xml:space="preserve"> </w:t>
      </w:r>
      <w:r>
        <w:t xml:space="preserve">±</w:t>
      </w:r>
      <w:r>
        <w:t xml:space="preserve"> </w:t>
      </w:r>
      <m:oMath>
        <m:r>
          <m:t>1.17</m:t>
        </m:r>
        <m:r>
          <m:rPr>
            <m:sty m:val="p"/>
          </m:rPr>
          <m:t>×</m:t>
        </m:r>
        <m:sSup>
          <m:e>
            <m:r>
              <m:t>10</m:t>
            </m:r>
          </m:e>
          <m:sup>
            <m:r>
              <m:rPr>
                <m:sty m:val="p"/>
              </m:rPr>
              <m:t>−</m:t>
            </m:r>
            <m:r>
              <m:t>3</m:t>
            </m:r>
          </m:sup>
        </m:sSup>
      </m:oMath>
      <w:r>
        <w:t xml:space="preserve"> </w:t>
      </w:r>
      <w:r>
        <w:t xml:space="preserve">trials for stimulus-congruence and</w:t>
      </w:r>
      <w:r>
        <w:t xml:space="preserve"> </w:t>
      </w:r>
      <m:oMath>
        <m:r>
          <m:t>4.24</m:t>
        </m:r>
      </m:oMath>
      <w:r>
        <w:t xml:space="preserve"> </w:t>
      </w:r>
      <w:r>
        <w:t xml:space="preserve">±</w:t>
      </w:r>
      <w:r>
        <w:t xml:space="preserve"> </w:t>
      </w:r>
      <m:oMath>
        <m:r>
          <m:t>1.85</m:t>
        </m:r>
        <m:r>
          <m:rPr>
            <m:sty m:val="p"/>
          </m:rPr>
          <m:t>×</m:t>
        </m:r>
        <m:sSup>
          <m:e>
            <m:r>
              <m:t>10</m:t>
            </m:r>
          </m:e>
          <m:sup>
            <m:r>
              <m:rPr>
                <m:sty m:val="p"/>
              </m:rPr>
              <m:t>−</m:t>
            </m:r>
            <m:r>
              <m:t>3</m:t>
            </m:r>
          </m:sup>
        </m:sSup>
      </m:oMath>
      <w:r>
        <w:t xml:space="preserve"> </w:t>
      </w:r>
      <w:r>
        <w:t xml:space="preserve">trials for history-congruence.</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687.58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652.11</m:t>
        </m:r>
      </m:oMath>
      <w:r>
        <w:t xml:space="preserve">, p =</w:t>
      </w:r>
      <w:r>
        <w:t xml:space="preserve"> </w:t>
      </w:r>
      <m:oMath>
        <m:r>
          <m:t>0</m:t>
        </m:r>
      </m:oMath>
      <w:r>
        <w:t xml:space="preserve">).</w:t>
      </w:r>
    </w:p>
    <w:p>
      <w:pPr>
        <w:pStyle w:val="BodyText"/>
      </w:pPr>
      <w:r>
        <w:t xml:space="preserve">E. The distribution of phase shift between fluctuations in simulated stimulus- and history-congruence peaked at half a cycle (</w:t>
      </w:r>
      <m:oMath>
        <m:r>
          <m:t>π</m:t>
        </m:r>
      </m:oMath>
      <w:r>
        <w:t xml:space="preserve"> </w:t>
      </w:r>
      <w:r>
        <w:t xml:space="preserve">denoted by dotted line). The dynamic probabilities of simulated stimulus- and history-congruence were therefore were strongly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8.22</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40.52</m:t>
        </m:r>
      </m:oMath>
      <w:r>
        <w:t xml:space="preserve">, p =</w:t>
      </w:r>
      <w:r>
        <w:t xml:space="preserve"> </w:t>
      </w:r>
      <m:oMath>
        <m:r>
          <m:t>0</m:t>
        </m:r>
      </m:oMath>
      <w:r>
        <w:t xml:space="preserve">).</w:t>
      </w:r>
    </w:p>
    <w:p>
      <w:pPr>
        <w:pStyle w:val="BodyText"/>
      </w:pPr>
      <w:r>
        <w:t xml:space="preserve">F. The average squared coherence between fluctuations in simulated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Simulated confidence was enhanced for stimulus-congruence (</w:t>
      </w:r>
      <m:oMath>
        <m:r>
          <m:t>β</m:t>
        </m:r>
      </m:oMath>
      <w:r>
        <w:t xml:space="preserve"> </w:t>
      </w:r>
      <w:r>
        <w:t xml:space="preserve">=</w:t>
      </w:r>
      <w:r>
        <w:t xml:space="preserve"> </w:t>
      </w:r>
      <m:oMath>
        <m:r>
          <m:t>0.03</m:t>
        </m:r>
      </m:oMath>
      <w:r>
        <w:t xml:space="preserve"> </w:t>
      </w:r>
      <w:r>
        <w:t xml:space="preserve">±</w:t>
      </w:r>
      <w:r>
        <w:t xml:space="preserve"> </w:t>
      </w:r>
      <m:oMath>
        <m:r>
          <m:t>1.71</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178.39</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0.01</m:t>
        </m:r>
      </m:oMath>
      <w:r>
        <w:t xml:space="preserve"> </w:t>
      </w:r>
      <w:r>
        <w:t xml:space="preserve">±</w:t>
      </w:r>
      <w:r>
        <w:t xml:space="preserve"> </w:t>
      </w:r>
      <m:oMath>
        <m:r>
          <m:t>1.5</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74.18</m:t>
        </m:r>
      </m:oMath>
      <w:r>
        <w:t xml:space="preserve">, p =</w:t>
      </w:r>
      <w:r>
        <w:t xml:space="preserve"> </w:t>
      </w:r>
      <m:oMath>
        <m:r>
          <m:t>0</m:t>
        </m:r>
      </m:oMath>
      <w:r>
        <w:t xml:space="preserve">).</w:t>
      </w:r>
    </w:p>
    <w:p>
      <w:pPr>
        <w:pStyle w:val="BodyText"/>
      </w:pPr>
      <w:r>
        <w:t xml:space="preserve">H. In analogy to humans, the simulated data showed a quadratic relationship between the mode of perceptual processing and posterior certainty, which increased for stronger external and internal biases (</w:t>
      </w:r>
      <m:oMath>
        <m:sSub>
          <m:e>
            <m:r>
              <m:t>β</m:t>
            </m:r>
          </m:e>
          <m:sub>
            <m:r>
              <m:t>2</m:t>
            </m:r>
          </m:sub>
        </m:sSub>
      </m:oMath>
      <w:r>
        <w:t xml:space="preserve"> </w:t>
      </w:r>
      <w:r>
        <w:t xml:space="preserve">=</w:t>
      </w:r>
      <w:r>
        <w:t xml:space="preserve"> </w:t>
      </w:r>
      <m:oMath>
        <m:r>
          <m:t>31.03</m:t>
        </m:r>
      </m:oMath>
      <w:r>
        <w:t xml:space="preserve"> </w:t>
      </w:r>
      <w:r>
        <w:t xml:space="preserve">±</w:t>
      </w:r>
      <w:r>
        <w:t xml:space="preserve"> </w:t>
      </w:r>
      <m:oMath>
        <m:r>
          <m:t>0.15</m:t>
        </m:r>
      </m:oMath>
      <w:r>
        <w:t xml:space="preserve">, T(</w:t>
      </w:r>
      <m:oMath>
        <m:r>
          <m:t>2.04</m:t>
        </m:r>
        <m:r>
          <m:rPr>
            <m:sty m:val="p"/>
          </m:rPr>
          <m:t>×</m:t>
        </m:r>
        <m:sSup>
          <m:e>
            <m:r>
              <m:t>10</m:t>
            </m:r>
          </m:e>
          <m:sup>
            <m:r>
              <m:t>6</m:t>
            </m:r>
          </m:sup>
        </m:sSup>
      </m:oMath>
      <w:r>
        <w:t xml:space="preserve">) =</w:t>
      </w:r>
      <w:r>
        <w:t xml:space="preserve"> </w:t>
      </w:r>
      <m:oMath>
        <m:r>
          <m:t>205.95</m:t>
        </m:r>
      </m:oMath>
      <w:r>
        <w:t xml:space="preserve">, p =</w:t>
      </w:r>
      <w:r>
        <w:t xml:space="preserve"> </w:t>
      </w:r>
      <m:oMath>
        <m:r>
          <m:t>0</m:t>
        </m:r>
      </m:oMath>
      <w:r>
        <w:t xml:space="preserve">). The horizontal and vertical dotted lines indicate minimum posterior certainty and the associated mode, respectively.</w:t>
      </w:r>
    </w:p>
    <w:bookmarkEnd w:id="70"/>
    <w:bookmarkEnd w:id="71"/>
    <w:bookmarkStart w:id="138" w:name="supplemental-items"/>
    <w:p>
      <w:pPr>
        <w:pStyle w:val="Heading1"/>
      </w:pPr>
      <w:r>
        <w:t xml:space="preserve">Supplemental Items</w:t>
      </w:r>
    </w:p>
    <w:bookmarkStart w:id="72" w:name="X9380abdd0acf1907f805e79d2b692c202c16f3c"/>
    <w:p>
      <w:pPr>
        <w:pStyle w:val="Heading2"/>
      </w:pPr>
      <w:r>
        <w:t xml:space="preserve">Internal mode processing is driven by choice history as opposed to stimulus history</w:t>
      </w:r>
    </w:p>
    <w:p>
      <w:pPr>
        <w:pStyle w:val="FirstParagraph"/>
      </w:pPr>
      <w:r>
        <w:rPr>
          <w:bCs/>
          <w:b/>
        </w:rPr>
        <w:t xml:space="preserve">The main manuscript reports the effects of perceptual history, which we defined as the impact of the choice at the preceding trial on the choice at the current trial (henceforth</w:t>
      </w:r>
      <w:r>
        <w:rPr>
          <w:bCs/>
          <w:b/>
        </w:rPr>
        <w:t xml:space="preserve"> </w:t>
      </w:r>
      <w:r>
        <w:rPr>
          <w:iCs/>
          <w:i/>
          <w:bCs/>
          <w:b/>
        </w:rPr>
        <w:t xml:space="preserve">choice history</w:t>
      </w:r>
      <w:r>
        <w:rPr>
          <w:bCs/>
          <w:b/>
        </w:rPr>
        <w:t xml:space="preserve">).</w:t>
      </w:r>
      <w:r>
        <w:rPr>
          <w:bCs/>
          <w:b/>
        </w:rPr>
        <w:t xml:space="preserve"> </w:t>
      </w:r>
      <w:r>
        <w:rPr>
          <w:iCs/>
          <w:i/>
          <w:bCs/>
          <w:b/>
        </w:rPr>
        <w:t xml:space="preserve">Stimulus history</w:t>
      </w:r>
      <w:r>
        <w:rPr>
          <w:bCs/>
          <w:b/>
        </w:rPr>
        <w:t xml:space="preserve">, which is defined as the impact of the stimulus presented at the preceding trial on the choice at the present trial, represents an alternative approach to this. Here, we compare the effects of choice history to the effects of stimulus history.</w:t>
      </w:r>
    </w:p>
    <w:p>
      <w:pPr>
        <w:pStyle w:val="BodyText"/>
      </w:pPr>
      <w:r>
        <w:rPr>
          <w:bCs/>
          <w:b/>
        </w:rPr>
        <w:t xml:space="preserve">We observed a significant bias toward stimulus history (humans: 49.76% ± 0.1% of trials,</w:t>
      </w:r>
      <w:r>
        <w:rPr>
          <w:bCs/>
          <w:b/>
        </w:rPr>
        <w:t xml:space="preserve"> </w:t>
      </w:r>
      <m:oMath>
        <m:r>
          <m:t>β</m:t>
        </m:r>
      </m:oMath>
      <w:r>
        <w:rPr>
          <w:bCs/>
          <w:b/>
        </w:rPr>
        <w:t xml:space="preserve"> </w:t>
      </w:r>
      <w:r>
        <w:rPr>
          <w:bCs/>
          <w:b/>
        </w:rPr>
        <w:t xml:space="preserve">=</w:t>
      </w:r>
      <w:r>
        <w:rPr>
          <w:bCs/>
          <w:b/>
        </w:rPr>
        <w:t xml:space="preserve"> </w:t>
      </w:r>
      <m:oMath>
        <m:r>
          <m:t>1.26</m:t>
        </m:r>
      </m:oMath>
      <w:r>
        <w:rPr>
          <w:bCs/>
          <w:b/>
        </w:rPr>
        <w:t xml:space="preserve"> </w:t>
      </w:r>
      <w:r>
        <w:rPr>
          <w:bCs/>
          <w:b/>
        </w:rPr>
        <w:t xml:space="preserve">±</w:t>
      </w:r>
      <w:r>
        <w:rPr>
          <w:bCs/>
          <w:b/>
        </w:rPr>
        <w:t xml:space="preserve"> </w:t>
      </w:r>
      <m:oMath>
        <m:r>
          <m:t>0.94</m:t>
        </m:r>
      </m:oMath>
      <w:r>
        <w:rPr>
          <w:bCs/>
          <w:b/>
        </w:rPr>
        <w:t xml:space="preserve">, T(</w:t>
      </w:r>
      <m:oMath>
        <m:r>
          <m:t>373.62</m:t>
        </m:r>
      </m:oMath>
      <w:r>
        <w:rPr>
          <w:bCs/>
          <w:b/>
        </w:rPr>
        <w:t xml:space="preserve">) =</w:t>
      </w:r>
      <w:r>
        <w:rPr>
          <w:bCs/>
          <w:b/>
        </w:rPr>
        <w:t xml:space="preserve"> </w:t>
      </w:r>
      <m:oMath>
        <m:r>
          <m:t>1.34</m:t>
        </m:r>
      </m:oMath>
      <w:r>
        <w:rPr>
          <w:bCs/>
          <w:b/>
        </w:rPr>
        <w:t xml:space="preserve">, p =</w:t>
      </w:r>
      <w:r>
        <w:rPr>
          <w:bCs/>
          <w:b/>
        </w:rPr>
        <w:t xml:space="preserve"> </w:t>
      </w:r>
      <m:oMath>
        <m:r>
          <m:t>0.18</m:t>
        </m:r>
      </m:oMath>
      <w:r>
        <w:rPr>
          <w:bCs/>
          <w:b/>
        </w:rPr>
        <w:t xml:space="preserve">; mice: 51.11% ± 0.08% of trials, T(164) = 13.4, p =</w:t>
      </w:r>
      <w:r>
        <w:rPr>
          <w:bCs/>
          <w:b/>
        </w:rPr>
        <w:t xml:space="preserve"> </w:t>
      </w:r>
      <m:oMath>
        <m:r>
          <m:t>3.86</m:t>
        </m:r>
        <m:r>
          <m:rPr>
            <m:sty m:val="p"/>
          </m:rPr>
          <m:t>×</m:t>
        </m:r>
        <m:sSup>
          <m:e>
            <m:r>
              <m:t>10</m:t>
            </m:r>
          </m:e>
          <m:sup>
            <m:r>
              <m:rPr>
                <m:sty m:val="p"/>
              </m:rPr>
              <m:t>−</m:t>
            </m:r>
            <m:r>
              <m:t>28</m:t>
            </m:r>
          </m:sup>
        </m:sSup>
      </m:oMath>
      <w:r>
        <w:rPr>
          <w:bCs/>
          <w:b/>
        </w:rPr>
        <w:t xml:space="preserve">). The bias toward stimulus history was smaller than the bias toward choice history (humans:</w:t>
      </w:r>
      <w:r>
        <w:rPr>
          <w:bCs/>
          <w:b/>
        </w:rPr>
        <w:t xml:space="preserve"> </w:t>
      </w:r>
      <m:oMath>
        <m:r>
          <m:t>β</m:t>
        </m:r>
      </m:oMath>
      <w:r>
        <w:rPr>
          <w:bCs/>
          <w:b/>
        </w:rPr>
        <w:t xml:space="preserve"> </w:t>
      </w:r>
      <w:r>
        <w:rPr>
          <w:bCs/>
          <w:b/>
        </w:rPr>
        <w:t xml:space="preserve">=</w:t>
      </w:r>
      <w:r>
        <w:rPr>
          <w:bCs/>
          <w:b/>
        </w:rPr>
        <w:t xml:space="preserve"> </w:t>
      </w:r>
      <m:oMath>
        <m:r>
          <m:rPr>
            <m:sty m:val="p"/>
          </m:rPr>
          <m:t>−</m:t>
        </m:r>
        <m:r>
          <m:t>3.53</m:t>
        </m:r>
      </m:oMath>
      <w:r>
        <w:rPr>
          <w:bCs/>
          <w:b/>
        </w:rPr>
        <w:t xml:space="preserve"> </w:t>
      </w:r>
      <w:r>
        <w:rPr>
          <w:bCs/>
          <w:b/>
        </w:rPr>
        <w:t xml:space="preserve">±</w:t>
      </w:r>
      <w:r>
        <w:rPr>
          <w:bCs/>
          <w:b/>
        </w:rPr>
        <w:t xml:space="preserve"> </w:t>
      </w:r>
      <m:oMath>
        <m:r>
          <m:t>0.5</m:t>
        </m:r>
      </m:oMath>
      <w:r>
        <w:rPr>
          <w:bCs/>
          <w:b/>
        </w:rPr>
        <w:t xml:space="preserve">, T(</w:t>
      </w:r>
      <m:oMath>
        <m:r>
          <m:t>66.53</m:t>
        </m:r>
      </m:oMath>
      <w:r>
        <w:rPr>
          <w:bCs/>
          <w:b/>
        </w:rPr>
        <w:t xml:space="preserve">) =</w:t>
      </w:r>
      <w:r>
        <w:rPr>
          <w:bCs/>
          <w:b/>
        </w:rPr>
        <w:t xml:space="preserve"> </w:t>
      </w:r>
      <m:oMath>
        <m:r>
          <m:rPr>
            <m:sty m:val="p"/>
          </m:rPr>
          <m:t>−</m:t>
        </m:r>
        <m:r>
          <m:t>7.01</m:t>
        </m:r>
      </m:oMath>
      <w:r>
        <w:rPr>
          <w:bCs/>
          <w:b/>
        </w:rPr>
        <w:t xml:space="preserve">, p =</w:t>
      </w:r>
      <w:r>
        <w:rPr>
          <w:bCs/>
          <w:b/>
        </w:rPr>
        <w:t xml:space="preserve"> </w:t>
      </w:r>
      <m:oMath>
        <m:r>
          <m:t>1.48</m:t>
        </m:r>
        <m:r>
          <m:rPr>
            <m:sty m:val="p"/>
          </m:rPr>
          <m:t>×</m:t>
        </m:r>
        <m:sSup>
          <m:e>
            <m:r>
              <m:t>10</m:t>
            </m:r>
          </m:e>
          <m:sup>
            <m:r>
              <m:rPr>
                <m:sty m:val="p"/>
              </m:rPr>
              <m:t>−</m:t>
            </m:r>
            <m:r>
              <m:t>9</m:t>
            </m:r>
          </m:sup>
        </m:sSup>
      </m:oMath>
      <w:r>
        <w:rPr>
          <w:bCs/>
          <w:b/>
        </w:rPr>
        <w:t xml:space="preserve">; mice: T(164) = -17.21, p =</w:t>
      </w:r>
      <w:r>
        <w:rPr>
          <w:bCs/>
          <w:b/>
        </w:rPr>
        <w:t xml:space="preserve"> </w:t>
      </w:r>
      <m:oMath>
        <m:r>
          <m:t>1.43</m:t>
        </m:r>
        <m:r>
          <m:rPr>
            <m:sty m:val="p"/>
          </m:rPr>
          <m:t>×</m:t>
        </m:r>
        <m:sSup>
          <m:e>
            <m:r>
              <m:t>10</m:t>
            </m:r>
          </m:e>
          <m:sup>
            <m:r>
              <m:rPr>
                <m:sty m:val="p"/>
              </m:rPr>
              <m:t>−</m:t>
            </m:r>
            <m:r>
              <m:t>38</m:t>
            </m:r>
          </m:sup>
        </m:sSup>
      </m:oMath>
      <w:r>
        <w:rPr>
          <w:bCs/>
          <w:b/>
        </w:rPr>
        <w:t xml:space="preserve">).</w:t>
      </w:r>
    </w:p>
    <w:p>
      <w:pPr>
        <w:pStyle w:val="BodyText"/>
      </w:pPr>
      <w:r>
        <w:rPr>
          <w:bCs/>
          <w:b/>
        </w:rPr>
        <w:t xml:space="preserve">The attraction of choices toward both preceding choices and stimuli is expected, as perception was</w:t>
      </w:r>
      <w:r>
        <w:rPr>
          <w:bCs/>
          <w:b/>
        </w:rPr>
        <w:t xml:space="preserve"> </w:t>
      </w:r>
      <w:r>
        <w:rPr>
          <w:iCs/>
          <w:i/>
          <w:bCs/>
          <w:b/>
        </w:rPr>
        <w:t xml:space="preserve">stimulus-congruent</w:t>
      </w:r>
      <w:r>
        <w:rPr>
          <w:bCs/>
          <w:b/>
        </w:rPr>
        <w:t xml:space="preserve"> </w:t>
      </w:r>
      <w:r>
        <w:rPr>
          <w:bCs/>
          <w:b/>
        </w:rPr>
        <w:t xml:space="preserve">on approximately 75% of trials, causing choices and stimuli to be highly correlated. We therefore compared the effects of choice history and stimulus history after</w:t>
      </w:r>
      <w:r>
        <w:rPr>
          <w:bCs/>
          <w:b/>
        </w:rPr>
        <w:t xml:space="preserve"> </w:t>
      </w:r>
      <w:r>
        <w:rPr>
          <w:iCs/>
          <w:i/>
          <w:bCs/>
          <w:b/>
        </w:rPr>
        <w:t xml:space="preserve">stimulus-incongruent</w:t>
      </w:r>
      <w:r>
        <w:rPr>
          <w:bCs/>
          <w:b/>
        </w:rPr>
        <w:t xml:space="preserve"> </w:t>
      </w:r>
      <w:r>
        <w:rPr>
          <w:bCs/>
          <w:b/>
        </w:rPr>
        <w:t xml:space="preserve">(i.e.,</w:t>
      </w:r>
      <w:r>
        <w:rPr>
          <w:bCs/>
          <w:b/>
        </w:rPr>
        <w:t xml:space="preserve"> </w:t>
      </w:r>
      <w:r>
        <w:rPr>
          <w:iCs/>
          <w:i/>
          <w:bCs/>
          <w:b/>
        </w:rPr>
        <w:t xml:space="preserve">error</w:t>
      </w:r>
      <w:r>
        <w:rPr>
          <w:bCs/>
          <w:b/>
        </w:rPr>
        <w:t xml:space="preserve">) trials, since those trials lead to opposite predictions regarding the perceptual choice at the subsequent trial.</w:t>
      </w:r>
    </w:p>
    <w:p>
      <w:pPr>
        <w:pStyle w:val="BodyText"/>
      </w:pPr>
      <w:r>
        <w:rPr>
          <w:bCs/>
          <w:b/>
        </w:rPr>
        <w:t xml:space="preserve">As expected from the findings presented in the main manuscript, perceptual choices were attracted toward perceptual choices when the inducing trial was stimulus-incongruent (i.e., a positive effect of choice history; humans:</w:t>
      </w:r>
      <w:r>
        <w:rPr>
          <w:bCs/>
          <w:b/>
        </w:rPr>
        <w:t xml:space="preserve"> </w:t>
      </w:r>
      <m:oMath>
        <m:r>
          <m:t>β</m:t>
        </m:r>
      </m:oMath>
      <w:r>
        <w:rPr>
          <w:bCs/>
          <w:b/>
        </w:rPr>
        <w:t xml:space="preserve"> </w:t>
      </w:r>
      <w:r>
        <w:rPr>
          <w:bCs/>
          <w:b/>
        </w:rPr>
        <w:t xml:space="preserve">=</w:t>
      </w:r>
      <w:r>
        <w:rPr>
          <w:bCs/>
          <w:b/>
        </w:rPr>
        <w:t xml:space="preserve"> </w:t>
      </w:r>
      <m:oMath>
        <m:r>
          <m:t>0.19</m:t>
        </m:r>
      </m:oMath>
      <w:r>
        <w:rPr>
          <w:bCs/>
          <w:b/>
        </w:rPr>
        <w:t xml:space="preserve"> </w:t>
      </w:r>
      <w:r>
        <w:rPr>
          <w:bCs/>
          <w:b/>
        </w:rPr>
        <w:t xml:space="preserve">±</w:t>
      </w:r>
      <w:r>
        <w:rPr>
          <w:bCs/>
          <w:b/>
        </w:rPr>
        <w:t xml:space="preserve"> </w:t>
      </w:r>
      <m:oMath>
        <m:r>
          <m:t>1.4</m:t>
        </m:r>
        <m:r>
          <m:rPr>
            <m:sty m:val="p"/>
          </m:rPr>
          <m:t>×</m:t>
        </m:r>
        <m:sSup>
          <m:e>
            <m:r>
              <m:t>10</m:t>
            </m:r>
          </m:e>
          <m:sup>
            <m:r>
              <m:rPr>
                <m:sty m:val="p"/>
              </m:rPr>
              <m:t>−</m:t>
            </m:r>
            <m:r>
              <m:t>4</m:t>
            </m:r>
          </m:sup>
        </m:sSup>
      </m:oMath>
      <w:r>
        <w:rPr>
          <w:bCs/>
          <w:b/>
        </w:rPr>
        <w:t xml:space="preserve">, z =</w:t>
      </w:r>
      <w:r>
        <w:rPr>
          <w:bCs/>
          <w:b/>
        </w:rPr>
        <w:t xml:space="preserve"> </w:t>
      </w:r>
      <m:oMath>
        <m:r>
          <m:t>1.36</m:t>
        </m:r>
        <m:r>
          <m:rPr>
            <m:sty m:val="p"/>
          </m:rPr>
          <m:t>×</m:t>
        </m:r>
        <m:sSup>
          <m:e>
            <m:r>
              <m:t>10</m:t>
            </m:r>
          </m:e>
          <m:sup>
            <m:r>
              <m:t>3</m:t>
            </m:r>
          </m:sup>
        </m:sSup>
      </m:oMath>
      <w:r>
        <w:rPr>
          <w:bCs/>
          <w:b/>
        </w:rPr>
        <w:t xml:space="preserve">, p =</w:t>
      </w:r>
      <w:r>
        <w:rPr>
          <w:bCs/>
          <w:b/>
        </w:rPr>
        <w:t xml:space="preserve"> </w:t>
      </w:r>
      <m:oMath>
        <m:r>
          <m:t>0</m:t>
        </m:r>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t>88.82</m:t>
        </m:r>
      </m:oMath>
      <w:r>
        <w:rPr>
          <w:bCs/>
          <w:b/>
        </w:rPr>
        <w:t xml:space="preserve">, p =</w:t>
      </w:r>
      <w:r>
        <w:rPr>
          <w:bCs/>
          <w:b/>
        </w:rPr>
        <w:t xml:space="preserve"> </w:t>
      </w:r>
      <m:oMath>
        <m:r>
          <m:t>0</m:t>
        </m:r>
      </m:oMath>
      <w:r>
        <w:rPr>
          <w:bCs/>
          <w:b/>
        </w:rPr>
        <w:t xml:space="preserve">). By contrast, perceptual choices tended to be repelled away from the stimulus presented at preceding stimulus-incongruent trial (i.e., a negative effect of stimulus history; humans:</w:t>
      </w:r>
      <w:r>
        <w:rPr>
          <w:bCs/>
          <w:b/>
        </w:rPr>
        <w:t xml:space="preserve"> </w:t>
      </w:r>
      <m:oMath>
        <m:r>
          <m:t>β</m:t>
        </m:r>
      </m:oMath>
      <w:r>
        <w:rPr>
          <w:bCs/>
          <w:b/>
        </w:rPr>
        <w:t xml:space="preserve"> </w:t>
      </w:r>
      <w:r>
        <w:rPr>
          <w:bCs/>
          <w:b/>
        </w:rPr>
        <w:t xml:space="preserve">=</w:t>
      </w:r>
      <w:r>
        <w:rPr>
          <w:bCs/>
          <w:b/>
        </w:rPr>
        <w:t xml:space="preserve"> </w:t>
      </w:r>
      <m:oMath>
        <m:r>
          <m:rPr>
            <m:sty m:val="p"/>
          </m:rPr>
          <m:t>−</m:t>
        </m:r>
        <m:r>
          <m:t>0.19</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16.47</m:t>
        </m:r>
      </m:oMath>
      <w:r>
        <w:rPr>
          <w:bCs/>
          <w:b/>
        </w:rPr>
        <w:t xml:space="preserve">, p =</w:t>
      </w:r>
      <w:r>
        <w:rPr>
          <w:bCs/>
          <w:b/>
        </w:rPr>
        <w:t xml:space="preserve"> </w:t>
      </w:r>
      <m:oMath>
        <m:r>
          <m:t>5.99</m:t>
        </m:r>
        <m:r>
          <m:rPr>
            <m:sty m:val="p"/>
          </m:rPr>
          <m:t>×</m:t>
        </m:r>
        <m:sSup>
          <m:e>
            <m:r>
              <m:t>10</m:t>
            </m:r>
          </m:e>
          <m:sup>
            <m:r>
              <m:rPr>
                <m:sty m:val="p"/>
              </m:rPr>
              <m:t>−</m:t>
            </m:r>
            <m:r>
              <m:t>61</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88.76</m:t>
        </m:r>
      </m:oMath>
      <w:r>
        <w:rPr>
          <w:bCs/>
          <w:b/>
        </w:rPr>
        <w:t xml:space="preserve">, p =</w:t>
      </w:r>
      <w:r>
        <w:rPr>
          <w:bCs/>
          <w:b/>
        </w:rPr>
        <w:t xml:space="preserve"> </w:t>
      </w:r>
      <m:oMath>
        <m:r>
          <m:t>0</m:t>
        </m:r>
      </m:oMath>
      <w:r>
        <w:rPr>
          <w:bCs/>
          <w:b/>
        </w:rPr>
        <w:t xml:space="preserve">). This repulsion of choices away from stimuli presented at stimulus-incongruent trials confirmed that choices (which are anti-correlated to stimuli at stimulus-incongruent trials) were the primary driver of attracting serial effects in perception.</w:t>
      </w:r>
    </w:p>
    <w:p>
      <w:pPr>
        <w:pStyle w:val="BodyText"/>
      </w:pPr>
      <w:r>
        <w:rPr>
          <w:bCs/>
          <w:b/>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rPr>
          <w:bCs/>
          <w:b/>
        </w:rPr>
        <w:t xml:space="preserve"> </w:t>
      </w:r>
      <w:r>
        <w:rPr>
          <w:iCs/>
          <w:i/>
          <w:bCs/>
          <w:b/>
        </w:rPr>
        <w:t xml:space="preserve">action-kernel</w:t>
      </w:r>
      <w:r>
        <w:rPr>
          <w:bCs/>
          <w:b/>
        </w:rPr>
        <w:t xml:space="preserve"> </w:t>
      </w:r>
      <w:r>
        <w:rPr>
          <w:bCs/>
          <w:b/>
        </w:rPr>
        <w:t xml:space="preserve">as opposed to a</w:t>
      </w:r>
      <w:r>
        <w:rPr>
          <w:bCs/>
          <w:b/>
        </w:rPr>
        <w:t xml:space="preserve"> </w:t>
      </w:r>
      <w:r>
        <w:rPr>
          <w:iCs/>
          <w:i/>
          <w:bCs/>
          <w:b/>
        </w:rPr>
        <w:t xml:space="preserve">stimulus-kernel</w:t>
      </w:r>
      <w:r>
        <w:rPr>
          <w:bCs/>
          <w:b/>
        </w:rPr>
        <w:t xml:space="preserve"> </w:t>
      </w:r>
      <w:r>
        <w:rPr>
          <w:bCs/>
          <w:b/>
        </w:rPr>
        <w:t xml:space="preserve">model when integrating information across trials</w:t>
      </w:r>
      <w:r>
        <w:rPr>
          <w:vertAlign w:val="superscript"/>
          <w:bCs/>
          <w:b/>
        </w:rPr>
        <w:t xml:space="preserve">81</w:t>
      </w:r>
      <w:r>
        <w:rPr>
          <w:bCs/>
          <w:b/>
        </w:rPr>
        <w:t xml:space="preserve">.</w:t>
      </w:r>
    </w:p>
    <w:bookmarkEnd w:id="72"/>
    <w:bookmarkStart w:id="73" w:name="Xe7559b14c76a6a3fc8b351446ee9e3cfd6f152e"/>
    <w:p>
      <w:pPr>
        <w:pStyle w:val="Heading2"/>
      </w:pPr>
      <w:r>
        <w:t xml:space="preserve">Fluctuations between internal and external mode modulate perceptual performance beyond the effect of general response biases</w:t>
      </w:r>
    </w:p>
    <w:p>
      <w:pPr>
        <w:pStyle w:val="FirstParagraph"/>
      </w:pPr>
      <w:r>
        <w:t xml:space="preserve">The hypothesis that perception cycles through opposing internally- and externally-biased modes is motivated by the assumption that recurring intervals of stronger perceptual history temporally reduce the participants’ sensitivity to external information. Importantly, the history-dependent biases that characterize internal mode processing must be differentiated from general response biases. In binary perceptual decision-making, general response biases are defined by a propensity to choose one of the two outcomes more often than the alternative. Indeed, human participants selected the more frequent of the two possible outcomes in 58.71% ± 0.22% of trials, and mice selected the more frequent of the two possible outcomes in 54.6% ± 0.3% of trials.</w:t>
      </w:r>
    </w:p>
    <w:p>
      <w:pPr>
        <w:pStyle w:val="BodyText"/>
      </w:pPr>
      <w:r>
        <w:t xml:space="preserve">Two caveats have to be considered to make sure that the effect of history-congruence is distinct from the effect of general response biases. First, history-congruent states become more likely for larger response biases that cause an increasing imbalance in the likelihood of the two outcomes (humans:</w:t>
      </w:r>
      <w:r>
        <w:t xml:space="preserve"> </w:t>
      </w:r>
      <m:oMath>
        <m:r>
          <m:t>β</m:t>
        </m:r>
      </m:oMath>
      <w:r>
        <w:t xml:space="preserve"> </w:t>
      </w:r>
      <w:r>
        <w:t xml:space="preserve">=</w:t>
      </w:r>
      <w:r>
        <w:t xml:space="preserve"> </w:t>
      </w:r>
      <m:oMath>
        <m:r>
          <m:t>0.24</m:t>
        </m:r>
      </m:oMath>
      <w:r>
        <w:t xml:space="preserve"> </w:t>
      </w:r>
      <w:r>
        <w:t xml:space="preserve">±</w:t>
      </w:r>
      <w:r>
        <w:t xml:space="preserve"> </w:t>
      </w:r>
      <m:oMath>
        <m:r>
          <m:t>6.93</m:t>
        </m:r>
        <m:r>
          <m:rPr>
            <m:sty m:val="p"/>
          </m:rPr>
          <m:t>×</m:t>
        </m:r>
        <m:sSup>
          <m:e>
            <m:r>
              <m:t>10</m:t>
            </m:r>
          </m:e>
          <m:sup>
            <m:r>
              <m:rPr>
                <m:sty m:val="p"/>
              </m:rPr>
              <m:t>−</m:t>
            </m:r>
            <m:r>
              <m:t>4</m:t>
            </m:r>
          </m:sup>
        </m:sSup>
      </m:oMath>
      <w:r>
        <w:t xml:space="preserve">, T(</w:t>
      </w:r>
      <m:oMath>
        <m:r>
          <m:t>2.09</m:t>
        </m:r>
        <m:r>
          <m:rPr>
            <m:sty m:val="p"/>
          </m:rPr>
          <m:t>×</m:t>
        </m:r>
        <m:sSup>
          <m:e>
            <m:r>
              <m:t>10</m:t>
            </m:r>
          </m:e>
          <m:sup>
            <m:r>
              <m:t>6</m:t>
            </m:r>
          </m:sup>
        </m:sSup>
      </m:oMath>
      <w:r>
        <w:t xml:space="preserve">) =</w:t>
      </w:r>
      <w:r>
        <w:t xml:space="preserve"> </w:t>
      </w:r>
      <m:oMath>
        <m:r>
          <m:t>342.43</m:t>
        </m:r>
      </m:oMath>
      <w:r>
        <w:t xml:space="preserve">, p =</w:t>
      </w:r>
      <w:r>
        <w:t xml:space="preserve"> </w:t>
      </w:r>
      <m:oMath>
        <m:r>
          <m:t>0</m:t>
        </m:r>
      </m:oMath>
      <w:r>
        <w:t xml:space="preserve">;</w:t>
      </w:r>
      <w:r>
        <w:t xml:space="preserve"> </w:t>
      </w:r>
      <w:r>
        <w:t xml:space="preserve">mice:</w:t>
      </w:r>
      <w:r>
        <w:t xml:space="preserve"> </w:t>
      </w:r>
      <m:oMath>
        <m:r>
          <m:t>β</m:t>
        </m:r>
      </m:oMath>
      <w:r>
        <w:t xml:space="preserve"> </w:t>
      </w:r>
      <w:r>
        <w:t xml:space="preserve">=</w:t>
      </w:r>
      <w:r>
        <w:t xml:space="preserve"> </w:t>
      </w:r>
      <m:oMath>
        <m:r>
          <m:t>0.15</m:t>
        </m:r>
      </m:oMath>
      <w:r>
        <w:t xml:space="preserve"> </w:t>
      </w:r>
      <w:r>
        <w:t xml:space="preserve">±</w:t>
      </w:r>
      <w:r>
        <w:t xml:space="preserve"> </w:t>
      </w:r>
      <m:oMath>
        <m:r>
          <m:t>8.25</m:t>
        </m:r>
        <m:r>
          <m:rPr>
            <m:sty m:val="p"/>
          </m:rPr>
          <m:t>×</m:t>
        </m:r>
        <m:sSup>
          <m:e>
            <m:r>
              <m:t>10</m:t>
            </m:r>
          </m:e>
          <m:sup>
            <m:r>
              <m:rPr>
                <m:sty m:val="p"/>
              </m:rPr>
              <m:t>−</m:t>
            </m:r>
            <m:r>
              <m:t>4</m:t>
            </m:r>
          </m:sup>
        </m:sSup>
      </m:oMath>
      <w:r>
        <w:t xml:space="preserve">, T(</w:t>
      </w:r>
      <m:oMath>
        <m:r>
          <m:t>1.32</m:t>
        </m:r>
        <m:r>
          <m:rPr>
            <m:sty m:val="p"/>
          </m:rPr>
          <m:t>×</m:t>
        </m:r>
        <m:sSup>
          <m:e>
            <m:r>
              <m:t>10</m:t>
            </m:r>
          </m:e>
          <m:sup>
            <m:r>
              <m:t>6</m:t>
            </m:r>
          </m:sup>
        </m:sSup>
      </m:oMath>
      <w:r>
        <w:t xml:space="preserve">) =</w:t>
      </w:r>
      <w:r>
        <w:t xml:space="preserve"> </w:t>
      </w:r>
      <m:oMath>
        <m:r>
          <m:t>181.93</m:t>
        </m:r>
      </m:oMath>
      <w:r>
        <w:t xml:space="preserve">, p =</w:t>
      </w:r>
      <w:r>
        <w:t xml:space="preserve"> </w:t>
      </w:r>
      <m:oMath>
        <m:r>
          <m:t>0</m:t>
        </m:r>
      </m:oMath>
      <w:r>
        <w:t xml:space="preserve">). One may thus ask whether the autocorrelation of history-congruence could be entirely driven by general response biases.</w:t>
      </w:r>
    </w:p>
    <w:p>
      <w:pPr>
        <w:pStyle w:val="BodyText"/>
      </w:pPr>
      <w:r>
        <w:t xml:space="preserve">Importantly, our autocorrelation analyses account for general response biases by computing group-level autocorrelations (Figure 2-4B) relative to randomly permuted data (i.e., by subtracting the autocorrelation of randomly permuted data from the raw autocorrelation curve). This precludes that general response biases contribute to the observed autocorrelation of history-congruence (see Supplemental Figure S5 for a visualization of the correction procedure for simulated data with general response biases ranging from 60 to 90%).</w:t>
      </w:r>
    </w:p>
    <w:p>
      <w:pPr>
        <w:pStyle w:val="BodyText"/>
      </w:pPr>
      <w:r>
        <w:t xml:space="preserve">Second, it may be argued that fluctuations in perceptual performance may be solely driven by ongoing changes in the strength of general response biases. To assess the links between dynamic fluctuations in stimulus-congruence on the one hand and history-congruence as well as general response bias on the other hand, we computed all variables as dynamic probabilities in sliding windows of ± 5 trials (Figure 1C). Linear mixed effects modeling indicated that fluctuations in history-congruent biases were larger in amplitude than the corresponding fluctuations in general response biases in humans (</w:t>
      </w:r>
      <m:oMath>
        <m:sSub>
          <m:e>
            <m:r>
              <m:t>β</m:t>
            </m:r>
          </m:e>
          <m:sub>
            <m:r>
              <m:t>0</m:t>
            </m:r>
          </m:sub>
        </m:sSub>
      </m:oMath>
      <w:r>
        <w:t xml:space="preserve"> </w:t>
      </w:r>
      <w:r>
        <w:t xml:space="preserve">=</w:t>
      </w:r>
      <w:r>
        <w:t xml:space="preserve"> </w:t>
      </w:r>
      <m:oMath>
        <m:r>
          <m:t>0.03</m:t>
        </m:r>
      </m:oMath>
      <w:r>
        <w:t xml:space="preserve"> </w:t>
      </w:r>
      <w:r>
        <w:t xml:space="preserve">±</w:t>
      </w:r>
      <w:r>
        <w:t xml:space="preserve"> </w:t>
      </w:r>
      <m:oMath>
        <m:r>
          <m:t>7.34</m:t>
        </m:r>
        <m:r>
          <m:rPr>
            <m:sty m:val="p"/>
          </m:rPr>
          <m:t>×</m:t>
        </m:r>
        <m:sSup>
          <m:e>
            <m:r>
              <m:t>10</m:t>
            </m:r>
          </m:e>
          <m:sup>
            <m:r>
              <m:rPr>
                <m:sty m:val="p"/>
              </m:rPr>
              <m:t>−</m:t>
            </m:r>
            <m:r>
              <m:t>3</m:t>
            </m:r>
          </m:sup>
        </m:sSup>
      </m:oMath>
      <w:r>
        <w:t xml:space="preserve">, T(</w:t>
      </w:r>
      <m:oMath>
        <m:r>
          <m:t>64.94</m:t>
        </m:r>
      </m:oMath>
      <w:r>
        <w:t xml:space="preserve">) =</w:t>
      </w:r>
      <w:r>
        <w:t xml:space="preserve"> </w:t>
      </w:r>
      <m:oMath>
        <m:r>
          <m:t>4.46</m:t>
        </m:r>
      </m:oMath>
      <w:r>
        <w:t xml:space="preserve">, p =</w:t>
      </w:r>
      <w:r>
        <w:t xml:space="preserve"> </w:t>
      </w:r>
      <m:oMath>
        <m:r>
          <m:t>3.28</m:t>
        </m:r>
        <m:r>
          <m:rPr>
            <m:sty m:val="p"/>
          </m:rPr>
          <m:t>×</m:t>
        </m:r>
        <m:sSup>
          <m:e>
            <m:r>
              <m:t>10</m:t>
            </m:r>
          </m:e>
          <m:sup>
            <m:r>
              <m:rPr>
                <m:sty m:val="p"/>
              </m:rPr>
              <m:t>−</m:t>
            </m:r>
            <m:r>
              <m:t>5</m:t>
            </m:r>
          </m:sup>
        </m:sSup>
      </m:oMath>
      <w:r>
        <w:t xml:space="preserve">),</w:t>
      </w:r>
      <w:r>
        <w:t xml:space="preserve"> </w:t>
      </w:r>
      <w:r>
        <w:t xml:space="preserve">but slightly smaller in mice (</w:t>
      </w:r>
      <m:oMath>
        <m:sSub>
          <m:e>
            <m:r>
              <m:t>β</m:t>
            </m:r>
          </m:e>
          <m:sub>
            <m:r>
              <m:t>0</m:t>
            </m:r>
          </m:sub>
        </m:sSub>
      </m:oMath>
      <w:r>
        <w:t xml:space="preserve"> </w:t>
      </w:r>
      <w:r>
        <w:t xml:space="preserve">=</w:t>
      </w:r>
      <w:r>
        <w:t xml:space="preserve"> </w:t>
      </w:r>
      <m:oMath>
        <m:r>
          <m:rPr>
            <m:sty m:val="p"/>
          </m:rPr>
          <m:t>−</m:t>
        </m:r>
        <m:r>
          <m:t>5.26</m:t>
        </m:r>
        <m:r>
          <m:rPr>
            <m:sty m:val="p"/>
          </m:rPr>
          <m:t>×</m:t>
        </m:r>
        <m:sSup>
          <m:e>
            <m:r>
              <m:t>10</m:t>
            </m:r>
          </m:e>
          <m:sup>
            <m:r>
              <m:rPr>
                <m:sty m:val="p"/>
              </m:rPr>
              <m:t>−</m:t>
            </m:r>
            <m:r>
              <m:t>3</m:t>
            </m:r>
          </m:sup>
        </m:sSup>
      </m:oMath>
      <w:r>
        <w:t xml:space="preserve"> </w:t>
      </w:r>
      <w:r>
        <w:t xml:space="preserve">±</w:t>
      </w:r>
      <w:r>
        <w:t xml:space="preserve"> </w:t>
      </w:r>
      <m:oMath>
        <m:r>
          <m:t>4.67</m:t>
        </m:r>
        <m:r>
          <m:rPr>
            <m:sty m:val="p"/>
          </m:rPr>
          <m:t>×</m:t>
        </m:r>
        <m:sSup>
          <m:e>
            <m:r>
              <m:t>10</m:t>
            </m:r>
          </m:e>
          <m:sup>
            <m:r>
              <m:rPr>
                <m:sty m:val="p"/>
              </m:rPr>
              <m:t>−</m:t>
            </m:r>
            <m:r>
              <m:t>4</m:t>
            </m:r>
          </m:sup>
        </m:sSup>
      </m:oMath>
      <w:r>
        <w:t xml:space="preserve">, T(</w:t>
      </w:r>
      <m:oMath>
        <m:r>
          <m:t>2.12</m:t>
        </m:r>
        <m:r>
          <m:rPr>
            <m:sty m:val="p"/>
          </m:rPr>
          <m:t>×</m:t>
        </m:r>
        <m:sSup>
          <m:e>
            <m:r>
              <m:t>10</m:t>
            </m:r>
          </m:e>
          <m:sup>
            <m:r>
              <m:t>3</m:t>
            </m:r>
          </m:sup>
        </m:sSup>
      </m:oMath>
      <w:r>
        <w:t xml:space="preserve">) =</w:t>
      </w:r>
      <w:r>
        <w:t xml:space="preserve"> </w:t>
      </w:r>
      <m:oMath>
        <m:r>
          <m:rPr>
            <m:sty m:val="p"/>
          </m:rPr>
          <m:t>−</m:t>
        </m:r>
        <m:r>
          <m:t>11.28</m:t>
        </m:r>
      </m:oMath>
      <w:r>
        <w:t xml:space="preserve">, p =</w:t>
      </w:r>
      <w:r>
        <w:t xml:space="preserve"> </w:t>
      </w:r>
      <m:oMath>
        <m:r>
          <m:t>1.02</m:t>
        </m:r>
        <m:r>
          <m:rPr>
            <m:sty m:val="p"/>
          </m:rPr>
          <m:t>×</m:t>
        </m:r>
        <m:sSup>
          <m:e>
            <m:r>
              <m:t>10</m:t>
            </m:r>
          </m:e>
          <m:sup>
            <m:r>
              <m:rPr>
                <m:sty m:val="p"/>
              </m:rPr>
              <m:t>−</m:t>
            </m:r>
            <m:r>
              <m:t>28</m:t>
            </m:r>
          </m:sup>
        </m:sSup>
      </m:oMath>
      <w:r>
        <w:t xml:space="preserve">).</w:t>
      </w:r>
    </w:p>
    <w:p>
      <w:pPr>
        <w:pStyle w:val="BodyText"/>
      </w:pPr>
      <w:r>
        <w:t xml:space="preserve">Crucially, ongoing fluctuations in history-congruence had a significant negative effect on stimulus-congruence (humans:</w:t>
      </w:r>
      <w:r>
        <w:t xml:space="preserve"> </w:t>
      </w:r>
      <m:oMath>
        <m:sSub>
          <m:e>
            <m:r>
              <m:t>β</m:t>
            </m:r>
          </m:e>
          <m:sub>
            <m:r>
              <m:t>1</m:t>
            </m:r>
          </m:sub>
        </m:sSub>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t xml:space="preserve">mice:</w:t>
      </w:r>
      <w:r>
        <w:t xml:space="preserv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w:t>
      </w:r>
      <w:r>
        <w:t xml:space="preserve"> </w:t>
      </w:r>
      <w:r>
        <w:t xml:space="preserve">beyond the effect of ongoing changes in general response biases (humans:</w:t>
      </w:r>
      <w:r>
        <w:t xml:space="preserve"> </w:t>
      </w:r>
      <m:oMath>
        <m:sSub>
          <m:e>
            <m:r>
              <m:t>β</m:t>
            </m:r>
          </m:e>
          <m:sub>
            <m:r>
              <m:t>2</m:t>
            </m:r>
          </m:sub>
        </m:sSub>
      </m:oMath>
      <w:r>
        <w:t xml:space="preserve"> </w:t>
      </w:r>
      <w:r>
        <w:t xml:space="preserve">=</w:t>
      </w:r>
      <w:r>
        <w:t xml:space="preserve"> </w:t>
      </w:r>
      <m:oMath>
        <m:r>
          <m:rPr>
            <m:sty m:val="p"/>
          </m:rPr>
          <m:t>−</m:t>
        </m:r>
        <m:r>
          <m:t>0.06</m:t>
        </m:r>
      </m:oMath>
      <w:r>
        <w:t xml:space="preserve"> </w:t>
      </w:r>
      <w:r>
        <w:t xml:space="preserve">±</w:t>
      </w:r>
      <w:r>
        <w:t xml:space="preserve"> </w:t>
      </w:r>
      <m:oMath>
        <m:r>
          <m:t>5.82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103.51</m:t>
        </m:r>
      </m:oMath>
      <w:r>
        <w:t xml:space="preserve">, p =</w:t>
      </w:r>
      <w:r>
        <w:t xml:space="preserve"> </w:t>
      </w:r>
      <m:oMath>
        <m:r>
          <m:t>0</m:t>
        </m:r>
      </m:oMath>
      <w:r>
        <w:t xml:space="preserve">;</w:t>
      </w:r>
      <w:r>
        <w:t xml:space="preserve"> </w:t>
      </w:r>
      <w:r>
        <w:t xml:space="preserve">mice:</w:t>
      </w:r>
      <w:r>
        <w:t xml:space="preserve">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In sum, the above control analyses confirmed that, in both humans and mice, the observed influence of preceding choices on perceptual decision-making cannot be reduced to general response biases.</w:t>
      </w:r>
    </w:p>
    <w:bookmarkEnd w:id="73"/>
    <w:bookmarkStart w:id="76" w:name="X6f27eaaf2df5b76136727e8d1d795a85fdaf104"/>
    <w:p>
      <w:pPr>
        <w:pStyle w:val="Heading2"/>
      </w:pPr>
      <w:r>
        <w:t xml:space="preserve">Internal mode is characterized by lower thresholds as well as by history-dependent changes in biases and lapses</w:t>
      </w:r>
    </w:p>
    <w:p>
      <w:pPr>
        <w:pStyle w:val="FirstParagraph"/>
      </w:pPr>
      <w:r>
        <w:t xml:space="preserve">Random or stereotypical responses may provide an alternative explanation for the reduced sensitivity to external sensory information that we attribute to internal mode processing. To test this hypothesis, we asked whether history-independent changes in biases and lapses may provide an alternative explanation of the reduced sensitivity during internal mode.</w:t>
      </w:r>
    </w:p>
    <w:p>
      <w:pPr>
        <w:pStyle w:val="BodyText"/>
      </w:pPr>
      <w:r>
        <w:t xml:space="preserve">To this end, we estimated full and history-conditioned psychometric curves to investigate how internal and external mode relate to biases (i.e., the horizontal position of the psychometric curve), lapses (i.e., the asymptotes of the psychometric curve) and thresholds (i.e., 1/sensitivity, estimated from the slope of the psychometric curve). We used a maximum likelihood procedure to predict trial-wise choices</w:t>
      </w:r>
      <w:r>
        <w:t xml:space="preserve"> </w:t>
      </w:r>
      <m:oMath>
        <m:r>
          <m:t>y</m:t>
        </m:r>
      </m:oMath>
      <w:r>
        <w:t xml:space="preserve"> </w:t>
      </w:r>
      <w:r>
        <w:t xml:space="preserve">(</w:t>
      </w:r>
      <m:oMath>
        <m:r>
          <m:t>y</m:t>
        </m:r>
        <m:r>
          <m:rPr>
            <m:sty m:val="p"/>
          </m:rPr>
          <m:t>=</m:t>
        </m:r>
        <m:r>
          <m:t>0</m:t>
        </m:r>
      </m:oMath>
      <w:r>
        <w:t xml:space="preserve"> </w:t>
      </w:r>
      <w:r>
        <w:t xml:space="preserve">and</w:t>
      </w:r>
      <w:r>
        <w:t xml:space="preserve"> </w:t>
      </w:r>
      <m:oMath>
        <m:r>
          <m:t>y</m:t>
        </m:r>
        <m:r>
          <m:rPr>
            <m:sty m:val="p"/>
          </m:rPr>
          <m:t>=</m:t>
        </m:r>
        <m:r>
          <m:t>1</m:t>
        </m:r>
      </m:oMath>
      <w:r>
        <w:t xml:space="preserve"> </w:t>
      </w:r>
      <w:r>
        <w:t xml:space="preserve">for outcomes A and B respectively) from the choice probabilities</w:t>
      </w:r>
      <w:r>
        <w:t xml:space="preserve"> </w:t>
      </w:r>
      <m:oMath>
        <m:sSub>
          <m:e>
            <m:r>
              <m:t>y</m:t>
            </m:r>
          </m:e>
          <m:sub>
            <m:r>
              <m:t>p</m:t>
            </m:r>
          </m:sub>
        </m:sSub>
      </m:oMath>
      <w:r>
        <w:t xml:space="preserve">.</w:t>
      </w:r>
      <w:r>
        <w:t xml:space="preserve"> </w:t>
      </w:r>
      <m:oMath>
        <m:sSub>
          <m:e>
            <m:r>
              <m:t>y</m:t>
            </m:r>
          </m:e>
          <m:sub>
            <m:r>
              <m:t>p</m:t>
            </m:r>
          </m:sub>
        </m:sSub>
      </m:oMath>
      <w:r>
        <w:t xml:space="preserve"> </w:t>
      </w:r>
      <w:r>
        <w:t xml:space="preserve">was computed from the difficulty-weighted inputs</w:t>
      </w:r>
      <w:r>
        <w:t xml:space="preserve"> </w:t>
      </w:r>
      <m:oMath>
        <m:sSub>
          <m:e>
            <m:r>
              <m:t>s</m:t>
            </m:r>
          </m:e>
          <m:sub>
            <m:r>
              <m:t>w</m:t>
            </m:r>
          </m:sub>
        </m:sSub>
      </m:oMath>
      <w:r>
        <w:t xml:space="preserve"> </w:t>
      </w:r>
      <w:r>
        <w:t xml:space="preserve">via a parametric error function defined by the parameters</w:t>
      </w:r>
      <w:r>
        <w:t xml:space="preserve"> </w:t>
      </w:r>
      <m:oMath>
        <m:r>
          <m:t>γ</m:t>
        </m:r>
      </m:oMath>
      <w:r>
        <w:t xml:space="preserve"> </w:t>
      </w:r>
      <w:r>
        <w:t xml:space="preserve">(lower lapse),</w:t>
      </w:r>
      <w:r>
        <w:t xml:space="preserve"> </w:t>
      </w:r>
      <m:oMath>
        <m:r>
          <m:t>δ</m:t>
        </m:r>
      </m:oMath>
      <w:r>
        <w:t xml:space="preserve"> </w:t>
      </w:r>
      <w:r>
        <w:t xml:space="preserve">(upper lapse),</w:t>
      </w:r>
      <w:r>
        <w:t xml:space="preserve"> </w:t>
      </w:r>
      <m:oMath>
        <m:r>
          <m:t>μ</m:t>
        </m:r>
      </m:oMath>
      <w:r>
        <w:t xml:space="preserve"> </w:t>
      </w:r>
      <w:r>
        <w:t xml:space="preserve">(bias) and</w:t>
      </w:r>
      <w:r>
        <w:t xml:space="preserve"> </w:t>
      </w:r>
      <m:oMath>
        <m:r>
          <m:t>t</m:t>
        </m:r>
      </m:oMath>
      <w:r>
        <w:t xml:space="preserve"> </w:t>
      </w:r>
      <w:r>
        <w:t xml:space="preserve">(threshold; see Methods for details):</w:t>
      </w:r>
    </w:p>
    <w:p>
      <w:pPr>
        <w:pStyle w:val="BodyText"/>
      </w:pPr>
    </w:p>
    <w:p>
      <w:pPr>
        <w:pStyle w:val="BodyText"/>
      </w:pPr>
      <w:r>
        <w:t xml:space="preserve">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w:t>
      </w:r>
    </w:p>
    <w:bookmarkStart w:id="74" w:name="humans"/>
    <w:p>
      <w:pPr>
        <w:pStyle w:val="Heading3"/>
      </w:pPr>
      <w:r>
        <w:t xml:space="preserve">Humans</w:t>
      </w:r>
    </w:p>
    <w:p>
      <w:pPr>
        <w:pStyle w:val="FirstParagraph"/>
      </w:pPr>
      <w:r>
        <w:t xml:space="preserve">Across all data provided by the Confidence database</w:t>
      </w:r>
      <w:r>
        <w:rPr>
          <w:vertAlign w:val="superscript"/>
        </w:rPr>
        <w:t xml:space="preserve">20</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(-0.05 ± 0.03;</w:t>
      </w:r>
      <w:r>
        <w:t xml:space="preserve">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Supplemental Figure 6A-B, upper panel).</w:t>
      </w:r>
      <w:r>
        <w:t xml:space="preserve"> </w:t>
      </w:r>
      <w:r>
        <w:t xml:space="preserve">When conditioned on perceptual history, biases</w:t>
      </w:r>
      <w:r>
        <w:t xml:space="preserve"> </w:t>
      </w:r>
      <m:oMath>
        <m:r>
          <m:t>μ</m:t>
        </m:r>
      </m:oMath>
      <w:r>
        <w:t xml:space="preserve"> </w:t>
      </w:r>
      <w:r>
        <w:t xml:space="preserve">varied according to the preceding perceptual choice, with negative biases for</w:t>
      </w:r>
      <w:r>
        <w:t xml:space="preserve"> </w:t>
      </w:r>
      <m:oMath>
        <m:sSub>
          <m:e>
            <m:r>
              <m:t>y</m:t>
            </m:r>
          </m:e>
          <m:sub>
            <m:r>
              <m:t>t</m:t>
            </m:r>
            <m:r>
              <m:rPr>
                <m:sty m:val="p"/>
              </m:rPr>
              <m:t>−</m:t>
            </m:r>
            <m:r>
              <m:t>1</m:t>
            </m:r>
          </m:sub>
        </m:sSub>
        <m:r>
          <m:rPr>
            <m:sty m:val="p"/>
          </m:rPr>
          <m:t>=</m:t>
        </m:r>
        <m:r>
          <m:t>0</m:t>
        </m:r>
      </m:oMath>
      <w:r>
        <w:t xml:space="preserve"> </w:t>
      </w:r>
      <w:r>
        <w:t xml:space="preserve">(-0.22 ± 0.04;</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upper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(0.29 ± 0.03;</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lower panel).</w:t>
      </w:r>
      <w:r>
        <w:t xml:space="preserve"> </w:t>
      </w:r>
      <w:r>
        <w:t xml:space="preserve">Absolute biases</w:t>
      </w:r>
      <w:r>
        <w:t xml:space="preserve"> </w:t>
      </w:r>
      <m:oMath>
        <m:d>
          <m:dPr>
            <m:begChr m:val="|"/>
            <m:endChr m:val="|"/>
            <m:sepChr m:val=""/>
            <m:grow/>
          </m:dPr>
          <m:e>
            <m:r>
              <m:t>μ</m:t>
            </m:r>
          </m:e>
        </m:d>
      </m:oMath>
      <w:r>
        <w:t xml:space="preserve"> </w:t>
      </w:r>
      <w:r>
        <w:t xml:space="preserve">were larger in internal mode (1.84 ± 0.03) as compared to external mode (0.86 ± 0.02;</w:t>
      </w:r>
      <w:r>
        <w:t xml:space="preserv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0.13</m:t>
        </m:r>
      </m:oMath>
      <w:r>
        <w:t xml:space="preserve"> </w:t>
      </w:r>
      <w:r>
        <w:t xml:space="preserve">±</w:t>
      </w:r>
      <w:r>
        <w:t xml:space="preserve"> </w:t>
      </w:r>
      <m:oMath>
        <m:r>
          <m:t>2.83</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m:t>
        </m:r>
      </m:oMath>
      <w:r>
        <w:t xml:space="preserve"> </w:t>
      </w:r>
      <w:r>
        <w:t xml:space="preserve">±</w:t>
      </w:r>
      <w:r>
        <w:t xml:space="preserve"> </w:t>
      </w:r>
      <m:oMath>
        <m:r>
          <m:t>2.45</m:t>
        </m:r>
        <m:r>
          <m:rPr>
            <m:sty m:val="p"/>
          </m:rPr>
          <m:t>×</m:t>
        </m:r>
        <m:sSup>
          <m:e>
            <m:r>
              <m:t>10</m:t>
            </m:r>
          </m:e>
          <m:sup>
            <m:r>
              <m:rPr>
                <m:sty m:val="p"/>
              </m:rPr>
              <m:t>−</m:t>
            </m:r>
            <m:r>
              <m:t>3</m:t>
            </m:r>
          </m:sup>
        </m:sSup>
      </m:oMath>
      <w:r>
        <w:t xml:space="preserve"> </w:t>
      </w:r>
      <w:r>
        <w:t xml:space="preserve">(Supplemental Figure 6A, C and D).</w:t>
      </w:r>
      <w:r>
        <w:t xml:space="preserve"> </w:t>
      </w:r>
      <w:r>
        <w:t xml:space="preserve">Lapses were larger in internal mode (</w:t>
      </w:r>
      <m:oMath>
        <m:r>
          <m:t>γ</m:t>
        </m:r>
      </m:oMath>
      <w:r>
        <w:t xml:space="preserve"> </w:t>
      </w:r>
      <w:r>
        <w:t xml:space="preserve">=</w:t>
      </w:r>
      <w:r>
        <w:t xml:space="preserve"> </w:t>
      </w:r>
      <m:oMath>
        <m:r>
          <m:t>0.17</m:t>
        </m:r>
      </m:oMath>
      <w:r>
        <w:t xml:space="preserve"> </w:t>
      </w:r>
      <w:r>
        <w:t xml:space="preserve">±</w:t>
      </w:r>
      <w:r>
        <w:t xml:space="preserve"> </w:t>
      </w:r>
      <m:oMath>
        <m:r>
          <m:t>3.52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0.14</m:t>
        </m:r>
      </m:oMath>
      <w:r>
        <w:t xml:space="preserve"> </w:t>
      </w:r>
      <w:r>
        <w:t xml:space="preserve">±</w:t>
      </w:r>
      <w:r>
        <w:t xml:space="preserve"> </w:t>
      </w:r>
      <m:oMath>
        <m:r>
          <m:t>3.18</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0.1</m:t>
        </m:r>
      </m:oMath>
      <w:r>
        <w:t xml:space="preserve"> </w:t>
      </w:r>
      <w:r>
        <w:t xml:space="preserve">±</w:t>
      </w:r>
      <w:r>
        <w:t xml:space="preserve"> </w:t>
      </w:r>
      <m:oMath>
        <m:r>
          <m:t>2.2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0.08</m:t>
        </m:r>
      </m:oMath>
      <w:r>
        <w:t xml:space="preserve"> </w:t>
      </w:r>
      <w:r>
        <w:t xml:space="preserve">±</w:t>
      </w:r>
      <w:r>
        <w:t xml:space="preserve"> </w:t>
      </w:r>
      <m:oMath>
        <m:r>
          <m:t>2</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w:t>
      </w:r>
    </w:p>
    <w:p>
      <w:pPr>
        <w:pStyle w:val="BodyText"/>
      </w:pPr>
      <w:r>
        <w:t xml:space="preserve">Conditioning on the previous perceptual choice revealed that the between-mode difference in lapse was not general, but depended on perceptual history:</w:t>
      </w:r>
      <w:r>
        <w:t xml:space="preserve"> </w:t>
      </w:r>
      <w:r>
        <w:t xml:space="preserve">For</w:t>
      </w:r>
      <w:r>
        <w:t xml:space="preserve"> </w:t>
      </w:r>
      <m:oMath>
        <m:sSub>
          <m:e>
            <m:r>
              <m:t>y</m:t>
            </m:r>
          </m:e>
          <m:sub>
            <m:r>
              <m:t>t</m:t>
            </m:r>
            <m:r>
              <m:rPr>
                <m:sty m:val="p"/>
              </m:rPr>
              <m:t>−</m:t>
            </m:r>
            <m:r>
              <m:t>1</m:t>
            </m:r>
          </m:sub>
        </m:sSub>
        <m:r>
          <m:rPr>
            <m:sty m:val="p"/>
          </m:rPr>
          <m:t>=</m:t>
        </m:r>
        <m:r>
          <m:t>0</m:t>
        </m:r>
      </m:oMath>
      <w:r>
        <w:t xml:space="preserve">, only higher lapses</w:t>
      </w:r>
      <w:r>
        <w:t xml:space="preserve"> </w:t>
      </w:r>
      <m:oMath>
        <m:r>
          <m:t>δ</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w:t>
      </w:r>
      <w:r>
        <w:t xml:space="preserve"> </w:t>
      </w:r>
      <w:r>
        <w:t xml:space="preserve">whereas lower lapses</w:t>
      </w:r>
      <w:r>
        <w:t xml:space="preserve"> </w:t>
      </w:r>
      <m:oMath>
        <m:r>
          <m:t>γ</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w:t>
      </w:r>
      <w:r>
        <w:t xml:space="preserve"> </w:t>
      </w:r>
      <w:r>
        <w:t xml:space="preserve">Vice versa,</w:t>
      </w:r>
      <w:r>
        <w:t xml:space="preserve"> </w:t>
      </w:r>
      <w:r>
        <w:t xml:space="preserve">for</w:t>
      </w:r>
      <w:r>
        <w:t xml:space="preserve"> </w:t>
      </w:r>
      <m:oMath>
        <m:sSub>
          <m:e>
            <m:r>
              <m:t>y</m:t>
            </m:r>
          </m:e>
          <m:sub>
            <m:r>
              <m:t>t</m:t>
            </m:r>
            <m:r>
              <m:rPr>
                <m:sty m:val="p"/>
              </m:rPr>
              <m:t>−</m:t>
            </m:r>
            <m:r>
              <m:t>1</m:t>
            </m:r>
          </m:sub>
        </m:sSub>
        <m:r>
          <m:rPr>
            <m:sty m:val="p"/>
          </m:rPr>
          <m:t>=</m:t>
        </m:r>
        <m:r>
          <m:t>1</m:t>
        </m:r>
      </m:oMath>
      <w:r>
        <w:t xml:space="preserve">,</w:t>
      </w:r>
      <w:r>
        <w:t xml:space="preserve"> </w:t>
      </w:r>
      <w:r>
        <w:t xml:space="preserve">lower lapses</w:t>
      </w:r>
      <w:r>
        <w:t xml:space="preserve"> </w:t>
      </w:r>
      <m:oMath>
        <m:r>
          <m:t>γ</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w:t>
      </w:r>
      <w:r>
        <w:t xml:space="preserve"> </w:t>
      </w:r>
      <w:r>
        <w:t xml:space="preserve">whereas higher lapses</w:t>
      </w:r>
      <w:r>
        <w:t xml:space="preserve"> </w:t>
      </w:r>
      <m:oMath>
        <m:r>
          <m:t>δ</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w:t>
      </w:r>
    </w:p>
    <w:p>
      <w:pPr>
        <w:pStyle w:val="BodyText"/>
      </w:pPr>
      <w:r>
        <w:t xml:space="preserve">Thresholds</w:t>
      </w:r>
      <w:r>
        <w:t xml:space="preserve"> </w:t>
      </w:r>
      <m:oMath>
        <m:r>
          <m:t>t</m:t>
        </m:r>
      </m:oMath>
      <w:r>
        <w:t xml:space="preserve"> </w:t>
      </w:r>
      <w:r>
        <w:t xml:space="preserve">were estimated at 3 ± 0.06 (Supplemental Figure 6A and E). Thresholds</w:t>
      </w:r>
      <w:r>
        <w:t xml:space="preserve"> </w:t>
      </w:r>
      <m:oMath>
        <m:r>
          <m:t>t</m:t>
        </m:r>
      </m:oMath>
      <w:r>
        <w:t xml:space="preserve"> </w:t>
      </w:r>
      <w:r>
        <w:t xml:space="preserve">were larger in internal mode (3.66 ± 0.09) as compared to external mode (2.02 ± 0.03;</w:t>
      </w:r>
      <w:r>
        <w:t xml:space="preserv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w:t>
      </w:r>
      <w:r>
        <w:t xml:space="preserve"> </w:t>
      </w:r>
      <w:r>
        <w:t xml:space="preserve">In contrast to the bias</w:t>
      </w:r>
      <w:r>
        <w:t xml:space="preserve"> </w:t>
      </w:r>
      <m:oMath>
        <m:r>
          <m:t>μ</m:t>
        </m:r>
      </m:oMath>
      <w:r>
        <w:t xml:space="preserve"> </w:t>
      </w:r>
      <w:r>
        <w:t xml:space="preserve">and the lapse rates</w:t>
      </w:r>
      <w:r>
        <w:t xml:space="preserve"> </w:t>
      </w:r>
      <m:oMath>
        <m:r>
          <m:t>γ</m:t>
        </m:r>
      </m:oMath>
      <w:r>
        <w:t xml:space="preserve"> </w:t>
      </w:r>
      <w:r>
        <w:t xml:space="preserve">and</w:t>
      </w:r>
      <w:r>
        <w:t xml:space="preserve"> </w:t>
      </w:r>
      <m:oMath>
        <m:r>
          <m:t>δ</m:t>
        </m:r>
      </m:oMath>
      <w:r>
        <w:t xml:space="preserve">, thresholds</w:t>
      </w:r>
      <w:r>
        <w:t xml:space="preserve"> </w:t>
      </w:r>
      <m:oMath>
        <m:r>
          <m:t>t</m:t>
        </m:r>
      </m:oMath>
      <w:r>
        <w:t xml:space="preserve"> </w:t>
      </w:r>
      <w:r>
        <w:t xml:space="preserve">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bookmarkEnd w:id="74"/>
    <w:bookmarkStart w:id="75" w:name="mice"/>
    <w:p>
      <w:pPr>
        <w:pStyle w:val="Heading3"/>
      </w:pPr>
      <w:r>
        <w:t xml:space="preserve">Mice</w:t>
      </w:r>
    </w:p>
    <w:p>
      <w:pPr>
        <w:pStyle w:val="FirstParagraph"/>
      </w:pPr>
      <w:r>
        <w:t xml:space="preserve">When estimated based on the full dataset provided in the IBL database</w:t>
      </w:r>
      <w:r>
        <w:rPr>
          <w:vertAlign w:val="superscript"/>
        </w:rPr>
        <w:t xml:space="preserve">21</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w:t>
      </w:r>
      <m:oMath>
        <m:r>
          <m:t>3.87</m:t>
        </m:r>
        <m:r>
          <m:rPr>
            <m:sty m:val="p"/>
          </m:rPr>
          <m:t>×</m:t>
        </m:r>
        <m:sSup>
          <m:e>
            <m:r>
              <m:t>10</m:t>
            </m:r>
          </m:e>
          <m:sup>
            <m:r>
              <m:rPr>
                <m:sty m:val="p"/>
              </m:rPr>
              <m:t>−</m:t>
            </m:r>
            <m:r>
              <m:t>3</m:t>
            </m:r>
          </m:sup>
        </m:sSup>
      </m:oMath>
      <w:r>
        <w:t xml:space="preserve"> </w:t>
      </w:r>
      <w:r>
        <w:t xml:space="preserve">±</w:t>
      </w:r>
      <w:r>
        <w:t xml:space="preserve"> </w:t>
      </w:r>
      <m:oMath>
        <m:r>
          <m:t>9.81</m:t>
        </m:r>
        <m:r>
          <m:rPr>
            <m:sty m:val="p"/>
          </m:rPr>
          <m:t>×</m:t>
        </m:r>
        <m:sSup>
          <m:e>
            <m:r>
              <m:t>10</m:t>
            </m:r>
          </m:e>
          <m:sup>
            <m:r>
              <m:rPr>
                <m:sty m:val="p"/>
              </m:rPr>
              <m:t>−</m:t>
            </m:r>
            <m:r>
              <m:t>3</m:t>
            </m:r>
          </m:sup>
        </m:sSup>
      </m:oMath>
      <w:r>
        <w:t xml:space="preserve">; T(164) = 0.39, p =</w:t>
      </w:r>
      <w:r>
        <w:t xml:space="preserve"> </w:t>
      </w:r>
      <m:oMath>
        <m:r>
          <m:t>0.69</m:t>
        </m:r>
      </m:oMath>
      <w:r>
        <w:t xml:space="preserve">; Supplemental Figure 7A-B, upper panel).</w:t>
      </w:r>
      <w:r>
        <w:t xml:space="preserve"> </w:t>
      </w:r>
      <w:r>
        <w:t xml:space="preserve">When conditioned on the preceding perceptual choice, biases were negative for</w:t>
      </w:r>
      <w:r>
        <w:t xml:space="preserve"> </w:t>
      </w:r>
      <m:oMath>
        <m:sSub>
          <m:e>
            <m:r>
              <m:t>y</m:t>
            </m:r>
          </m:e>
          <m:sub>
            <m:r>
              <m:t>t</m:t>
            </m:r>
            <m:r>
              <m:rPr>
                <m:sty m:val="p"/>
              </m:rPr>
              <m:t>−</m:t>
            </m:r>
            <m:r>
              <m:t>1</m:t>
            </m:r>
          </m:sub>
        </m:sSub>
        <m:r>
          <m:rPr>
            <m:sty m:val="p"/>
          </m:rPr>
          <m:t>=</m:t>
        </m:r>
        <m:r>
          <m:t>0</m:t>
        </m:r>
      </m:oMath>
      <w:r>
        <w:t xml:space="preserve"> </w:t>
      </w:r>
      <w:r>
        <w:t xml:space="preserve">(</w:t>
      </w:r>
      <m:oMath>
        <m:r>
          <m:rPr>
            <m:sty m:val="p"/>
          </m:rPr>
          <m:t>−</m:t>
        </m:r>
        <m:r>
          <m:t>0.02</m:t>
        </m:r>
      </m:oMath>
      <w:r>
        <w:t xml:space="preserve"> </w:t>
      </w:r>
      <w:r>
        <w:t xml:space="preserve">±</w:t>
      </w:r>
      <w:r>
        <w:t xml:space="preserve"> </w:t>
      </w:r>
      <m:oMath>
        <m:r>
          <m:t>8.7</m:t>
        </m:r>
        <m:r>
          <m:rPr>
            <m:sty m:val="p"/>
          </m:rPr>
          <m:t>×</m:t>
        </m:r>
        <m:sSup>
          <m:e>
            <m:r>
              <m:t>10</m:t>
            </m:r>
          </m:e>
          <m:sup>
            <m:r>
              <m:rPr>
                <m:sty m:val="p"/>
              </m:rPr>
              <m:t>−</m:t>
            </m:r>
            <m:r>
              <m:t>3</m:t>
            </m:r>
          </m:sup>
        </m:sSup>
      </m:oMath>
      <w:r>
        <w:t xml:space="preserve">; T(</w:t>
      </w:r>
      <m:oMath>
        <m:r>
          <m:t>164</m:t>
        </m:r>
        <m:r>
          <m:rPr>
            <m:sty m:val="p"/>
          </m:rPr>
          <m:t>)</m:t>
        </m:r>
        <m:r>
          <m:rPr>
            <m:sty m:val="p"/>
          </m:rPr>
          <m:t>=</m:t>
        </m:r>
        <m:r>
          <m:rPr>
            <m:sty m:val="p"/>
          </m:rPr>
          <m:t>−</m:t>
        </m:r>
        <m:r>
          <m:t>1.99</m:t>
        </m:r>
      </m:oMath>
      <w:r>
        <w:t xml:space="preserve">, p =</w:t>
      </w:r>
      <w:r>
        <w:t xml:space="preserve"> </w:t>
      </w:r>
      <m:oMath>
        <m:r>
          <m:t>0.05</m:t>
        </m:r>
      </m:oMath>
      <w:r>
        <w:t xml:space="preserve">; Supplemental Figure 7A-B, middle panel)</w:t>
      </w:r>
      <w:r>
        <w:t xml:space="preserve"> </w:t>
      </w:r>
      <w:r>
        <w:t xml:space="preserve">and positive for</w:t>
      </w:r>
      <w:r>
        <w:t xml:space="preserve"> </w:t>
      </w:r>
      <m:oMath>
        <m:sSub>
          <m:e>
            <m:r>
              <m:t>y</m:t>
            </m:r>
          </m:e>
          <m:sub>
            <m:r>
              <m:t>t</m:t>
            </m:r>
            <m:r>
              <m:rPr>
                <m:sty m:val="p"/>
              </m:rPr>
              <m:t>−</m:t>
            </m:r>
            <m:r>
              <m:t>1</m:t>
            </m:r>
          </m:sub>
        </m:sSub>
        <m:r>
          <m:rPr>
            <m:sty m:val="p"/>
          </m:rPr>
          <m:t>=</m:t>
        </m:r>
        <m:r>
          <m:t>1</m:t>
        </m:r>
      </m:oMath>
      <w:r>
        <w:t xml:space="preserve"> </w:t>
      </w:r>
      <w:r>
        <w:t xml:space="preserve">(</w:t>
      </w:r>
      <m:oMath>
        <m:r>
          <m:t>0.02</m:t>
        </m:r>
      </m:oMath>
      <w:r>
        <w:t xml:space="preserve"> </w:t>
      </w:r>
      <w:r>
        <w:t xml:space="preserve">±</w:t>
      </w:r>
      <w:r>
        <w:t xml:space="preserve"> </w:t>
      </w:r>
      <m:oMath>
        <m:r>
          <m:t>9.63</m:t>
        </m:r>
        <m:r>
          <m:rPr>
            <m:sty m:val="p"/>
          </m:rPr>
          <m:t>×</m:t>
        </m:r>
        <m:sSup>
          <m:e>
            <m:r>
              <m:t>10</m:t>
            </m:r>
          </m:e>
          <m:sup>
            <m:r>
              <m:rPr>
                <m:sty m:val="p"/>
              </m:rPr>
              <m:t>−</m:t>
            </m:r>
            <m:r>
              <m:t>3</m:t>
            </m:r>
          </m:sup>
        </m:sSup>
      </m:oMath>
      <w:r>
        <w:t xml:space="preserve">; T(</w:t>
      </w:r>
      <m:oMath>
        <m:r>
          <m:t>164</m:t>
        </m:r>
      </m:oMath>
      <w:r>
        <w:t xml:space="preserve">) =</w:t>
      </w:r>
      <w:r>
        <w:t xml:space="preserve"> </w:t>
      </w:r>
      <m:oMath>
        <m:r>
          <m:t>1.91</m:t>
        </m:r>
      </m:oMath>
      <w:r>
        <w:t xml:space="preserve">, p =</w:t>
      </w:r>
      <w:r>
        <w:t xml:space="preserve"> </w:t>
      </w:r>
      <m:oMath>
        <m:r>
          <m:t>0.06</m:t>
        </m:r>
      </m:oMath>
      <w:r>
        <w:t xml:space="preserve">; Supplemental Figure 7A-B, lower panel).</w:t>
      </w:r>
      <w:r>
        <w:t xml:space="preserve"> </w:t>
      </w:r>
      <w:r>
        <w:t xml:space="preserve">As in humans, mice showed larger biases during internal mode (</w:t>
      </w:r>
      <m:oMath>
        <m:r>
          <m:t>0.14</m:t>
        </m:r>
      </m:oMath>
      <w:r>
        <w:t xml:space="preserve"> </w:t>
      </w:r>
      <w:r>
        <w:t xml:space="preserve">±</w:t>
      </w:r>
      <w:r>
        <w:t xml:space="preserve"> </w:t>
      </w:r>
      <m:oMath>
        <m:r>
          <m:t>7.96</m:t>
        </m:r>
        <m:r>
          <m:rPr>
            <m:sty m:val="p"/>
          </m:rPr>
          <m:t>×</m:t>
        </m:r>
        <m:sSup>
          <m:e>
            <m:r>
              <m:t>10</m:t>
            </m:r>
          </m:e>
          <m:sup>
            <m:r>
              <m:rPr>
                <m:sty m:val="p"/>
              </m:rPr>
              <m:t>−</m:t>
            </m:r>
            <m:r>
              <m:t>3</m:t>
            </m:r>
          </m:sup>
        </m:sSup>
      </m:oMath>
      <w:r>
        <w:t xml:space="preserve">) as compared to external mode (</w:t>
      </w:r>
      <m:oMath>
        <m:r>
          <m:t>0.07</m:t>
        </m:r>
      </m:oMath>
      <w:r>
        <w:t xml:space="preserve"> </w:t>
      </w:r>
      <w:r>
        <w:t xml:space="preserve">±</w:t>
      </w:r>
      <w:r>
        <w:t xml:space="preserve"> </w:t>
      </w:r>
      <m:oMath>
        <m:r>
          <m:t>8.7</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m:t>
        </m:r>
      </m:oMath>
      <w:r>
        <w:t xml:space="preserve"> </w:t>
      </w:r>
      <w:r>
        <w:t xml:space="preserve">±</w:t>
      </w:r>
      <w:r>
        <w:t xml:space="preserve"> </w:t>
      </w:r>
      <m:oMath>
        <m:r>
          <m:t>4.35</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0.11</m:t>
        </m:r>
      </m:oMath>
      <w:r>
        <w:t xml:space="preserve"> </w:t>
      </w:r>
      <w:r>
        <w:t xml:space="preserve">±</w:t>
      </w:r>
      <w:r>
        <w:t xml:space="preserve"> </w:t>
      </w:r>
      <m:oMath>
        <m:r>
          <m:t>4.65</m:t>
        </m:r>
        <m:r>
          <m:rPr>
            <m:sty m:val="p"/>
          </m:rPr>
          <m:t>×</m:t>
        </m:r>
        <m:sSup>
          <m:e>
            <m:r>
              <m:t>10</m:t>
            </m:r>
          </m:e>
          <m:sup>
            <m:r>
              <m:rPr>
                <m:sty m:val="p"/>
              </m:rPr>
              <m:t>−</m:t>
            </m:r>
            <m:r>
              <m:t>3</m:t>
            </m:r>
          </m:sup>
        </m:sSup>
      </m:oMath>
      <w:r>
        <w:t xml:space="preserve"> </w:t>
      </w:r>
      <w:r>
        <w:t xml:space="preserve">(Supplemental Figure 7A, C and D).</w:t>
      </w:r>
      <w:r>
        <w:t xml:space="preserve"> </w:t>
      </w:r>
      <w:r>
        <w:t xml:space="preserve">Lapse rates were higher in internal mode (</w:t>
      </w:r>
      <m:oMath>
        <m:r>
          <m:t>γ</m:t>
        </m:r>
      </m:oMath>
      <w:r>
        <w:t xml:space="preserve"> </w:t>
      </w:r>
      <w:r>
        <w:t xml:space="preserve">=</w:t>
      </w:r>
      <w:r>
        <w:t xml:space="preserve"> </w:t>
      </w:r>
      <m:oMath>
        <m:r>
          <m:t>0.15</m:t>
        </m:r>
      </m:oMath>
      <w:r>
        <w:t xml:space="preserve"> </w:t>
      </w:r>
      <w:r>
        <w:t xml:space="preserve">±</w:t>
      </w:r>
      <w:r>
        <w:t xml:space="preserve"> </w:t>
      </w:r>
      <m:oMath>
        <m:r>
          <m:t>5.14</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0.16</m:t>
        </m:r>
      </m:oMath>
      <w:r>
        <w:t xml:space="preserve"> </w:t>
      </w:r>
      <w:r>
        <w:t xml:space="preserve">±</w:t>
      </w:r>
      <w:r>
        <w:t xml:space="preserve"> </w:t>
      </w:r>
      <m:oMath>
        <m:r>
          <m:t>5.79</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0.06</m:t>
        </m:r>
      </m:oMath>
      <w:r>
        <w:t xml:space="preserve"> </w:t>
      </w:r>
      <w:r>
        <w:t xml:space="preserve">±</w:t>
      </w:r>
      <w:r>
        <w:t xml:space="preserve"> </w:t>
      </w:r>
      <m:oMath>
        <m:r>
          <m:t>3.11</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0.07</m:t>
        </m:r>
      </m:oMath>
      <w:r>
        <w:t xml:space="preserve"> </w:t>
      </w:r>
      <w:r>
        <w:t xml:space="preserve">±</w:t>
      </w:r>
      <w:r>
        <w:t xml:space="preserve"> </w:t>
      </w:r>
      <m:oMath>
        <m:r>
          <m:t>3.34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w:t>
      </w:r>
    </w:p>
    <w:p>
      <w:pPr>
        <w:pStyle w:val="BodyText"/>
      </w:pPr>
      <w:r>
        <w:t xml:space="preserve">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w:t>
      </w:r>
      <w:r>
        <w:t xml:space="preserve"> </w:t>
      </w:r>
      <m:oMath>
        <m:r>
          <m:t>21.44</m:t>
        </m:r>
      </m:oMath>
      <w:r>
        <w:t xml:space="preserve">, p =</w:t>
      </w:r>
      <w:r>
        <w:t xml:space="preserve"> </w:t>
      </w:r>
      <m:oMath>
        <m:r>
          <m:t>1.93</m:t>
        </m:r>
        <m:r>
          <m:rPr>
            <m:sty m:val="p"/>
          </m:rPr>
          <m:t>×</m:t>
        </m:r>
        <m:sSup>
          <m:e>
            <m:r>
              <m:t>10</m:t>
            </m:r>
          </m:e>
          <m:sup>
            <m:r>
              <m:rPr>
                <m:sty m:val="p"/>
              </m:rPr>
              <m:t>−</m:t>
            </m:r>
            <m:r>
              <m:t>49</m:t>
            </m:r>
          </m:sup>
        </m:sSup>
      </m:oMath>
      <w:r>
        <w:t xml:space="preserve">).</w:t>
      </w:r>
      <w:r>
        <w:t xml:space="preserve"> </w:t>
      </w:r>
      <w:r>
        <w:t xml:space="preserve">Conversely, 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w:t>
      </w:r>
      <m:oMath>
        <m:r>
          <m:t>164</m:t>
        </m:r>
      </m:oMath>
      <w:r>
        <w:t xml:space="preserve">) =</w:t>
      </w:r>
      <w:r>
        <w:t xml:space="preserve"> </w:t>
      </w:r>
      <m:oMath>
        <m:r>
          <m:rPr>
            <m:sty m:val="p"/>
          </m:rPr>
          <m:t>−</m:t>
        </m:r>
        <m:r>
          <m:t>18.24</m:t>
        </m:r>
      </m:oMath>
      <w:r>
        <w:t xml:space="preserve">, p =</w:t>
      </w:r>
      <w:r>
        <w:t xml:space="preserve"> </w:t>
      </w:r>
      <m:oMath>
        <m:r>
          <m:t>2.68</m:t>
        </m:r>
        <m:r>
          <m:rPr>
            <m:sty m:val="p"/>
          </m:rPr>
          <m:t>×</m:t>
        </m:r>
        <m:sSup>
          <m:e>
            <m:r>
              <m:t>10</m:t>
            </m:r>
          </m:e>
          <m:sup>
            <m:r>
              <m:rPr>
                <m:sty m:val="p"/>
              </m:rPr>
              <m:t>−</m:t>
            </m:r>
            <m:r>
              <m:t>41</m:t>
            </m:r>
          </m:sup>
        </m:sSup>
      </m:oMath>
      <w:r>
        <w:t xml:space="preserve">).</w:t>
      </w:r>
      <w:r>
        <w:t xml:space="preserve"> </w:t>
      </w:r>
      <w:r>
        <w:t xml:space="preserve">In contrast to the human data, higher lapses</w:t>
      </w:r>
      <w:r>
        <w:t xml:space="preserve"> </w:t>
      </w:r>
      <m:oMath>
        <m:r>
          <m:t>δ</m:t>
        </m:r>
      </m:oMath>
      <w:r>
        <w:t xml:space="preserve"> </w:t>
      </w:r>
      <w:r>
        <w:t xml:space="preserve">and lower lapses</w:t>
      </w:r>
      <w:r>
        <w:t xml:space="preserve"> </w:t>
      </w:r>
      <m:oMath>
        <m:r>
          <m:t>γ</m:t>
        </m:r>
      </m:oMath>
      <w:r>
        <w:t xml:space="preserve"> </w:t>
      </w:r>
      <w:r>
        <w:t xml:space="preserve">were significantly elevated during internal mode irrespective of the preceding perceptual choice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p>
    <w:p>
      <w:pPr>
        <w:pStyle w:val="BodyText"/>
      </w:pPr>
      <w:r>
        <w:t xml:space="preserve">In mice, thresholds</w:t>
      </w:r>
      <w:r>
        <w:t xml:space="preserve"> </w:t>
      </w:r>
      <m:oMath>
        <m:r>
          <m:t>t</m:t>
        </m:r>
      </m:oMath>
      <w:r>
        <w:t xml:space="preserve"> </w:t>
      </w:r>
      <w:r>
        <w:t xml:space="preserve">amounted to</w:t>
      </w:r>
      <w:r>
        <w:t xml:space="preserve"> </w:t>
      </w:r>
      <m:oMath>
        <m:r>
          <m:t>0.15</m:t>
        </m:r>
      </m:oMath>
      <w:r>
        <w:t xml:space="preserve"> </w:t>
      </w:r>
      <w:r>
        <w:t xml:space="preserve">±</w:t>
      </w:r>
      <w:r>
        <w:t xml:space="preserve"> </w:t>
      </w:r>
      <m:oMath>
        <m:r>
          <m:t>6.52</m:t>
        </m:r>
        <m:r>
          <m:rPr>
            <m:sty m:val="p"/>
          </m:rPr>
          <m:t>×</m:t>
        </m:r>
        <m:sSup>
          <m:e>
            <m:r>
              <m:t>10</m:t>
            </m:r>
          </m:e>
          <m:sup>
            <m:r>
              <m:rPr>
                <m:sty m:val="p"/>
              </m:rPr>
              <m:t>−</m:t>
            </m:r>
            <m:r>
              <m:t>3</m:t>
            </m:r>
          </m:sup>
        </m:sSup>
      </m:oMath>
      <w:r>
        <w:t xml:space="preserve"> </w:t>
      </w:r>
      <w:r>
        <w:t xml:space="preserve">(Supplemental Figure 7A and E) and were higher in internal mode (</w:t>
      </w:r>
      <m:oMath>
        <m:r>
          <m:t>0.27</m:t>
        </m:r>
      </m:oMath>
      <w:r>
        <w:t xml:space="preserve"> </w:t>
      </w:r>
      <w:r>
        <w:t xml:space="preserve">±</w:t>
      </w:r>
      <w:r>
        <w:t xml:space="preserve"> </w:t>
      </w:r>
      <m:oMath>
        <m:r>
          <m:t>0.01</m:t>
        </m:r>
      </m:oMath>
      <w:r>
        <w:t xml:space="preserve">) as compared to external mode (</w:t>
      </w:r>
      <m:oMath>
        <m:r>
          <m:t>0.09</m:t>
        </m:r>
      </m:oMath>
      <w:r>
        <w:t xml:space="preserve"> </w:t>
      </w:r>
      <w:r>
        <w:t xml:space="preserve">±</w:t>
      </w:r>
      <w:r>
        <w:t xml:space="preserve"> </w:t>
      </w:r>
      <m:oMath>
        <m:r>
          <m:t>4.44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w:t>
      </w:r>
      <w:r>
        <w:t xml:space="preserve"> </w:t>
      </w:r>
      <w:r>
        <w:t xml:space="preserve">Thresholds</w:t>
      </w:r>
      <w:r>
        <w:t xml:space="preserve"> </w:t>
      </w:r>
      <m:oMath>
        <m:r>
          <m:t>t</m:t>
        </m:r>
      </m:oMath>
      <w:r>
        <w:t xml:space="preserve"> </w:t>
      </w:r>
      <w:r>
        <w:t xml:space="preserve">were not modulated by perceptual history (T(164) = 0.94, p =</w:t>
      </w:r>
      <w:r>
        <w:t xml:space="preserve"> </w:t>
      </w:r>
      <m:oMath>
        <m:r>
          <m:t>0.35</m:t>
        </m:r>
      </m:oMath>
      <w:r>
        <w:t xml:space="preserve">).</w:t>
      </w:r>
    </w:p>
    <w:p>
      <w:pPr>
        <w:pStyle w:val="BodyText"/>
      </w:pPr>
      <w:r>
        <w:t xml:space="preserve">In sum, the above analyses showed that, in both humans and mice, internal and external mode differ with respect to biases, lapses and thresholds. Internally-biased processing was characterized by higher thresholds, indicating a reduced sensitivity to sensory information, as well as by larger biases and lapses. Importantly, between-mode differences in biases and lapses strongly depended on perceptual history. This confirmed that internal mode processing cannot be explained solely on the ground of a general (i.e., history-independent) increase in lapses or bias indicative of random of stereotypical responses.</w:t>
      </w:r>
    </w:p>
    <w:bookmarkEnd w:id="75"/>
    <w:bookmarkEnd w:id="76"/>
    <w:bookmarkStart w:id="79" w:name="X955fb797bb90a0bed6d56bdc32949e59e82c512"/>
    <w:p>
      <w:pPr>
        <w:pStyle w:val="Heading2"/>
      </w:pPr>
      <w:r>
        <w:t xml:space="preserve">Internal mode processing can not be reduced to insufficient task familiarity</w:t>
      </w:r>
    </w:p>
    <w:p>
      <w:pPr>
        <w:pStyle w:val="FirstParagraph"/>
      </w:pPr>
      <w:r>
        <w:t xml:space="preserve">It may be assumed that participants tend to repeat preceding choices when they are not yet familiar with the experimental task, leading to history-congruent choices that are caused by insufficient training. To assess this alternative explanation, we contrasted the correlates of bimodal inference with training effects in humans and mice.</w:t>
      </w:r>
    </w:p>
    <w:bookmarkStart w:id="77" w:name="humans-1"/>
    <w:p>
      <w:pPr>
        <w:pStyle w:val="Heading3"/>
      </w:pPr>
      <w:r>
        <w:t xml:space="preserve">Humans</w:t>
      </w:r>
    </w:p>
    <w:p>
      <w:pPr>
        <w:pStyle w:val="FirstParagraph"/>
      </w:pPr>
      <w:r>
        <w:t xml:space="preserve">In the Confidence database</w:t>
      </w:r>
      <w:r>
        <w:rPr>
          <w:vertAlign w:val="superscript"/>
        </w:rPr>
        <w:t xml:space="preserve">20</w:t>
      </w:r>
      <w:r>
        <w:t xml:space="preserve">, training effects were visible from RTs that were shortened by increasing exposure to the task (</w:t>
      </w:r>
      <m:oMath>
        <m:r>
          <m:t>β</m:t>
        </m:r>
      </m:oMath>
      <w:r>
        <w:t xml:space="preserve"> </w:t>
      </w:r>
      <w:r>
        <w:t xml:space="preserve">=</w:t>
      </w:r>
      <w:r>
        <w:t xml:space="preserve"> </w:t>
      </w:r>
      <m:oMath>
        <m:r>
          <m:rPr>
            <m:sty m:val="p"/>
          </m:rPr>
          <m:t>−</m:t>
        </m:r>
        <m:r>
          <m:t>7.53</m:t>
        </m:r>
        <m:r>
          <m:rPr>
            <m:sty m:val="p"/>
          </m:rPr>
          <m:t>×</m:t>
        </m:r>
        <m:sSup>
          <m:e>
            <m:r>
              <m:t>10</m:t>
            </m:r>
          </m:e>
          <m:sup>
            <m:r>
              <m:rPr>
                <m:sty m:val="p"/>
              </m:rPr>
              <m:t>−</m:t>
            </m:r>
            <m:r>
              <m:t>5</m:t>
            </m:r>
          </m:sup>
        </m:sSup>
      </m:oMath>
      <w:r>
        <w:t xml:space="preserve"> </w:t>
      </w:r>
      <w:r>
        <w:t xml:space="preserve">±</w:t>
      </w:r>
      <w:r>
        <w:t xml:space="preserve"> </w:t>
      </w:r>
      <m:oMath>
        <m:r>
          <m:t>6.32</m:t>
        </m:r>
        <m:r>
          <m:rPr>
            <m:sty m:val="p"/>
          </m:rPr>
          <m:t>×</m:t>
        </m:r>
        <m:sSup>
          <m:e>
            <m:r>
              <m:t>10</m:t>
            </m:r>
          </m:e>
          <m:sup>
            <m:r>
              <m:rPr>
                <m:sty m:val="p"/>
              </m:rPr>
              <m:t>−</m:t>
            </m:r>
            <m:r>
              <m:t>7</m:t>
            </m:r>
          </m:sup>
        </m:sSup>
      </m:oMath>
      <w:r>
        <w:t xml:space="preserve">, T(</w:t>
      </w:r>
      <m:oMath>
        <m:r>
          <m:t>1.81</m:t>
        </m:r>
        <m:r>
          <m:rPr>
            <m:sty m:val="p"/>
          </m:rPr>
          <m:t>×</m:t>
        </m:r>
        <m:sSup>
          <m:e>
            <m:r>
              <m:t>10</m:t>
            </m:r>
          </m:e>
          <m:sup>
            <m:r>
              <m:t>6</m:t>
            </m:r>
          </m:sup>
        </m:sSup>
      </m:oMath>
      <w:r>
        <w:t xml:space="preserve">) =</w:t>
      </w:r>
      <w:r>
        <w:t xml:space="preserve"> </w:t>
      </w:r>
      <m:oMath>
        <m:r>
          <m:rPr>
            <m:sty m:val="p"/>
          </m:rPr>
          <m:t>−</m:t>
        </m:r>
        <m:r>
          <m:t>119.15</m:t>
        </m:r>
      </m:oMath>
      <w:r>
        <w:t xml:space="preserve">, p =</w:t>
      </w:r>
      <w:r>
        <w:t xml:space="preserve"> </w:t>
      </w:r>
      <m:oMath>
        <m:r>
          <m:t>0</m:t>
        </m:r>
      </m:oMath>
      <w:r>
        <w:t xml:space="preserve">).</w:t>
      </w:r>
      <w:r>
        <w:t xml:space="preserve"> </w:t>
      </w:r>
      <w:r>
        <w:t xml:space="preserve">Intriguingly, however, history-congruent choices became more frequent with increased exposure to the task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speaking against the proposition that insufficient training induces seriality in response behavior.</w:t>
      </w:r>
    </w:p>
    <w:bookmarkEnd w:id="77"/>
    <w:bookmarkStart w:id="78" w:name="mice-1"/>
    <w:p>
      <w:pPr>
        <w:pStyle w:val="Heading3"/>
      </w:pPr>
      <w:r>
        <w:t xml:space="preserve">Mice</w:t>
      </w:r>
    </w:p>
    <w:p>
      <w:pPr>
        <w:pStyle w:val="FirstParagraph"/>
      </w:pPr>
      <w:r>
        <w:t xml:space="preserve">As in humans, it is an important caveat to consider whether the observed serial dependencies in mice reflect a phenomenon of perceptual inference, or, alternatively, an unspecific strategy that occurs at the level of reporting behavior. We reasoned that, if mice indeed tended to repeat previous choices as a general response pattern, history effects should decrease during training of the perceptual task. We therefore analyzed how stimulus- and history-congruent perceptual choices evolved across sessions in mice that, by the end of training,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rPr>
          <w:vertAlign w:val="superscript"/>
        </w:rPr>
        <w:t xml:space="preserve">21</w:t>
      </w:r>
      <w:r>
        <w:t xml:space="preserve">.</w:t>
      </w:r>
    </w:p>
    <w:p>
      <w:pPr>
        <w:pStyle w:val="BodyText"/>
      </w:pPr>
      <w:r>
        <w:t xml:space="preserve">Across sessions, we found that stimulus-congruent perceptual choices became more frequent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and TDs were progressively shortened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r>
        <w:t xml:space="preserve"> </w:t>
      </w:r>
      <w:r>
        <w:t xml:space="preserve">Crucially, the frequency of history-congruent perceptual choices also increased during training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 Supplemental Figure S8).</w:t>
      </w:r>
      <w:r>
        <w:br/>
      </w:r>
      <w:r>
        <w:t xml:space="preserve">Within individual session, longer task exposure was associated with an increase in history-congruence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and a decrease in TDs (</w:t>
      </w:r>
      <m:oMath>
        <m:r>
          <m:t>β</m:t>
        </m:r>
      </m:oMath>
      <w:r>
        <w:t xml:space="preserve"> </w:t>
      </w:r>
      <w:r>
        <w:t xml:space="preserve">=</w:t>
      </w:r>
      <w:r>
        <w:t xml:space="preserve"> </w:t>
      </w:r>
      <m:oMath>
        <m:r>
          <m:rPr>
            <m:sty m:val="p"/>
          </m:rPr>
          <m:t>−</m:t>
        </m:r>
        <m:r>
          <m:t>0.1</m:t>
        </m:r>
      </m:oMath>
      <w:r>
        <w:t xml:space="preserve"> </w:t>
      </w:r>
      <w:r>
        <w:t xml:space="preserve">±</w:t>
      </w:r>
      <w:r>
        <w:t xml:space="preserve"> </w:t>
      </w:r>
      <m:oMath>
        <m:r>
          <m:t>3.96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24.99</m:t>
        </m:r>
      </m:oMath>
      <w:r>
        <w:t xml:space="preserve">, p =</w:t>
      </w:r>
      <w:r>
        <w:t xml:space="preserve"> </w:t>
      </w:r>
      <m:oMath>
        <m:r>
          <m:t>9.45</m:t>
        </m:r>
        <m:r>
          <m:rPr>
            <m:sty m:val="p"/>
          </m:rPr>
          <m:t>×</m:t>
        </m:r>
        <m:sSup>
          <m:e>
            <m:r>
              <m:t>10</m:t>
            </m:r>
          </m:e>
          <m:sup>
            <m:r>
              <m:rPr>
                <m:sty m:val="p"/>
              </m:rPr>
              <m:t>−</m:t>
            </m:r>
            <m:r>
              <m:t>138</m:t>
            </m:r>
          </m:sup>
        </m:sSup>
      </m:oMath>
      <w:r>
        <w:t xml:space="preserve">). In sum, these findings strongly argue against the proposition that mice show biases toward perceptual history due to an unspecific response strategy.</w:t>
      </w:r>
    </w:p>
    <w:p>
      <w:r>
        <w:br w:type="page"/>
      </w:r>
    </w:p>
    <w:bookmarkEnd w:id="78"/>
    <w:bookmarkEnd w:id="79"/>
    <w:bookmarkStart w:id="83" w:name="supplemental-figure-s1"/>
    <w:p>
      <w:pPr>
        <w:pStyle w:val="Heading2"/>
      </w:pPr>
      <w:r>
        <w:t xml:space="preserve">Supplemental Figure S1</w:t>
      </w:r>
    </w:p>
    <w:p>
      <w:pPr>
        <w:pStyle w:val="FirstParagraph"/>
      </w:pPr>
      <w:r>
        <w:drawing>
          <wp:inline>
            <wp:extent cx="4620126" cy="3696101"/>
            <wp:effectExtent b="0" l="0" r="0" t="0"/>
            <wp:docPr descr="" title="" id="81" name="Picture"/>
            <a:graphic>
              <a:graphicData uri="http://schemas.openxmlformats.org/drawingml/2006/picture">
                <pic:pic>
                  <pic:nvPicPr>
                    <pic:cNvPr descr="modes_mouse_rev1b_files/figure-docx/Supplememtal_Figure_S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 Stimulus- and history-congruence.</w:t>
      </w:r>
    </w:p>
    <w:p>
      <w:pPr>
        <w:pStyle w:val="BodyText"/>
      </w:pPr>
      <w:r>
        <w:t xml:space="preserve">A. Stimulus-congruent choices in humans amounted to 73.46% ± 0.15% of trials and were highly consistent across the experiments selected from the Confidence Database.</w:t>
      </w:r>
    </w:p>
    <w:p>
      <w:pPr>
        <w:pStyle w:val="BodyText"/>
      </w:pPr>
      <w:r>
        <w:t xml:space="preserve">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w:t>
      </w:r>
    </w:p>
    <w:p>
      <w:pPr>
        <w:pStyle w:val="BodyText"/>
      </w:pPr>
      <w:r>
        <w:t xml:space="preserve">C. In humans, we found an enhanced impact of perceptual history in participants who were less sensitive to external sensory information (T(</w:t>
      </w:r>
      <m:oMath>
        <m:r>
          <m:t>4.3</m:t>
        </m:r>
        <m:r>
          <m:rPr>
            <m:sty m:val="p"/>
          </m:rPr>
          <m:t>×</m:t>
        </m:r>
        <m:sSup>
          <m:e>
            <m:r>
              <m:t>10</m:t>
            </m:r>
          </m:e>
          <m:sup>
            <m:r>
              <m:t>3</m:t>
            </m:r>
          </m:sup>
        </m:sSup>
      </m:oMath>
      <w:r>
        <w:t xml:space="preserve">) =</w:t>
      </w:r>
      <w:r>
        <w:t xml:space="preserve"> </w:t>
      </w:r>
      <m:oMath>
        <m:r>
          <m:rPr>
            <m:sty m:val="p"/>
          </m:rPr>
          <m:t>−</m:t>
        </m:r>
        <m:r>
          <m:t>14.27</m:t>
        </m:r>
      </m:oMath>
      <w:r>
        <w:t xml:space="preserve">, p =</w:t>
      </w:r>
      <w:r>
        <w:t xml:space="preserve"> </w:t>
      </w:r>
      <m:oMath>
        <m:r>
          <m:t>3.78</m:t>
        </m:r>
        <m:r>
          <m:rPr>
            <m:sty m:val="p"/>
          </m:rPr>
          <m:t>×</m:t>
        </m:r>
        <m:sSup>
          <m:e>
            <m:r>
              <m:t>10</m:t>
            </m:r>
          </m:e>
          <m:sup>
            <m:r>
              <m:rPr>
                <m:sty m:val="p"/>
              </m:rPr>
              <m:t>−</m:t>
            </m:r>
            <m:r>
              <m:t>45</m:t>
            </m:r>
          </m:sup>
        </m:sSup>
      </m:oMath>
      <w:r>
        <w:t xml:space="preserve">), suggesting that perception results from the competition of external with internal information.</w:t>
      </w:r>
    </w:p>
    <w:p>
      <w:pPr>
        <w:pStyle w:val="BodyText"/>
      </w:pPr>
      <w:r>
        <w:t xml:space="preserve">D. In analogy to humans, mice that were less sensitive to external sensory information showed stronger biases toward perceptual history (T(163) = -7.52, p =</w:t>
      </w:r>
      <w:r>
        <w:t xml:space="preserve"> </w:t>
      </w:r>
      <m:oMath>
        <m:r>
          <m:t>3.44</m:t>
        </m:r>
        <m:r>
          <m:rPr>
            <m:sty m:val="p"/>
          </m:rPr>
          <m:t>×</m:t>
        </m:r>
        <m:sSup>
          <m:e>
            <m:r>
              <m:t>10</m:t>
            </m:r>
          </m:e>
          <m:sup>
            <m:r>
              <m:rPr>
                <m:sty m:val="p"/>
              </m:rPr>
              <m:t>−</m:t>
            </m:r>
            <m:r>
              <m:t>12</m:t>
            </m:r>
          </m:sup>
        </m:sSup>
      </m:oMath>
      <w:r>
        <w:t xml:space="preserve">, Pearson correlation).</w:t>
      </w:r>
    </w:p>
    <w:p>
      <w:r>
        <w:br w:type="page"/>
      </w:r>
    </w:p>
    <w:bookmarkEnd w:id="83"/>
    <w:bookmarkStart w:id="87" w:name="supplemental-figure-s2"/>
    <w:p>
      <w:pPr>
        <w:pStyle w:val="Heading2"/>
      </w:pPr>
      <w:r>
        <w:t xml:space="preserve">Supplemental Figure S2</w:t>
      </w:r>
    </w:p>
    <w:p>
      <w:pPr>
        <w:pStyle w:val="FirstParagraph"/>
      </w:pPr>
      <w:r>
        <w:drawing>
          <wp:inline>
            <wp:extent cx="4620126" cy="3696101"/>
            <wp:effectExtent b="0" l="0" r="0" t="0"/>
            <wp:docPr descr="" title="" id="85" name="Picture"/>
            <a:graphic>
              <a:graphicData uri="http://schemas.openxmlformats.org/drawingml/2006/picture">
                <pic:pic>
                  <pic:nvPicPr>
                    <pic:cNvPr descr="modes_mouse_rev1b_files/figure-docx/Supplememtal_Figure_S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S2. Controlling for task difficulty and external stimulation.</w:t>
      </w:r>
    </w:p>
    <w:p>
      <w:pPr>
        <w:pStyle w:val="BodyText"/>
      </w:pPr>
      <w:r>
        <w:t xml:space="preserve">In this study, we found highly significant autocorrelations of stimulus- and history-congruence in humans as well as in mice, while controlling for task difficulty and the sequence of external stimulation.</w:t>
      </w:r>
      <w:r>
        <w:t xml:space="preserve"> </w:t>
      </w:r>
      <w:r>
        <w:rPr>
          <w:bCs/>
          <w:b/>
        </w:rPr>
        <w:t xml:space="preserve">Here, we confirm that the autocorrelations of stimulus- and history-congruence were not a trivial consequence of the experimental design or the addition of tast difficulty and external stimulation as control variables in the computation of group-level autocorrelations.</w:t>
      </w:r>
    </w:p>
    <w:p>
      <w:pPr>
        <w:pStyle w:val="BodyText"/>
      </w:pPr>
      <w:r>
        <w:t xml:space="preserve">A. In humans, task difficulty (in green) showed a significant autocorrelation starting at the 5th trial (upper panel, dots at the bottom indicate intercepts</w:t>
      </w:r>
      <w:r>
        <w:t xml:space="preserve"> </w:t>
      </w:r>
      <m:oMath>
        <m:r>
          <m:rPr>
            <m:sty m:val="p"/>
          </m:rPr>
          <m:t>≠</m:t>
        </m:r>
      </m:oMath>
      <w:r>
        <w:t xml:space="preserve"> </w:t>
      </w:r>
      <w:r>
        <w:t xml:space="preserve">0 in trial-wise linear mixed effects modeling at p &lt; 0.05).</w:t>
      </w:r>
      <w:r>
        <w:t xml:space="preserve"> </w:t>
      </w:r>
      <w:r>
        <w:t xml:space="preserve">When controlling for task difficulty only, linear mixed effects modeling indicated a significant autocorrelation of stimulus-congruence (in red) for the first 3 consecutive trials (middle panel).</w:t>
      </w:r>
      <w:r>
        <w:t xml:space="preserve"> </w:t>
      </w:r>
      <w:r>
        <w:t xml:space="preserve">20% of trials within the displayed time window remained significantly autocorrelated.</w:t>
      </w:r>
      <w:r>
        <w:t xml:space="preserve"> </w:t>
      </w:r>
      <w:r>
        <w:t xml:space="preserve">The autocorrelation of history-congruence (in blue) remained significant for the first 11 consecutive trials (64% significantly autocorrelated trials within the displayed time window).</w:t>
      </w:r>
      <w:r>
        <w:t xml:space="preserve"> </w:t>
      </w:r>
      <w:r>
        <w:t xml:space="preserve">At the level of individual participants, the autocorrelation of task difficulty exceeded the respective autocorrelation of randomly permuted within a lag of</w:t>
      </w:r>
      <w:r>
        <w:t xml:space="preserve"> </w:t>
      </w:r>
      <m:oMath>
        <m:r>
          <m:t>21.66</m:t>
        </m:r>
      </m:oMath>
      <w:r>
        <w:t xml:space="preserve"> </w:t>
      </w:r>
      <w:r>
        <w:t xml:space="preserve">±</w:t>
      </w:r>
      <w:r>
        <w:t xml:space="preserve"> </w:t>
      </w:r>
      <m:oMath>
        <m:r>
          <m:t>8.37</m:t>
        </m:r>
        <m:r>
          <m:rPr>
            <m:sty m:val="p"/>
          </m:rPr>
          <m:t>×</m:t>
        </m:r>
        <m:sSup>
          <m:e>
            <m:r>
              <m:t>10</m:t>
            </m:r>
          </m:e>
          <m:sup>
            <m:r>
              <m:rPr>
                <m:sty m:val="p"/>
              </m:rPr>
              <m:t>−</m:t>
            </m:r>
            <m:r>
              <m:t>3</m:t>
            </m:r>
          </m:sup>
        </m:sSup>
      </m:oMath>
      <w:r>
        <w:t xml:space="preserve"> </w:t>
      </w:r>
      <w:r>
        <w:t xml:space="preserve">trials (lower panel).</w:t>
      </w:r>
    </w:p>
    <w:p>
      <w:pPr>
        <w:pStyle w:val="BodyText"/>
      </w:pPr>
      <w:r>
        <w:t xml:space="preserve">B. In humans, the sequence of external stimulation (i.e., which of the two binary outcomes was supported by the presented stimuli; depicted in green) was negatively autocorrelated for 1 trial.</w:t>
      </w:r>
      <w:r>
        <w:t xml:space="preserve"> </w:t>
      </w:r>
      <w:r>
        <w:t xml:space="preserve">When controlling for the autocorrelation of external stimulation only, stimulus-congruence remained significantly autocorrelated for 22 consecutive trials (88% of trials within the displayed time window; lower panel)</w:t>
      </w:r>
      <w:r>
        <w:t xml:space="preserve"> </w:t>
      </w:r>
      <w:r>
        <w:t xml:space="preserve">and history-congruence remained significantly autocorrelated for 20 consecutive trials (84% of trials within the displayed time window).</w:t>
      </w:r>
      <w:r>
        <w:t xml:space="preserve"> </w:t>
      </w:r>
      <w:r>
        <w:t xml:space="preserve">At the level of individual participants, the autocorrelation of external stimulation exceeded the respective autocorrelation of randomly permuted within a lag of</w:t>
      </w:r>
      <w:r>
        <w:t xml:space="preserve"> </w:t>
      </w:r>
      <m:oMath>
        <m:r>
          <m:t>2.94</m:t>
        </m:r>
      </m:oMath>
      <w:r>
        <w:t xml:space="preserve"> </w:t>
      </w:r>
      <w:r>
        <w:t xml:space="preserve">±</w:t>
      </w:r>
      <w:r>
        <w:t xml:space="preserve"> </w:t>
      </w:r>
      <m:oMath>
        <m:r>
          <m:t>4.4</m:t>
        </m:r>
        <m:r>
          <m:rPr>
            <m:sty m:val="p"/>
          </m:rPr>
          <m:t>×</m:t>
        </m:r>
        <m:sSup>
          <m:e>
            <m:r>
              <m:t>10</m:t>
            </m:r>
          </m:e>
          <m:sup>
            <m:r>
              <m:rPr>
                <m:sty m:val="p"/>
              </m:rPr>
              <m:t>−</m:t>
            </m:r>
            <m:r>
              <m:t>3</m:t>
            </m:r>
          </m:sup>
        </m:sSup>
      </m:oMath>
      <w:r>
        <w:t xml:space="preserve"> </w:t>
      </w:r>
      <w:r>
        <w:t xml:space="preserve">consecutive trials (lower panel).</w:t>
      </w:r>
    </w:p>
    <w:p>
      <w:pPr>
        <w:pStyle w:val="BodyText"/>
      </w:pPr>
      <w:r>
        <w:t xml:space="preserve">C. In mice, task difficulty showed a significant autocorrelated for the first 25 consecutive trials (upper panel).</w:t>
      </w:r>
      <w:r>
        <w:t xml:space="preserve"> </w:t>
      </w:r>
      <w:r>
        <w:t xml:space="preserve">When controlling only for task difficulty only, linear mixed effects modeling indicated a significant autocorrelation of stimulus-congruence for the first 36 consecutive trials (middle panel).</w:t>
      </w:r>
      <w:r>
        <w:t xml:space="preserve"> </w:t>
      </w:r>
      <w:r>
        <w:t xml:space="preserve">In total, 100% of trials within the displayed time window remained significantly autocorrelated.</w:t>
      </w:r>
      <w:r>
        <w:t xml:space="preserve"> </w:t>
      </w:r>
      <w:r>
        <w:t xml:space="preserve">The autocorrelation of history-congruence remained significant for the first 8 consecutive trials, with 84% significantly autocorrelated trials within the displayed time window.</w:t>
      </w:r>
      <w:r>
        <w:t xml:space="preserve"> </w:t>
      </w:r>
      <w:r>
        <w:t xml:space="preserve">At the level of individual mice, autocorrelation coefficients for difficulty were elevated above randomly permuted data within a lag of 15.13 ± 0.19 consecutive trials (lower panel).</w:t>
      </w:r>
    </w:p>
    <w:p>
      <w:pPr>
        <w:pStyle w:val="BodyText"/>
      </w:pPr>
      <w:r>
        <w:t xml:space="preserve">D. In mice, the sequence of external stimulation (i.e., which of the two binary outcomes was supported by the presented stimuli) was negatively autocorrelated for 11 consecutive trials (upper panel).</w:t>
      </w:r>
      <w:r>
        <w:t xml:space="preserve"> </w:t>
      </w:r>
      <w:r>
        <w:t xml:space="preserve">When controlling only for the autocorrelation of external stimulation, stimulus-congruence remained significantly autocorrelated for 86 consecutive trials (100% of trials within the displayed time window; middle)</w:t>
      </w:r>
      <w:r>
        <w:t xml:space="preserve"> </w:t>
      </w:r>
      <w:r>
        <w:t xml:space="preserve">and history-congruence remained significantly autocorrelated for 8 consecutive trials (84% of trials within the displayed time window).</w:t>
      </w:r>
      <w:r>
        <w:t xml:space="preserve"> </w:t>
      </w:r>
      <w:r>
        <w:t xml:space="preserve">At the level of individual mice, autocorrelation coefficients for external stimulation were elevated above randomly permuted data within a lag of</w:t>
      </w:r>
      <w:r>
        <w:t xml:space="preserve"> </w:t>
      </w:r>
      <m:oMath>
        <m:r>
          <m:t>2.53</m:t>
        </m:r>
      </m:oMath>
      <w:r>
        <w:t xml:space="preserve"> </w:t>
      </w:r>
      <w:r>
        <w:t xml:space="preserve">±</w:t>
      </w:r>
      <w:r>
        <w:t xml:space="preserve"> </w:t>
      </w:r>
      <m:oMath>
        <m:r>
          <m:t>9.8</m:t>
        </m:r>
        <m:r>
          <m:rPr>
            <m:sty m:val="p"/>
          </m:rPr>
          <m:t>×</m:t>
        </m:r>
        <m:sSup>
          <m:e>
            <m:r>
              <m:t>10</m:t>
            </m:r>
          </m:e>
          <m:sup>
            <m:r>
              <m:rPr>
                <m:sty m:val="p"/>
              </m:rPr>
              <m:t>−</m:t>
            </m:r>
            <m:r>
              <m:t>3</m:t>
            </m:r>
          </m:sup>
        </m:sSup>
      </m:oMath>
      <w:r>
        <w:t xml:space="preserve"> </w:t>
      </w:r>
      <w:r>
        <w:t xml:space="preserve">consecutive trials (lower panel).</w:t>
      </w:r>
    </w:p>
    <w:p>
      <w:r>
        <w:br w:type="page"/>
      </w:r>
    </w:p>
    <w:bookmarkEnd w:id="87"/>
    <w:bookmarkStart w:id="91" w:name="supplemental-figure-s3"/>
    <w:p>
      <w:pPr>
        <w:pStyle w:val="Heading2"/>
      </w:pPr>
      <w:r>
        <w:t xml:space="preserve">Supplemental Figure S3</w:t>
      </w:r>
    </w:p>
    <w:p>
      <w:pPr>
        <w:pStyle w:val="FirstParagraph"/>
      </w:pPr>
      <w:r>
        <w:drawing>
          <wp:inline>
            <wp:extent cx="4620126" cy="3696101"/>
            <wp:effectExtent b="0" l="0" r="0" t="0"/>
            <wp:docPr descr="" title="" id="89" name="Picture"/>
            <a:graphic>
              <a:graphicData uri="http://schemas.openxmlformats.org/drawingml/2006/picture">
                <pic:pic>
                  <pic:nvPicPr>
                    <pic:cNvPr descr="modes_mouse_rev1b_files/figure-docx/Supplememtal_Figure_S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S3. Reproducing group-level autocorrelations using logistic regression.</w:t>
      </w:r>
    </w:p>
    <w:p>
      <w:pPr>
        <w:pStyle w:val="BodyText"/>
      </w:pPr>
      <w:r>
        <w:t xml:space="preserve">A. As an alternative to group-level autocorrelation coefficients, we used trial-wise logistic regression to quantify serial dependencies in stimulus- and history-congruence. This analysis predicted stimulus- and history-congruence at the index trial (trial</w:t>
      </w:r>
      <w:r>
        <w:t xml:space="preserve"> </w:t>
      </w:r>
      <m:oMath>
        <m:r>
          <m:t>t</m:t>
        </m:r>
        <m:r>
          <m:rPr>
            <m:sty m:val="p"/>
          </m:rPr>
          <m:t>=</m:t>
        </m:r>
        <m:r>
          <m:t>0</m:t>
        </m:r>
      </m:oMath>
      <w: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w:t>
      </w:r>
      <w:r>
        <w:t xml:space="preserve"> </w:t>
      </w:r>
      <m:oMath>
        <m:r>
          <m:t>t</m:t>
        </m:r>
        <m:r>
          <m:rPr>
            <m:sty m:val="p"/>
          </m:rPr>
          <m:t>=</m:t>
        </m:r>
        <m:r>
          <m:t>0</m:t>
        </m:r>
      </m:oMath>
      <w:r>
        <w:t xml:space="preserve"> </w:t>
      </w:r>
      <w:r>
        <w:t xml:space="preserve">for the human data.</w:t>
      </w:r>
    </w:p>
    <w:p>
      <w:pPr>
        <w:pStyle w:val="BodyText"/>
      </w:pPr>
      <w:r>
        <w:t xml:space="preserve">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Figure 3B) at trial -2. This was due to the experimental design (see also the autocorrelations of difficulty and external stimulation in Supplemental Figure S2C and D): When mice made errors at easy trials (contrast</w:t>
      </w:r>
      <w:r>
        <w:t xml:space="preserve"> </w:t>
      </w:r>
      <m:oMath>
        <m:r>
          <m:rPr>
            <m:sty m:val="p"/>
          </m:rPr>
          <m:t>≥</m:t>
        </m:r>
      </m:oMath>
      <w:r>
        <w:t xml:space="preserve"> </w:t>
      </w:r>
      <w:r>
        <w:t xml:space="preserve">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r>
        <w:br w:type="page"/>
      </w:r>
    </w:p>
    <w:bookmarkEnd w:id="91"/>
    <w:bookmarkStart w:id="95" w:name="supplemental-figure-s4"/>
    <w:p>
      <w:pPr>
        <w:pStyle w:val="Heading2"/>
      </w:pPr>
      <w:r>
        <w:t xml:space="preserve">Supplemental Figure S4</w:t>
      </w:r>
    </w:p>
    <w:p>
      <w:pPr>
        <w:pStyle w:val="FirstParagraph"/>
      </w:pPr>
      <w:r>
        <w:drawing>
          <wp:inline>
            <wp:extent cx="4620126" cy="3696101"/>
            <wp:effectExtent b="0" l="0" r="0" t="0"/>
            <wp:docPr descr="" title="" id="93" name="Picture"/>
            <a:graphic>
              <a:graphicData uri="http://schemas.openxmlformats.org/drawingml/2006/picture">
                <pic:pic>
                  <pic:nvPicPr>
                    <pic:cNvPr descr="modes_mouse_rev1b_files/figure-docx/Supplememtal_Figure_S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S4. History-congruence in logistic regression.</w:t>
      </w:r>
    </w:p>
    <w:p>
      <w:pPr>
        <w:pStyle w:val="BodyText"/>
      </w:pPr>
      <w:r>
        <w:t xml:space="preserve">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m:oMath>
        <m:r>
          <m:t>57.22</m:t>
        </m:r>
      </m:oMath>
      <w:r>
        <w:t xml:space="preserve">) =</w:t>
      </w:r>
      <w:r>
        <w:t xml:space="preserve"> </w:t>
      </w:r>
      <m:oMath>
        <m:r>
          <m:t>4.1</m:t>
        </m:r>
      </m:oMath>
      <w:r>
        <w:t xml:space="preserve">, p =</w:t>
      </w:r>
      <w:r>
        <w:t xml:space="preserve"> </w:t>
      </w:r>
      <m:oMath>
        <m:r>
          <m:t>1.31</m:t>
        </m:r>
        <m:r>
          <m:rPr>
            <m:sty m:val="p"/>
          </m:rPr>
          <m:t>×</m:t>
        </m:r>
        <m:sSup>
          <m:e>
            <m:r>
              <m:t>10</m:t>
            </m:r>
          </m:e>
          <m:sup>
            <m:r>
              <m:rPr>
                <m:sty m:val="p"/>
              </m:rPr>
              <m:t>−</m:t>
            </m:r>
            <m:r>
              <m:t>4</m:t>
            </m:r>
          </m:sup>
        </m:sSup>
      </m:oMath>
      <w:r>
        <w:t xml:space="preserve">).</w:t>
      </w:r>
    </w:p>
    <w:p>
      <w:pPr>
        <w:pStyle w:val="BodyText"/>
      </w:pPr>
      <w:r>
        <w:t xml:space="preserve">B. Participant-wise regression coefficients amount to 0.18 ± 0.02 for the effect of perceptual history and 2.51 ± 0.03 for external sensory stimulation.</w:t>
      </w:r>
    </w:p>
    <w:p>
      <w:pPr>
        <w:pStyle w:val="BodyText"/>
      </w:pPr>
      <w:r>
        <w:t xml:space="preserve">C. In mice, an AIC-based model comparison indicated that perception was better explained by logistic regression models that predicted trial-wise perceptual responses based on both current external sensory information and the preceding percept (difference in AIC = 88.62 ± 8.57, T(</w:t>
      </w:r>
      <m:oMath>
        <m:r>
          <m:t>164</m:t>
        </m:r>
      </m:oMath>
      <w:r>
        <w:t xml:space="preserve">) =</w:t>
      </w:r>
      <w:r>
        <w:t xml:space="preserve"> </w:t>
      </w:r>
      <m:oMath>
        <m:r>
          <m:rPr>
            <m:sty m:val="p"/>
          </m:rPr>
          <m:t>−</m:t>
        </m:r>
        <m:r>
          <m:t>10.34</m:t>
        </m:r>
      </m:oMath>
      <w:r>
        <w:t xml:space="preserve">, p =</w:t>
      </w:r>
      <w:r>
        <w:t xml:space="preserve"> </w:t>
      </w:r>
      <m:oMath>
        <m:r>
          <m:t>1.29</m:t>
        </m:r>
        <m:r>
          <m:rPr>
            <m:sty m:val="p"/>
          </m:rPr>
          <m:t>×</m:t>
        </m:r>
        <m:sSup>
          <m:e>
            <m:r>
              <m:t>10</m:t>
            </m:r>
          </m:e>
          <m:sup>
            <m:r>
              <m:rPr>
                <m:sty m:val="p"/>
              </m:rPr>
              <m:t>−</m:t>
            </m:r>
            <m:r>
              <m:t>19</m:t>
            </m:r>
          </m:sup>
        </m:sSup>
      </m:oMath>
      <w:r>
        <w:t xml:space="preserve">).</w:t>
      </w:r>
    </w:p>
    <w:p>
      <w:pPr>
        <w:pStyle w:val="BodyText"/>
      </w:pPr>
      <w:r>
        <w:t xml:space="preserve">D. In mice, individual regression coefficients amounted to 0.42 ± 0.02 for the effect of perceptual history and 6.91 ± 0.21 for external sensory stimulation.</w:t>
      </w:r>
    </w:p>
    <w:p>
      <w:r>
        <w:br w:type="page"/>
      </w:r>
    </w:p>
    <w:bookmarkEnd w:id="95"/>
    <w:bookmarkStart w:id="99" w:name="supplemental-figure-s5"/>
    <w:p>
      <w:pPr>
        <w:pStyle w:val="Heading2"/>
      </w:pPr>
      <w:r>
        <w:t xml:space="preserve">Supplemental Figure S5</w:t>
      </w:r>
    </w:p>
    <w:p>
      <w:pPr>
        <w:pStyle w:val="FirstParagraph"/>
      </w:pPr>
      <w:r>
        <w:drawing>
          <wp:inline>
            <wp:extent cx="4620126" cy="3696101"/>
            <wp:effectExtent b="0" l="0" r="0" t="0"/>
            <wp:docPr descr="" title="" id="97" name="Picture"/>
            <a:graphic>
              <a:graphicData uri="http://schemas.openxmlformats.org/drawingml/2006/picture">
                <pic:pic>
                  <pic:nvPicPr>
                    <pic:cNvPr descr="modes_mouse_rev1b_files/figure-docx/Supplemental_Figure_S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S5. Correcting for general response biases.</w:t>
      </w:r>
    </w:p>
    <w:p>
      <w:pPr>
        <w:pStyle w:val="BodyText"/>
      </w:pPr>
      <w:r>
        <w:t xml:space="preserve">Here, we ask whether the autocorrelation of history-congruence (as shown in Figure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Figure 2-3C) is not driven by general response biases that were present in the empirical data at a level of 58.71% ± 0.22% in humans and 54.6% ± 0.3% in mice.</w:t>
      </w:r>
    </w:p>
    <w:p>
      <w:r>
        <w:br w:type="page"/>
      </w:r>
    </w:p>
    <w:bookmarkEnd w:id="99"/>
    <w:bookmarkStart w:id="103" w:name="supplemental-figure-s6"/>
    <w:p>
      <w:pPr>
        <w:pStyle w:val="Heading2"/>
      </w:pPr>
      <w:r>
        <w:t xml:space="preserve">Supplemental Figure S6</w:t>
      </w:r>
    </w:p>
    <w:p>
      <w:pPr>
        <w:pStyle w:val="FirstParagraph"/>
      </w:pPr>
      <w:r>
        <w:drawing>
          <wp:inline>
            <wp:extent cx="4620126" cy="3696101"/>
            <wp:effectExtent b="0" l="0" r="0" t="0"/>
            <wp:docPr descr="" title="" id="101" name="Picture"/>
            <a:graphic>
              <a:graphicData uri="http://schemas.openxmlformats.org/drawingml/2006/picture">
                <pic:pic>
                  <pic:nvPicPr>
                    <pic:cNvPr descr="modes_mouse_rev1b_files/figure-docx/Supplemental_Figure_S6-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S6. Full and history-conditioned psychometric functions across modes in humans.</w:t>
      </w:r>
    </w:p>
    <w:p>
      <w:pPr>
        <w:pStyle w:val="BodyText"/>
      </w:pPr>
      <w:r>
        <w:t xml:space="preserve">A. Here, we show average psychometric functions for the full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lower panel).</w:t>
      </w:r>
    </w:p>
    <w:p>
      <w:pPr>
        <w:pStyle w:val="BodyText"/>
      </w:pPr>
      <w:r>
        <w:t xml:space="preserve">C. Lapse rates were higher in internal mode as compared to external mode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 see upper panel and subplot D).</w:t>
      </w:r>
      <w:r>
        <w:t xml:space="preserve"> </w:t>
      </w:r>
      <w:r>
        <w:t xml:space="preserve">Importantly, the between-mode difference in lapses depended on perceptual history: We found no significant difference in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 middle panel),</w:t>
      </w:r>
      <w:r>
        <w:t xml:space="preserve"> </w:t>
      </w:r>
      <w:r>
        <w:t xml:space="preserve">but a significant difference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 lower panel).</w:t>
      </w:r>
    </w:p>
    <w:p>
      <w:pPr>
        <w:pStyle w:val="BodyText"/>
      </w:pPr>
      <w:r>
        <w:t xml:space="preserve">D. Conversely, higher lapses</w:t>
      </w:r>
      <w:r>
        <w:t xml:space="preserve"> </w:t>
      </w:r>
      <m:oMath>
        <m:r>
          <m:t>δ</m:t>
        </m:r>
      </m:oMath>
      <w:r>
        <w:t xml:space="preserve"> </w:t>
      </w:r>
      <w:r>
        <w:t xml:space="preserve">were significantly increased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 middle panel),</w:t>
      </w:r>
      <w:r>
        <w:t xml:space="preserve"> </w:t>
      </w:r>
      <w:r>
        <w:t xml:space="preserve">but not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 lower panel).</w:t>
      </w:r>
    </w:p>
    <w:p>
      <w:pPr>
        <w:pStyle w:val="BodyText"/>
      </w:pPr>
      <w:r>
        <w:t xml:space="preserve">E. The thresholds</w:t>
      </w:r>
      <w:r>
        <w:t xml:space="preserve"> </w:t>
      </w:r>
      <m:oMath>
        <m:r>
          <m:t>t</m:t>
        </m:r>
      </m:oMath>
      <w:r>
        <w:t xml:space="preserve"> </w:t>
      </w:r>
      <w:r>
        <w:t xml:space="preserve">were larger in internal as compared to external mode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 and 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p>
      <w:r>
        <w:br w:type="page"/>
      </w:r>
    </w:p>
    <w:bookmarkEnd w:id="103"/>
    <w:bookmarkStart w:id="107" w:name="supplemental-figure-s7"/>
    <w:p>
      <w:pPr>
        <w:pStyle w:val="Heading2"/>
      </w:pPr>
      <w:r>
        <w:t xml:space="preserve">Supplemental Figure S7</w:t>
      </w:r>
    </w:p>
    <w:p>
      <w:pPr>
        <w:pStyle w:val="FirstParagraph"/>
      </w:pPr>
      <w:r>
        <w:drawing>
          <wp:inline>
            <wp:extent cx="4620126" cy="3696101"/>
            <wp:effectExtent b="0" l="0" r="0" t="0"/>
            <wp:docPr descr="" title="" id="105" name="Picture"/>
            <a:graphic>
              <a:graphicData uri="http://schemas.openxmlformats.org/drawingml/2006/picture">
                <pic:pic>
                  <pic:nvPicPr>
                    <pic:cNvPr descr="modes_mouse_rev1b_files/figure-docx/Supplemental_Figure_S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S7. Full and history-conditioned psychometric functions across modes in mice.</w:t>
      </w:r>
    </w:p>
    <w:p>
      <w:pPr>
        <w:pStyle w:val="BodyText"/>
      </w:pPr>
      <w:r>
        <w:t xml:space="preserve">A. Here, we show average psychometric functions for the full IBL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(T(164) = 0.39, p =</w:t>
      </w:r>
      <w:r>
        <w:t xml:space="preserve"> </w:t>
      </w:r>
      <m:oMath>
        <m:r>
          <m:t>0.69</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(T(164) = -1.99, p =</w:t>
      </w:r>
      <w:r>
        <w:t xml:space="preserve"> </w:t>
      </w:r>
      <m:oMath>
        <m:r>
          <m:t>0.05</m:t>
        </m:r>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(T(164) = 1.91, p =</w:t>
      </w:r>
      <w:r>
        <w:t xml:space="preserve"> </w:t>
      </w:r>
      <m:oMath>
        <m:r>
          <m:t>0.06</m:t>
        </m:r>
      </m:oMath>
      <w:r>
        <w:t xml:space="preserve">; lower panel).</w:t>
      </w:r>
    </w:p>
    <w:p>
      <w:pPr>
        <w:pStyle w:val="BodyText"/>
      </w:pPr>
      <w:r>
        <w:t xml:space="preserve">C. Lapse rates were higher in internal as compared to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 upper panel, see subplot D).</w:t>
      </w:r>
      <w:r>
        <w:t xml:space="preserve"> </w:t>
      </w:r>
      <w:r>
        <w:t xml:space="preserve">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(T(164) = -18.24, p =</w:t>
      </w:r>
      <w:r>
        <w:t xml:space="preserve"> </w:t>
      </w:r>
      <m:oMath>
        <m:r>
          <m:t>2.68</m:t>
        </m:r>
        <m:r>
          <m:rPr>
            <m:sty m:val="p"/>
          </m:rPr>
          <m:t>×</m:t>
        </m:r>
        <m:sSup>
          <m:e>
            <m:r>
              <m:t>10</m:t>
            </m:r>
          </m:e>
          <m:sup>
            <m:r>
              <m:rPr>
                <m:sty m:val="p"/>
              </m:rPr>
              <m:t>−</m:t>
            </m:r>
            <m:r>
              <m:t>41</m:t>
            </m:r>
          </m:sup>
        </m:sSup>
      </m:oMath>
      <w:r>
        <w:t xml:space="preserve">) as compared to higher lapses</w:t>
      </w:r>
      <w:r>
        <w:t xml:space="preserve"> </w:t>
      </w:r>
      <m:oMath>
        <m:r>
          <m:t>δ</m:t>
        </m:r>
      </m:oMath>
      <w:r>
        <w:t xml:space="preserve"> </w:t>
      </w:r>
      <w:r>
        <w:t xml:space="preserve">(see subplot D).</w:t>
      </w:r>
      <w:r>
        <w:t xml:space="preserve"> </w:t>
      </w:r>
      <w:r>
        <w:t xml:space="preserve">In mice, lower lapses</w:t>
      </w:r>
      <w:r>
        <w:t xml:space="preserve"> </w:t>
      </w:r>
      <m:oMath>
        <m:r>
          <m:t>γ</m:t>
        </m:r>
      </m:oMath>
      <w:r>
        <w:t xml:space="preserve"> </w:t>
      </w:r>
      <w:r>
        <w:t xml:space="preserve">were significantly elevated during internal mode irrespective of the preceding perceptual choice</w:t>
      </w:r>
      <w:r>
        <w:t xml:space="preserve"> </w:t>
      </w:r>
      <w:r>
        <w:t xml:space="preserve">(middle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r>
        <w:t xml:space="preserve"> </w:t>
      </w:r>
      <w:r>
        <w:t xml:space="preserve">lower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p>
    <w:p>
      <w:pPr>
        <w:pStyle w:val="BodyText"/>
      </w:pPr>
      <w:r>
        <w:t xml:space="preserve">D. 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 21.44, p =</w:t>
      </w:r>
      <w:r>
        <w:t xml:space="preserve"> </w:t>
      </w:r>
      <m:oMath>
        <m:r>
          <m:t>1.93</m:t>
        </m:r>
        <m:r>
          <m:rPr>
            <m:sty m:val="p"/>
          </m:rPr>
          <m:t>×</m:t>
        </m:r>
        <m:sSup>
          <m:e>
            <m:r>
              <m:t>10</m:t>
            </m:r>
          </m:e>
          <m:sup>
            <m:r>
              <m:rPr>
                <m:sty m:val="p"/>
              </m:rPr>
              <m:t>−</m:t>
            </m:r>
            <m:r>
              <m:t>49</m:t>
            </m:r>
          </m:sup>
        </m:sSup>
      </m:oMath>
      <w:r>
        <w:t xml:space="preserve">, see subplot C). Higher lapses were significantly elevated during internal mode irrespective of the preceding perceptual choice</w:t>
      </w:r>
      <w:r>
        <w:t xml:space="preserve"> </w:t>
      </w:r>
      <w:r>
        <w:t xml:space="preserve">(middle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 </w:t>
      </w:r>
      <w:r>
        <w:t xml:space="preserve">lower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w:t>
      </w:r>
    </w:p>
    <w:p>
      <w:pPr>
        <w:pStyle w:val="BodyText"/>
      </w:pPr>
      <w:r>
        <w:t xml:space="preserve">E. Thresholds</w:t>
      </w:r>
      <w:r>
        <w:t xml:space="preserve"> </w:t>
      </w:r>
      <m:oMath>
        <m:r>
          <m:t>t</m:t>
        </m:r>
      </m:oMath>
      <w:r>
        <w:t xml:space="preserve"> </w:t>
      </w:r>
      <w:r>
        <w:t xml:space="preserve">were higher in internal as compared to external mode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 and were not modulated by perceptual history (T(164) = 0.94, p =</w:t>
      </w:r>
      <w:r>
        <w:t xml:space="preserve"> </w:t>
      </w:r>
      <m:oMath>
        <m:r>
          <m:t>0.35</m:t>
        </m:r>
      </m:oMath>
      <w:r>
        <w:t xml:space="preserve">).</w:t>
      </w:r>
    </w:p>
    <w:p>
      <w:r>
        <w:br w:type="page"/>
      </w:r>
    </w:p>
    <w:bookmarkEnd w:id="107"/>
    <w:bookmarkStart w:id="111" w:name="supplemental-figure-s8"/>
    <w:p>
      <w:pPr>
        <w:pStyle w:val="Heading2"/>
      </w:pPr>
      <w:r>
        <w:t xml:space="preserve">Supplemental Figure S8</w:t>
      </w:r>
    </w:p>
    <w:p>
      <w:pPr>
        <w:pStyle w:val="FirstParagraph"/>
      </w:pPr>
      <w:r>
        <w:drawing>
          <wp:inline>
            <wp:extent cx="4620126" cy="3696101"/>
            <wp:effectExtent b="0" l="0" r="0" t="0"/>
            <wp:docPr descr="" title="" id="109" name="Picture"/>
            <a:graphic>
              <a:graphicData uri="http://schemas.openxmlformats.org/drawingml/2006/picture">
                <pic:pic>
                  <pic:nvPicPr>
                    <pic:cNvPr descr="modes_mouse_rev1b_files/figure-docx/Supplemental_Figure_S8-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S8. History-/stimulus-congruence and TDs during training of the basic task.</w:t>
      </w:r>
    </w:p>
    <w:p>
      <w:pPr>
        <w:pStyle w:val="BodyText"/>
      </w:pPr>
      <w:r>
        <w:t xml:space="preserve">Here, we depict the progression of history- and stimulus-congruence (depicted in blue and red, respectively; left panel) as well as TDs (in green; right panel) across training sessions in mice that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t xml:space="preserve"> </w:t>
      </w:r>
      <w:r>
        <w:t xml:space="preserve">We found that both history-congruent perceptual choices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w:t>
      </w:r>
      <w:r>
        <w:t xml:space="preserve"> </w:t>
      </w:r>
      <w:r>
        <w:t xml:space="preserve">and stimulus-congruent perceptual choices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became more frequent with training.</w:t>
      </w:r>
      <w:r>
        <w:t xml:space="preserve"> </w:t>
      </w:r>
      <w:r>
        <w:t xml:space="preserve">As in humans, mice showed shorter TDs with increased exposure to the task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p>
    <w:p>
      <w:r>
        <w:br w:type="page"/>
      </w:r>
    </w:p>
    <w:bookmarkEnd w:id="111"/>
    <w:bookmarkStart w:id="115" w:name="supplemental-figure-s9"/>
    <w:p>
      <w:pPr>
        <w:pStyle w:val="Heading2"/>
      </w:pPr>
      <w:r>
        <w:t xml:space="preserve">Supplemental Figure S9</w:t>
      </w:r>
    </w:p>
    <w:p>
      <w:pPr>
        <w:pStyle w:val="FirstParagraph"/>
      </w:pPr>
      <w:r>
        <w:drawing>
          <wp:inline>
            <wp:extent cx="4620126" cy="3696101"/>
            <wp:effectExtent b="0" l="0" r="0" t="0"/>
            <wp:docPr descr="" title="" id="113" name="Picture"/>
            <a:graphic>
              <a:graphicData uri="http://schemas.openxmlformats.org/drawingml/2006/picture">
                <pic:pic>
                  <pic:nvPicPr>
                    <pic:cNvPr descr="modes_mouse_rev1b_files/figure-docx/Supplemental_Figure_S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Supplemental Figure S9. Comparison of the bimodal inference model against reduced control models.</w:t>
      </w:r>
    </w:p>
    <w:p>
      <w:pPr>
        <w:pStyle w:val="BodyText"/>
      </w:pPr>
      <w:r>
        <w:rPr>
          <w:bCs/>
          <w:b/>
        </w:rPr>
        <w:t xml:space="preserve">A. Group-level AIC. The bimodal inference model (M1)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w:t>
      </w:r>
    </w:p>
    <w:p>
      <w:pPr>
        <w:pStyle w:val="BodyText"/>
      </w:pPr>
      <w:r>
        <w:rPr>
          <w:bCs/>
          <w:b/>
        </w:rPr>
        <w:t xml:space="preserve">B. Subject-level AIC. Here, we show the distribution of AIC values at the subject-level. AIC for the bimodal inference model tended to be smaller than AIC for the comparator models (statistical comparison to the second-best model M2 in humans:</w:t>
      </w:r>
      <w:r>
        <w:rPr>
          <w:bCs/>
          <w:b/>
        </w:rPr>
        <w:t xml:space="preserve"> </w:t>
      </w:r>
      <m:oMath>
        <m:r>
          <m:t>β</m:t>
        </m:r>
      </m:oMath>
      <w:r>
        <w:rPr>
          <w:bCs/>
          <w:b/>
        </w:rPr>
        <w:t xml:space="preserve"> </w:t>
      </w:r>
      <w:r>
        <w:rPr>
          <w:bCs/>
          <w:b/>
        </w:rPr>
        <w:t xml:space="preserve">=</w:t>
      </w:r>
      <w:r>
        <w:rPr>
          <w:bCs/>
          <w:b/>
        </w:rPr>
        <w:t xml:space="preserve"> </w:t>
      </w:r>
      <m:oMath>
        <m:r>
          <m:rPr>
            <m:sty m:val="p"/>
          </m:rPr>
          <m:t>−</m:t>
        </m:r>
        <m:r>
          <m:t>1.81</m:t>
        </m:r>
      </m:oMath>
      <w:r>
        <w:rPr>
          <w:bCs/>
          <w:b/>
        </w:rPr>
        <w:t xml:space="preserve"> </w:t>
      </w:r>
      <w:r>
        <w:rPr>
          <w:bCs/>
          <w:b/>
        </w:rPr>
        <w:t xml:space="preserve">±</w:t>
      </w:r>
      <w:r>
        <w:rPr>
          <w:bCs/>
          <w:b/>
        </w:rPr>
        <w:t xml:space="preserve"> </w:t>
      </w:r>
      <m:oMath>
        <m:r>
          <m:t>0.27</m:t>
        </m:r>
      </m:oMath>
      <w:r>
        <w:rPr>
          <w:bCs/>
          <w:b/>
        </w:rPr>
        <w:t xml:space="preserve">, T(</w:t>
      </w:r>
      <m:oMath>
        <m:r>
          <m:t>5.07</m:t>
        </m:r>
        <m:r>
          <m:rPr>
            <m:sty m:val="p"/>
          </m:rPr>
          <m:t>×</m:t>
        </m:r>
        <m:sSup>
          <m:e>
            <m:r>
              <m:t>10</m:t>
            </m:r>
          </m:e>
          <m:sup>
            <m:r>
              <m:t>3</m:t>
            </m:r>
          </m:sup>
        </m:sSup>
      </m:oMath>
      <w:r>
        <w:rPr>
          <w:bCs/>
          <w:b/>
        </w:rPr>
        <w:t xml:space="preserve">) =</w:t>
      </w:r>
      <w:r>
        <w:rPr>
          <w:bCs/>
          <w:b/>
        </w:rPr>
        <w:t xml:space="preserve"> </w:t>
      </w:r>
      <m:oMath>
        <m:r>
          <m:rPr>
            <m:sty m:val="p"/>
          </m:rPr>
          <m:t>−</m:t>
        </m:r>
        <m:r>
          <m:t>6.82</m:t>
        </m:r>
      </m:oMath>
      <w:r>
        <w:rPr>
          <w:bCs/>
          <w:b/>
        </w:rPr>
        <w:t xml:space="preserve">, p =</w:t>
      </w:r>
      <w:r>
        <w:rPr>
          <w:bCs/>
          <w:b/>
        </w:rPr>
        <w:t xml:space="preserve"> </w:t>
      </w:r>
      <m:oMath>
        <m:r>
          <m:t>1.02</m:t>
        </m:r>
        <m:r>
          <m:rPr>
            <m:sty m:val="p"/>
          </m:rPr>
          <m:t>×</m:t>
        </m:r>
        <m:sSup>
          <m:e>
            <m:r>
              <m:t>10</m:t>
            </m:r>
          </m:e>
          <m:sup>
            <m:r>
              <m:rPr>
                <m:sty m:val="p"/>
              </m:rPr>
              <m:t>−</m:t>
            </m:r>
            <m:r>
              <m:t>11</m:t>
            </m:r>
          </m:sup>
        </m:sSup>
      </m:oMath>
      <w:r>
        <w:rPr>
          <w:bCs/>
          <w:b/>
        </w:rPr>
        <w:t xml:space="preserve">; mice: T(</w:t>
      </w:r>
      <m:oMath>
        <m:r>
          <m:t>1.5</m:t>
        </m:r>
        <m:r>
          <m:rPr>
            <m:sty m:val="p"/>
          </m:rPr>
          <m:t>×</m:t>
        </m:r>
        <m:sSup>
          <m:e>
            <m:r>
              <m:t>10</m:t>
            </m:r>
          </m:e>
          <m:sup>
            <m:r>
              <m:t>3</m:t>
            </m:r>
          </m:sup>
        </m:sSup>
      </m:oMath>
      <w:r>
        <w:rPr>
          <w:bCs/>
          <w:b/>
        </w:rPr>
        <w:t xml:space="preserve">) = -6.28, p =</w:t>
      </w:r>
      <w:r>
        <w:rPr>
          <w:bCs/>
          <w:b/>
        </w:rPr>
        <w:t xml:space="preserve"> </w:t>
      </w:r>
      <m:oMath>
        <m:r>
          <m:t>4.38</m:t>
        </m:r>
        <m:r>
          <m:rPr>
            <m:sty m:val="p"/>
          </m:rPr>
          <m:t>×</m:t>
        </m:r>
        <m:sSup>
          <m:e>
            <m:r>
              <m:t>10</m:t>
            </m:r>
          </m:e>
          <m:sup>
            <m:r>
              <m:rPr>
                <m:sty m:val="p"/>
              </m:rPr>
              <m:t>−</m:t>
            </m:r>
            <m:r>
              <m:t>10</m:t>
            </m:r>
          </m:sup>
        </m:sSup>
      </m:oMath>
      <w:r>
        <w:rPr>
          <w:bCs/>
          <w:b/>
        </w:rPr>
        <w:t xml:space="preserve">).</w:t>
      </w:r>
    </w:p>
    <w:p>
      <w:r>
        <w:br w:type="page"/>
      </w:r>
    </w:p>
    <w:bookmarkEnd w:id="115"/>
    <w:bookmarkStart w:id="119" w:name="supplemental-figure-s10"/>
    <w:p>
      <w:pPr>
        <w:pStyle w:val="Heading2"/>
      </w:pPr>
      <w:r>
        <w:t xml:space="preserve">Supplemental Figure S10</w:t>
      </w:r>
    </w:p>
    <w:p>
      <w:pPr>
        <w:pStyle w:val="FirstParagraph"/>
      </w:pPr>
      <w:r>
        <w:drawing>
          <wp:inline>
            <wp:extent cx="4620126" cy="3696101"/>
            <wp:effectExtent b="0" l="0" r="0" t="0"/>
            <wp:docPr descr="" title="" id="117" name="Picture"/>
            <a:graphic>
              <a:graphicData uri="http://schemas.openxmlformats.org/drawingml/2006/picture">
                <pic:pic>
                  <pic:nvPicPr>
                    <pic:cNvPr descr="modes_mouse_rev1b_files/figure-docx/Supplemental_Figure_S10-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S10. Reduced Control Model M2: Only oscillation of the likelihood.</w:t>
      </w:r>
      <w:r>
        <w:t xml:space="preserve"> </w:t>
      </w:r>
      <w:r>
        <w:t xml:space="preserve">When simulating data for the</w:t>
      </w:r>
      <w:r>
        <w:t xml:space="preserve"> </w:t>
      </w:r>
      <w:r>
        <w:rPr>
          <w:iCs/>
          <w:i/>
        </w:rPr>
        <w:t xml:space="preserve">likelihood-oscillation-only model</w:t>
      </w:r>
      <w:r>
        <w:t xml:space="preserve">, we removed the oscillation from the prior term by setting the amplitude</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L</m:t>
            </m:r>
            <m:r>
              <m:t>L</m:t>
            </m:r>
            <m:r>
              <m:t>R</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M1 (Figure 1F and Figure 4), simulated perceptual choices were stimulus-congruent in 71.97% ± 0.17% of trials (in red). History-congruent amounted to 50.76% ± 0.07% of trials (in blue). As in the full model, the likelihood-oscillation-only model showed a significant bias toward perceptual history T(4.32</w:t>
      </w:r>
      <w:r>
        <w:t xml:space="preserve">^{3}) = 10.29, p =</w:t>
      </w:r>
      <w:r>
        <w:t xml:space="preserve"> </w:t>
      </w:r>
      <m:oMath>
        <m:r>
          <m:t>1.54</m:t>
        </m:r>
        <m:r>
          <m:rPr>
            <m:sty m:val="p"/>
          </m:rPr>
          <m:t>×</m:t>
        </m:r>
        <m:sSup>
          <m:e>
            <m:r>
              <m:t>10</m:t>
            </m:r>
          </m:e>
          <m:sup>
            <m:r>
              <m:rPr>
                <m:sty m:val="p"/>
              </m:rPr>
              <m:t>−</m:t>
            </m:r>
            <m:r>
              <m:t>24</m:t>
            </m:r>
          </m:sup>
        </m:sSup>
      </m:oMath>
      <w:r>
        <w:t xml:space="preserve">; upper panel).</w:t>
      </w:r>
      <w:r>
        <w:t xml:space="preserve"> </w:t>
      </w:r>
      <w:r>
        <w:t xml:space="preserve">Similarly, history-congruent choices were more frequent at error trials (T(4.32</w:t>
      </w:r>
      <w:r>
        <w:t xml:space="preserve">^{3}) = 9.71, p =</w:t>
      </w:r>
      <w:r>
        <w:t xml:space="preserve"> </w:t>
      </w:r>
      <m:oMath>
        <m:r>
          <m:t>4.6</m:t>
        </m:r>
        <m:r>
          <m:rPr>
            <m:sty m:val="p"/>
          </m:rPr>
          <m:t>×</m:t>
        </m:r>
        <m:sSup>
          <m:e>
            <m:r>
              <m:t>10</m:t>
            </m:r>
          </m:e>
          <m:sup>
            <m:r>
              <m:rPr>
                <m:sty m:val="p"/>
              </m:rPr>
              <m:t>−</m:t>
            </m:r>
            <m:r>
              <m:t>22</m:t>
            </m:r>
          </m:sup>
        </m:sSup>
      </m:oMath>
      <w:r>
        <w:t xml:space="preserve">; lower panel).</w:t>
      </w:r>
    </w:p>
    <w:p>
      <w:pPr>
        <w:pStyle w:val="BodyText"/>
      </w:pPr>
      <w:r>
        <w:t xml:space="preserve">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(Figure 2B), where the autocorrelation of history-congruence was above the autocorrelation of stimulus-congruence. Moreover, in the reduced model shown here, the number of consecutive trials that showed significant autocorrelation of history-congruence was reduced to 11.</w:t>
      </w:r>
    </w:p>
    <w:p>
      <w:pPr>
        <w:pStyle w:val="BodyText"/>
      </w:pPr>
      <w:r>
        <w:t xml:space="preserve">C. In the likelihood-oscillation-only model, the number of consecutive trials at which true autocorrelation coefficients exceeded the autocorrelation coefficients for randomly permuted data did not differ with respect to stimulus-congruence (2.62 ± 1.39</w:t>
      </w:r>
      <w:r>
        <w:t xml:space="preserve">^{-3} trials; T(4.32</w:t>
      </w:r>
      <w:r>
        <w:t xml:space="preserve">^{3}) = 1.85, p =</w:t>
      </w:r>
      <w:r>
        <w:t xml:space="preserve"> </w:t>
      </w:r>
      <m:oMath>
        <m:r>
          <m:t>0.06</m:t>
        </m:r>
      </m:oMath>
      <w:r>
        <w:t xml:space="preserve">),</w:t>
      </w:r>
      <w:r>
        <w:t xml:space="preserve"> </w:t>
      </w:r>
      <w:r>
        <w:t xml:space="preserve">but decreased with respect to history-congruence (2.4 ± 8.45</w:t>
      </w:r>
      <w:r>
        <w:t xml:space="preserve">^{-4} trials; T(4.32</w:t>
      </w:r>
      <w:r>
        <w:t xml:space="preserve">^{3}) = -15.26, p =</w:t>
      </w:r>
      <w:r>
        <w:t xml:space="preserve"> </w:t>
      </w:r>
      <m:oMath>
        <m:r>
          <m:t>3.11</m:t>
        </m:r>
        <m:r>
          <m:rPr>
            <m:sty m:val="p"/>
          </m:rPr>
          <m:t>×</m:t>
        </m:r>
        <m:sSup>
          <m:e>
            <m:r>
              <m:t>10</m:t>
            </m:r>
          </m:e>
          <m:sup>
            <m:r>
              <m:rPr>
                <m:sty m:val="p"/>
              </m:rPr>
              <m:t>−</m:t>
            </m:r>
            <m:r>
              <m:t>51</m:t>
            </m:r>
          </m:sup>
        </m:sSup>
      </m:oMath>
      <w:r>
        <w:t xml:space="preserve">) relative to the full model.</w:t>
      </w:r>
    </w:p>
    <w:p>
      <w:pPr>
        <w:pStyle w:val="BodyText"/>
      </w:pPr>
      <w:r>
        <w:t xml:space="preserve">D. In the likelihood-oscillation-only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688.65</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1.14</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698.13</m:t>
        </m:r>
      </m:oMath>
      <w:r>
        <w:t xml:space="preserve">, p =</w:t>
      </w:r>
      <w:r>
        <w:t xml:space="preserve"> </w:t>
      </w:r>
      <m:oMath>
        <m:r>
          <m:t>0</m:t>
        </m:r>
      </m:oMath>
      <w:r>
        <w:t xml:space="preserve">).</w:t>
      </w:r>
    </w:p>
    <w:p>
      <w:pPr>
        <w:pStyle w:val="BodyText"/>
      </w:pPr>
      <w:r>
        <w:t xml:space="preserve">E. In the likelihood-oscillation-only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2.7</m:t>
        </m:r>
        <m:r>
          <m:rPr>
            <m:sty m:val="p"/>
          </m:rPr>
          <m:t>×</m:t>
        </m:r>
        <m:sSup>
          <m:e>
            <m:r>
              <m:t>10</m:t>
            </m:r>
          </m:e>
          <m:sup>
            <m:r>
              <m:rPr>
                <m:sty m:val="p"/>
              </m:rPr>
              <m:t>−</m:t>
            </m:r>
            <m:r>
              <m:t>3</m:t>
            </m:r>
          </m:sup>
        </m:sSup>
      </m:oMath>
      <w:r>
        <w:t xml:space="preserve"> </w:t>
      </w:r>
      <w:r>
        <w:t xml:space="preserve">±</w:t>
      </w:r>
      <w:r>
        <w:t xml:space="preserve"> </w:t>
      </w:r>
      <m:oMath>
        <m:r>
          <m:t>7.6</m:t>
        </m:r>
        <m:r>
          <m:rPr>
            <m:sty m:val="p"/>
          </m:rPr>
          <m:t>×</m:t>
        </m:r>
        <m:sSup>
          <m:e>
            <m:r>
              <m:t>10</m:t>
            </m:r>
          </m:e>
          <m:sup>
            <m:r>
              <m:rPr>
                <m:sty m:val="p"/>
              </m:rPr>
              <m:t>−</m:t>
            </m:r>
            <m:r>
              <m:t>4</m:t>
            </m:r>
          </m:sup>
        </m:sSup>
      </m:oMath>
      <w:r>
        <w:t xml:space="preserve">, T(</w:t>
      </w:r>
      <m:oMath>
        <m:r>
          <m:t>2.02</m:t>
        </m:r>
        <m:r>
          <m:rPr>
            <m:sty m:val="p"/>
          </m:rPr>
          <m:t>×</m:t>
        </m:r>
        <m:sSup>
          <m:e>
            <m:r>
              <m:t>10</m:t>
            </m:r>
          </m:e>
          <m:sup>
            <m:r>
              <m:t>6</m:t>
            </m:r>
          </m:sup>
        </m:sSup>
      </m:oMath>
      <w:r>
        <w:t xml:space="preserve">) =</w:t>
      </w:r>
      <w:r>
        <w:t xml:space="preserve"> </w:t>
      </w:r>
      <m:oMath>
        <m:r>
          <m:t>3.55</m:t>
        </m:r>
      </m:oMath>
      <w:r>
        <w:t xml:space="preserve">, p =</w:t>
      </w:r>
      <w:r>
        <w:t xml:space="preserve"> </w:t>
      </w:r>
      <m:oMath>
        <m:r>
          <m:t>3.8</m:t>
        </m:r>
        <m:r>
          <m:rPr>
            <m:sty m:val="p"/>
          </m:rPr>
          <m:t>×</m:t>
        </m:r>
        <m:sSup>
          <m:e>
            <m:r>
              <m:t>10</m:t>
            </m:r>
          </m:e>
          <m:sup>
            <m:r>
              <m:rPr>
                <m:sty m:val="p"/>
              </m:rPr>
              <m:t>−</m:t>
            </m:r>
            <m:r>
              <m:t>4</m:t>
            </m:r>
          </m:sup>
        </m:sSup>
      </m:oMath>
      <w:r>
        <w:t xml:space="preserve">).</w:t>
      </w:r>
    </w:p>
    <w:p>
      <w:pPr>
        <w:pStyle w:val="BodyText"/>
      </w:pPr>
      <w:r>
        <w:t xml:space="preserve">F. In the likelihood-oscillation-only model, the average squared coherence between fluctuations in simulated stimulus- and history-congruence (black dotted line) was reduced in comparison to the full model (T(3.51</w:t>
      </w:r>
      <w:r>
        <w:t xml:space="preserve">^{3}) = -4.56, p =</w:t>
      </w:r>
      <w:r>
        <w:t xml:space="preserve"> </w:t>
      </w:r>
      <m:oMath>
        <m:r>
          <m:t>5.27</m:t>
        </m:r>
        <m:r>
          <m:rPr>
            <m:sty m:val="p"/>
          </m:rPr>
          <m:t>×</m:t>
        </m:r>
        <m:sSup>
          <m:e>
            <m:r>
              <m:t>10</m:t>
            </m:r>
          </m:e>
          <m:sup>
            <m:r>
              <m:rPr>
                <m:sty m:val="p"/>
              </m:rPr>
              <m:t>−</m:t>
            </m:r>
            <m:r>
              <m:t>6</m:t>
            </m:r>
          </m:sup>
        </m:sSup>
      </m:oMath>
      <w:r>
        <w:t xml:space="preserve">)</w:t>
      </w:r>
      <w:r>
        <w:t xml:space="preserve"> </w:t>
      </w:r>
      <w:r>
        <w:t xml:space="preserve">and amounted to 3.43 ± 1.02</w:t>
      </w:r>
      <w:r>
        <w:t xml:space="preserve">^{-3}%.</w:t>
      </w:r>
    </w:p>
    <w:p>
      <w:pPr>
        <w:pStyle w:val="BodyText"/>
      </w:pPr>
      <w:r>
        <w:t xml:space="preserve">G. Similar to the full bimodal inference model, confidence simulated from the likelihood-oscillation-only model was enhanced for stimulus-congruent choices (</w:t>
      </w:r>
      <m:oMath>
        <m:r>
          <m:t>β</m:t>
        </m:r>
      </m:oMath>
      <w:r>
        <w:t xml:space="preserve"> </w:t>
      </w:r>
      <w:r>
        <w:t xml:space="preserve">=</w:t>
      </w:r>
      <w:r>
        <w:t xml:space="preserve"> </w:t>
      </w:r>
      <m:oMath>
        <m:r>
          <m:t>0.03</m:t>
        </m:r>
      </m:oMath>
      <w:r>
        <w:t xml:space="preserve"> </w:t>
      </w:r>
      <w:r>
        <w:t xml:space="preserve">±</w:t>
      </w:r>
      <w:r>
        <w:t xml:space="preserve"> </w:t>
      </w:r>
      <m:oMath>
        <m:r>
          <m:t>1.42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191.78</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9.1</m:t>
        </m:r>
        <m:r>
          <m:rPr>
            <m:sty m:val="p"/>
          </m:rPr>
          <m:t>×</m:t>
        </m:r>
        <m:sSup>
          <m:e>
            <m:r>
              <m:t>10</m:t>
            </m:r>
          </m:e>
          <m:sup>
            <m:r>
              <m:rPr>
                <m:sty m:val="p"/>
              </m:rPr>
              <m:t>−</m:t>
            </m:r>
            <m:r>
              <m:t>3</m:t>
            </m:r>
          </m:sup>
        </m:sSup>
      </m:oMath>
      <w:r>
        <w:t xml:space="preserve"> </w:t>
      </w:r>
      <w:r>
        <w:t xml:space="preserve">±</w:t>
      </w:r>
      <w:r>
        <w:t xml:space="preserve"> </w:t>
      </w:r>
      <m:oMath>
        <m:r>
          <m:t>1.25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72.51</m:t>
        </m:r>
      </m:oMath>
      <w:r>
        <w:t xml:space="preserve">, p =</w:t>
      </w:r>
      <w:r>
        <w:t xml:space="preserve"> </w:t>
      </w:r>
      <m:oMath>
        <m:r>
          <m:t>0</m:t>
        </m:r>
      </m:oMath>
      <w:r>
        <w:t xml:space="preserve">).</w:t>
      </w:r>
    </w:p>
    <w:p>
      <w:pPr>
        <w:pStyle w:val="BodyText"/>
      </w:pPr>
      <w:r>
        <w:t xml:space="preserve">H. In the likelihood-oscillation-only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0.34</m:t>
        </m:r>
      </m:oMath>
      <w:r>
        <w:t xml:space="preserve"> </w:t>
      </w:r>
      <w:r>
        <w:t xml:space="preserve">±</w:t>
      </w:r>
      <w:r>
        <w:t xml:space="preserve"> </w:t>
      </w:r>
      <m:oMath>
        <m:r>
          <m:t>0.1</m:t>
        </m:r>
      </m:oMath>
      <w:r>
        <w:t xml:space="preserve">, T(</w:t>
      </w:r>
      <m:oMath>
        <m:r>
          <m:t>2.1</m:t>
        </m:r>
        <m:r>
          <m:rPr>
            <m:sty m:val="p"/>
          </m:rPr>
          <m:t>×</m:t>
        </m:r>
        <m:sSup>
          <m:e>
            <m:r>
              <m:t>10</m:t>
            </m:r>
          </m:e>
          <m:sup>
            <m:r>
              <m:t>6</m:t>
            </m:r>
          </m:sup>
        </m:sSup>
      </m:oMath>
      <w:r>
        <w:t xml:space="preserve">) =</w:t>
      </w:r>
      <w:r>
        <w:t xml:space="preserve"> </w:t>
      </w:r>
      <m:oMath>
        <m:r>
          <m:t>3.49</m:t>
        </m:r>
      </m:oMath>
      <w:r>
        <w:t xml:space="preserve">, p =</w:t>
      </w:r>
      <w:r>
        <w:t xml:space="preserve"> </w:t>
      </w:r>
      <m:oMath>
        <m:r>
          <m:t>4.78</m:t>
        </m:r>
        <m:r>
          <m:rPr>
            <m:sty m:val="p"/>
          </m:rPr>
          <m:t>×</m:t>
        </m:r>
        <m:sSup>
          <m:e>
            <m:r>
              <m:t>10</m:t>
            </m:r>
          </m:e>
          <m:sup>
            <m:r>
              <m:rPr>
                <m:sty m:val="p"/>
              </m:rPr>
              <m:t>−</m:t>
            </m:r>
            <m:r>
              <m:t>4</m:t>
            </m:r>
          </m:sup>
        </m:sSup>
      </m:oMath>
      <w:r>
        <w:t xml:space="preserve">). The horizontal and vertical dotted lines indicate minimum posterior certainty and the associated mode, respectively.</w:t>
      </w:r>
    </w:p>
    <w:p>
      <w:r>
        <w:br w:type="page"/>
      </w:r>
    </w:p>
    <w:bookmarkEnd w:id="119"/>
    <w:bookmarkStart w:id="123" w:name="supplemental-figure-s11"/>
    <w:p>
      <w:pPr>
        <w:pStyle w:val="Heading2"/>
      </w:pPr>
      <w:r>
        <w:t xml:space="preserve">Supplemental Figure S11</w:t>
      </w:r>
    </w:p>
    <w:p>
      <w:pPr>
        <w:pStyle w:val="FirstParagraph"/>
      </w:pPr>
      <w:r>
        <w:drawing>
          <wp:inline>
            <wp:extent cx="4620126" cy="3696101"/>
            <wp:effectExtent b="0" l="0" r="0" t="0"/>
            <wp:docPr descr="" title="" id="121" name="Picture"/>
            <a:graphic>
              <a:graphicData uri="http://schemas.openxmlformats.org/drawingml/2006/picture">
                <pic:pic>
                  <pic:nvPicPr>
                    <pic:cNvPr descr="modes_mouse_rev1b_files/figure-docx/Supplemental_Figure_S11-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S11. Reduced Control Model M3: Only oscillation of the prior.</w:t>
      </w:r>
      <w:r>
        <w:t xml:space="preserve"> </w:t>
      </w:r>
      <w:r>
        <w:t xml:space="preserve">When simulating data for the</w:t>
      </w:r>
      <w:r>
        <w:t xml:space="preserve"> </w:t>
      </w:r>
      <w:r>
        <w:rPr>
          <w:iCs/>
          <w:i/>
        </w:rPr>
        <w:t xml:space="preserve">prior-oscillation-only model</w:t>
      </w:r>
      <w:r>
        <w:t xml:space="preserve">, we removed the oscillation from the prior term by setting the amplitude</w:t>
      </w:r>
      <w:r>
        <w:t xml:space="preserve"> </w:t>
      </w:r>
      <m:oMath>
        <m:sSub>
          <m:e>
            <m:r>
              <m:t>a</m:t>
            </m:r>
          </m:e>
          <m:sub>
            <m:r>
              <m:t>L</m:t>
            </m:r>
            <m:r>
              <m:t>L</m:t>
            </m:r>
            <m:r>
              <m:t>R</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r>
        <w:br/>
      </w:r>
      <w:r>
        <w:t xml:space="preserve">A. Similar to the full model (Figure 1F and Figure 4), simulated perceptual choices were stimulus-congruent in 71.97% ± 0.17% of trials (in red). History-congruent amounted to 52.1% ± 0.11% of trials (in blue). As in the full model, the prior-oscillation-only showed a significant bias toward perceptual history T(4.32</w:t>
      </w:r>
      <w:r>
        <w:t xml:space="preserve">^{3}) = 18.34, p =</w:t>
      </w:r>
      <w:r>
        <w:t xml:space="preserve"> </w:t>
      </w:r>
      <m:oMath>
        <m:r>
          <m:t>1.98</m:t>
        </m:r>
        <m:r>
          <m:rPr>
            <m:sty m:val="p"/>
          </m:rPr>
          <m:t>×</m:t>
        </m:r>
        <m:sSup>
          <m:e>
            <m:r>
              <m:t>10</m:t>
            </m:r>
          </m:e>
          <m:sup>
            <m:r>
              <m:rPr>
                <m:sty m:val="p"/>
              </m:rPr>
              <m:t>−</m:t>
            </m:r>
            <m:r>
              <m:t>72</m:t>
            </m:r>
          </m:sup>
        </m:sSup>
      </m:oMath>
      <w:r>
        <w:t xml:space="preserve">; upper panel).</w:t>
      </w:r>
      <w:r>
        <w:t xml:space="preserve"> </w:t>
      </w:r>
      <w:r>
        <w:t xml:space="preserve">Similarly, history-congruent choices were more frequent at error trials (T(4.31</w:t>
      </w:r>
      <w:r>
        <w:t xml:space="preserve">^{3}) = 12.35, p =</w:t>
      </w:r>
      <w:r>
        <w:t xml:space="preserve"> </w:t>
      </w:r>
      <m:oMath>
        <m:r>
          <m:t>1.88</m:t>
        </m:r>
        <m:r>
          <m:rPr>
            <m:sty m:val="p"/>
          </m:rPr>
          <m:t>×</m:t>
        </m:r>
        <m:sSup>
          <m:e>
            <m:r>
              <m:t>10</m:t>
            </m:r>
          </m:e>
          <m:sup>
            <m:r>
              <m:rPr>
                <m:sty m:val="p"/>
              </m:rPr>
              <m:t>−</m:t>
            </m:r>
            <m:r>
              <m:t>34</m:t>
            </m:r>
          </m:sup>
        </m:sSup>
      </m:oMath>
      <w:r>
        <w:t xml:space="preserve">; lower panel).</w:t>
      </w:r>
    </w:p>
    <w:p>
      <w:pPr>
        <w:pStyle w:val="BodyText"/>
      </w:pPr>
      <w:r>
        <w:t xml:space="preserve">B. In the prior-oscillation-only model, we did not observe any significant positive autocorrelation of stimulus-congruence , whereas the autocorrelation of history-congruence was preserved.</w:t>
      </w:r>
    </w:p>
    <w:p>
      <w:pPr>
        <w:pStyle w:val="BodyText"/>
      </w:pPr>
      <w:r>
        <w:t xml:space="preserve">C. In the prior-oscillation-only model, the number of consecutive trials at which true autocorrelation coefficients exceeded the autocorrelation coefficients for randomly permuted data did was decreased with respect to stimulus-congruence relative to the full model (1.8 ± 1.01</w:t>
      </w:r>
      <w:r>
        <w:t xml:space="preserve">^{-3} trials; T(4.31</w:t>
      </w:r>
      <w:r>
        <w:t xml:space="preserve">^{3}) = -6.48, p =</w:t>
      </w:r>
      <w:r>
        <w:t xml:space="preserve"> </w:t>
      </w:r>
      <m:oMath>
        <m:r>
          <m:t>1.03</m:t>
        </m:r>
        <m:r>
          <m:rPr>
            <m:sty m:val="p"/>
          </m:rPr>
          <m:t>×</m:t>
        </m:r>
        <m:sSup>
          <m:e>
            <m:r>
              <m:t>10</m:t>
            </m:r>
          </m:e>
          <m:sup>
            <m:r>
              <m:rPr>
                <m:sty m:val="p"/>
              </m:rPr>
              <m:t>−</m:t>
            </m:r>
            <m:r>
              <m:t>10</m:t>
            </m:r>
          </m:sup>
        </m:sSup>
      </m:oMath>
      <w:r>
        <w:t xml:space="preserve">),</w:t>
      </w:r>
      <w:r>
        <w:t xml:space="preserve"> </w:t>
      </w:r>
      <w:r>
        <w:t xml:space="preserve">but did not differ from the full model with respect to history-congruence (4.25 ± 1.84</w:t>
      </w:r>
      <w:r>
        <w:t xml:space="preserve">^{-3} trials; T(4.32</w:t>
      </w:r>
      <w:r>
        <w:t xml:space="preserve">^{3}) = 0.07, p =</w:t>
      </w:r>
      <w:r>
        <w:t xml:space="preserve"> </w:t>
      </w:r>
      <m:oMath>
        <m:r>
          <m:t>0.95</m:t>
        </m:r>
      </m:oMath>
      <w:r>
        <w:t xml:space="preserve">).</w:t>
      </w:r>
    </w:p>
    <w:p>
      <w:pPr>
        <w:pStyle w:val="BodyText"/>
      </w:pPr>
      <w:r>
        <w:t xml:space="preserve">D. In the prior-oscillation-only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706.62</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651.6</m:t>
        </m:r>
      </m:oMath>
      <w:r>
        <w:t xml:space="preserve">, p =</w:t>
      </w:r>
      <w:r>
        <w:t xml:space="preserve"> </w:t>
      </w:r>
      <m:oMath>
        <m:r>
          <m:t>0</m:t>
        </m:r>
      </m:oMath>
      <w:r>
        <w:t xml:space="preserve">).</w:t>
      </w:r>
    </w:p>
    <w:p>
      <w:pPr>
        <w:pStyle w:val="BodyText"/>
      </w:pPr>
      <w:r>
        <w:t xml:space="preserve">E. In the prior-oscillation-only model, the distribution of phase shift between fluctuations in simulated stimulus- and history-congruence peaked at half a cycle (</w:t>
      </w:r>
      <m:oMath>
        <m:r>
          <m:t>π</m:t>
        </m:r>
      </m:oMath>
      <w:r>
        <w:t xml:space="preserve"> </w:t>
      </w:r>
      <w:r>
        <w:t xml:space="preserve">denoted by dotted line). Similar to the full model, the dynamic probabilities of simulated stimulus- and history-congruence were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8.61</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34.03</m:t>
        </m:r>
      </m:oMath>
      <w:r>
        <w:t xml:space="preserve">, p =</w:t>
      </w:r>
      <w:r>
        <w:t xml:space="preserve"> </w:t>
      </w:r>
      <m:oMath>
        <m:r>
          <m:t>8.17</m:t>
        </m:r>
        <m:r>
          <m:rPr>
            <m:sty m:val="p"/>
          </m:rPr>
          <m:t>×</m:t>
        </m:r>
        <m:sSup>
          <m:e>
            <m:r>
              <m:t>10</m:t>
            </m:r>
          </m:e>
          <m:sup>
            <m:r>
              <m:rPr>
                <m:sty m:val="p"/>
              </m:rPr>
              <m:t>−</m:t>
            </m:r>
            <m:r>
              <m:t>254</m:t>
            </m:r>
          </m:sup>
        </m:sSup>
      </m:oMath>
      <w:r>
        <w:t xml:space="preserve">).</w:t>
      </w:r>
    </w:p>
    <w:p>
      <w:pPr>
        <w:pStyle w:val="BodyText"/>
      </w:pPr>
      <w:r>
        <w:t xml:space="preserve">F. In the prior-oscillation-only model, the average squared coherence between fluctuations in simulated stimulus- and history-congruence (black dotted line) was reduced in comparison to the full model (T(3.54</w:t>
      </w:r>
      <w:r>
        <w:t xml:space="preserve">^{3}) = -3.22, p =</w:t>
      </w:r>
      <w:r>
        <w:t xml:space="preserve"> </w:t>
      </w:r>
      <m:oMath>
        <m:r>
          <m:t>1.28</m:t>
        </m:r>
        <m:r>
          <m:rPr>
            <m:sty m:val="p"/>
          </m:rPr>
          <m:t>×</m:t>
        </m:r>
        <m:sSup>
          <m:e>
            <m:r>
              <m:t>10</m:t>
            </m:r>
          </m:e>
          <m:sup>
            <m:r>
              <m:rPr>
                <m:sty m:val="p"/>
              </m:rPr>
              <m:t>−</m:t>
            </m:r>
            <m:r>
              <m:t>3</m:t>
            </m:r>
          </m:sup>
        </m:sSup>
      </m:oMath>
      <w:r>
        <w:t xml:space="preserve">)</w:t>
      </w:r>
      <w:r>
        <w:t xml:space="preserve"> </w:t>
      </w:r>
      <w:r>
        <w:t xml:space="preserve">and amounted to 3.52 ± 1.04</w:t>
      </w:r>
      <w:r>
        <w:t xml:space="preserve">^{-3}%.</w:t>
      </w:r>
    </w:p>
    <w:p>
      <w:pPr>
        <w:pStyle w:val="BodyText"/>
      </w:pPr>
      <w:r>
        <w:t xml:space="preserve">G. Similar to the full bimodal inference model, confidence simulated from the prior-oscillation-only model was enhanced for stimulus-congruent choices (</w:t>
      </w:r>
      <m:oMath>
        <m:r>
          <m:t>β</m:t>
        </m:r>
      </m:oMath>
      <w:r>
        <w:t xml:space="preserve"> </w:t>
      </w:r>
      <w:r>
        <w:t xml:space="preserve">=</w:t>
      </w:r>
      <w:r>
        <w:t xml:space="preserve"> </w:t>
      </w:r>
      <m:oMath>
        <m:r>
          <m:t>0.02</m:t>
        </m:r>
      </m:oMath>
      <w:r>
        <w:t xml:space="preserve"> </w:t>
      </w:r>
      <w:r>
        <w:t xml:space="preserve">±</w:t>
      </w:r>
      <w:r>
        <w:t xml:space="preserve"> </w:t>
      </w:r>
      <m:oMath>
        <m:r>
          <m:t>1.44</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128.53</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0.01</m:t>
        </m:r>
      </m:oMath>
      <w:r>
        <w:t xml:space="preserve"> </w:t>
      </w:r>
      <w:r>
        <w:t xml:space="preserve">±</w:t>
      </w:r>
      <w:r>
        <w:t xml:space="preserve"> </w:t>
      </w:r>
      <m:oMath>
        <m:r>
          <m:t>1.26</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88.24</m:t>
        </m:r>
      </m:oMath>
      <w:r>
        <w:t xml:space="preserve">, p =</w:t>
      </w:r>
      <w:r>
        <w:t xml:space="preserve"> </w:t>
      </w:r>
      <m:oMath>
        <m:r>
          <m:t>0</m:t>
        </m:r>
      </m:oMath>
      <w:r>
        <w:t xml:space="preserve">).</w:t>
      </w:r>
    </w:p>
    <w:p>
      <w:pPr>
        <w:pStyle w:val="BodyText"/>
      </w:pPr>
      <w:r>
        <w:t xml:space="preserve">H. In contrast to the full bimodal inference model, the prior-oscillation-only model did not yield a positive quadratic relationship between the mode of perceptual processing and confidence (</w:t>
      </w:r>
      <m:oMath>
        <m:sSub>
          <m:e>
            <m:r>
              <m:t>β</m:t>
            </m:r>
          </m:e>
          <m:sub>
            <m:r>
              <m:t>2</m:t>
            </m:r>
          </m:sub>
        </m:sSub>
      </m:oMath>
      <w:r>
        <w:t xml:space="preserve"> </w:t>
      </w:r>
      <w:r>
        <w:t xml:space="preserve">=</w:t>
      </w:r>
      <w:r>
        <w:t xml:space="preserve"> </w:t>
      </w:r>
      <m:oMath>
        <m:r>
          <m:rPr>
            <m:sty m:val="p"/>
          </m:rPr>
          <m:t>−</m:t>
        </m:r>
        <m:r>
          <m:t>0.17</m:t>
        </m:r>
      </m:oMath>
      <w:r>
        <w:t xml:space="preserve"> </w:t>
      </w:r>
      <w:r>
        <w:t xml:space="preserve">±</w:t>
      </w:r>
      <w:r>
        <w:t xml:space="preserve"> </w:t>
      </w:r>
      <m:oMath>
        <m:r>
          <m:t>0.1</m:t>
        </m:r>
      </m:oMath>
      <w:r>
        <w:t xml:space="preserve">, T(</w:t>
      </w:r>
      <m:oMath>
        <m:r>
          <m:t>2.04</m:t>
        </m:r>
        <m:r>
          <m:rPr>
            <m:sty m:val="p"/>
          </m:rPr>
          <m:t>×</m:t>
        </m:r>
        <m:sSup>
          <m:e>
            <m:r>
              <m:t>10</m:t>
            </m:r>
          </m:e>
          <m:sup>
            <m:r>
              <m:t>6</m:t>
            </m:r>
          </m:sup>
        </m:sSup>
      </m:oMath>
      <w:r>
        <w:t xml:space="preserve">) =</w:t>
      </w:r>
      <w:r>
        <w:t xml:space="preserve"> </w:t>
      </w:r>
      <m:oMath>
        <m:r>
          <m:rPr>
            <m:sty m:val="p"/>
          </m:rPr>
          <m:t>−</m:t>
        </m:r>
        <m:r>
          <m:t>1.66</m:t>
        </m:r>
      </m:oMath>
      <w:r>
        <w:t xml:space="preserve">, p =</w:t>
      </w:r>
      <w:r>
        <w:t xml:space="preserve"> </w:t>
      </w:r>
      <m:oMath>
        <m:r>
          <m:t>0.1</m:t>
        </m:r>
      </m:oMath>
      <w:r>
        <w:t xml:space="preserve">). The horizontal and vertical dotted lines indicate minimum posterior certainty and the associated mode, respectively.</w:t>
      </w:r>
    </w:p>
    <w:p>
      <w:r>
        <w:br w:type="page"/>
      </w:r>
    </w:p>
    <w:bookmarkEnd w:id="123"/>
    <w:bookmarkStart w:id="127" w:name="supplemental-figure-s12"/>
    <w:p>
      <w:pPr>
        <w:pStyle w:val="Heading2"/>
      </w:pPr>
      <w:r>
        <w:t xml:space="preserve">Supplemental Figure S12</w:t>
      </w:r>
    </w:p>
    <w:p>
      <w:pPr>
        <w:pStyle w:val="FirstParagraph"/>
      </w:pPr>
      <w:r>
        <w:drawing>
          <wp:inline>
            <wp:extent cx="4620126" cy="3696101"/>
            <wp:effectExtent b="0" l="0" r="0" t="0"/>
            <wp:docPr descr="" title="" id="125" name="Picture"/>
            <a:graphic>
              <a:graphicData uri="http://schemas.openxmlformats.org/drawingml/2006/picture">
                <pic:pic>
                  <pic:nvPicPr>
                    <pic:cNvPr descr="modes_mouse_rev1b_files/figure-docx/Supplemental_Figure_S12-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S12. Reduced Control Model M4: Normative evidence accumulation.</w:t>
      </w:r>
      <w:r>
        <w:t xml:space="preserve"> </w:t>
      </w:r>
      <w:r>
        <w:t xml:space="preserve">When simulating data for the</w:t>
      </w:r>
      <w:r>
        <w:t xml:space="preserve"> </w:t>
      </w:r>
      <w:r>
        <w:rPr>
          <w:iCs/>
          <w:i/>
        </w:rPr>
        <w:t xml:space="preserve">normative-evidence-accumulation model</w:t>
      </w:r>
      <w:r>
        <w:t xml:space="preserve">, we removed the oscillation from the likelihood and prior terms by setting the amplitudes</w:t>
      </w:r>
      <w:r>
        <w:t xml:space="preserve"> </w:t>
      </w:r>
      <m:oMath>
        <m:sSub>
          <m:e>
            <m:r>
              <m:t>a</m:t>
            </m:r>
          </m:e>
          <m:sub>
            <m:r>
              <m:t>L</m:t>
            </m:r>
            <m:r>
              <m:t>L</m:t>
            </m:r>
            <m:r>
              <m:t>R</m:t>
            </m:r>
          </m:sub>
        </m:sSub>
      </m:oMath>
      <w:r>
        <w:t xml:space="preserve"> </w:t>
      </w:r>
      <w:r>
        <w:t xml:space="preserve">and</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71.97% ± 0.17% of trials (in red). History-congruent amounted to 50.73% ± 0.07% of trials (in blue). As in the full model, the no-oscillation model showed a significant bias toward perceptual history T(4.32</w:t>
      </w:r>
      <w:r>
        <w:t xml:space="preserve">^{3}) = 9.94, p =</w:t>
      </w:r>
      <w:r>
        <w:t xml:space="preserve"> </w:t>
      </w:r>
      <m:oMath>
        <m:r>
          <m:t>4.88</m:t>
        </m:r>
        <m:r>
          <m:rPr>
            <m:sty m:val="p"/>
          </m:rPr>
          <m:t>×</m:t>
        </m:r>
        <m:sSup>
          <m:e>
            <m:r>
              <m:t>10</m:t>
            </m:r>
          </m:e>
          <m:sup>
            <m:r>
              <m:rPr>
                <m:sty m:val="p"/>
              </m:rPr>
              <m:t>−</m:t>
            </m:r>
            <m:r>
              <m:t>23</m:t>
            </m:r>
          </m:sup>
        </m:sSup>
      </m:oMath>
      <w:r>
        <w:t xml:space="preserve">; upper panel).</w:t>
      </w:r>
      <w:r>
        <w:t xml:space="preserve"> </w:t>
      </w:r>
      <w:r>
        <w:t xml:space="preserve">Similarly, history-congruent choices were more frequent at error trials (T(4.31</w:t>
      </w:r>
      <w:r>
        <w:t xml:space="preserve">^{3}) = 10.59, p =</w:t>
      </w:r>
      <w:r>
        <w:t xml:space="preserve"> </w:t>
      </w:r>
      <m:oMath>
        <m:r>
          <m:t>7.02</m:t>
        </m:r>
        <m:r>
          <m:rPr>
            <m:sty m:val="p"/>
          </m:rPr>
          <m:t>×</m:t>
        </m:r>
        <m:sSup>
          <m:e>
            <m:r>
              <m:t>10</m:t>
            </m:r>
          </m:e>
          <m:sup>
            <m:r>
              <m:rPr>
                <m:sty m:val="p"/>
              </m:rPr>
              <m:t>−</m:t>
            </m:r>
            <m:r>
              <m:t>26</m:t>
            </m:r>
          </m:sup>
        </m:sSup>
      </m:oMath>
      <w:r>
        <w:t xml:space="preserve">; lower panel).</w:t>
      </w:r>
    </w:p>
    <w:p>
      <w:pPr>
        <w:pStyle w:val="BodyText"/>
      </w:pPr>
      <w:r>
        <w:t xml:space="preserve">B. In the normative-evidence-accumulation model, we did not find significant autocorrelations for stimulus-congruence. Likewise, we did not observe any autocorrelation of history-congruence beyond the first three consecutive trials.</w:t>
      </w:r>
    </w:p>
    <w:p>
      <w:pPr>
        <w:pStyle w:val="BodyText"/>
      </w:pPr>
      <w:r>
        <w:t xml:space="preserve">C. In the normative-evidence-accumulation model, the number of consecutive trials at which true autocorrelation coefficients exceeded the autocorrelation coefficients for randomly permuted data decreased with respect to both stimulus-congruence (1.8 ± 1.59</w:t>
      </w:r>
      <w:r>
        <w:t xml:space="preserve">^{-3} trials; T(4.31</w:t>
      </w:r>
      <w:r>
        <w:t xml:space="preserve">^{3}) = -5.21, p =</w:t>
      </w:r>
      <w:r>
        <w:t xml:space="preserve"> </w:t>
      </w:r>
      <m:oMath>
        <m:r>
          <m:t>2</m:t>
        </m:r>
        <m:r>
          <m:rPr>
            <m:sty m:val="p"/>
          </m:rPr>
          <m:t>×</m:t>
        </m:r>
        <m:sSup>
          <m:e>
            <m:r>
              <m:t>10</m:t>
            </m:r>
          </m:e>
          <m:sup>
            <m:r>
              <m:rPr>
                <m:sty m:val="p"/>
              </m:rPr>
              <m:t>−</m:t>
            </m:r>
            <m:r>
              <m:t>7</m:t>
            </m:r>
          </m:sup>
        </m:sSup>
      </m:oMath>
      <w:r>
        <w:t xml:space="preserve">)</w:t>
      </w:r>
      <w:r>
        <w:t xml:space="preserve"> </w:t>
      </w:r>
      <w:r>
        <w:t xml:space="preserve">and history-congruence (2.18 ± 5.48</w:t>
      </w:r>
      <w:r>
        <w:t xml:space="preserve">^{-4} trials; T(4.32</w:t>
      </w:r>
      <w:r>
        <w:t xml:space="preserve">^{3}) = -17.1, p =</w:t>
      </w:r>
      <w:r>
        <w:t xml:space="preserve"> </w:t>
      </w:r>
      <m:oMath>
        <m:r>
          <m:t>1.75</m:t>
        </m:r>
        <m:r>
          <m:rPr>
            <m:sty m:val="p"/>
          </m:rPr>
          <m:t>×</m:t>
        </m:r>
        <m:sSup>
          <m:e>
            <m:r>
              <m:t>10</m:t>
            </m:r>
          </m:e>
          <m:sup>
            <m:r>
              <m:rPr>
                <m:sty m:val="p"/>
              </m:rPr>
              <m:t>−</m:t>
            </m:r>
            <m:r>
              <m:t>63</m:t>
            </m:r>
          </m:sup>
        </m:sSup>
      </m:oMath>
      <w:r>
        <w:t xml:space="preserve">) relative to the full model.</w:t>
      </w:r>
    </w:p>
    <w:p>
      <w:pPr>
        <w:pStyle w:val="BodyText"/>
      </w:pPr>
      <w:r>
        <w:t xml:space="preserve">D. In the normative-evidence-accumulation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706.93</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702.46</m:t>
        </m:r>
      </m:oMath>
      <w:r>
        <w:t xml:space="preserve">, p =</w:t>
      </w:r>
      <w:r>
        <w:t xml:space="preserve"> </w:t>
      </w:r>
      <m:oMath>
        <m:r>
          <m:t>0</m:t>
        </m:r>
      </m:oMath>
      <w:r>
        <w:t xml:space="preserve">).</w:t>
      </w:r>
    </w:p>
    <w:p>
      <w:pPr>
        <w:pStyle w:val="BodyText"/>
      </w:pPr>
      <w:r>
        <w:t xml:space="preserve">E. In the normative-evidence-accumulation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4.3</m:t>
        </m:r>
        <m:r>
          <m:rPr>
            <m:sty m:val="p"/>
          </m:rPr>
          <m:t>×</m:t>
        </m:r>
        <m:sSup>
          <m:e>
            <m:r>
              <m:t>10</m:t>
            </m:r>
          </m:e>
          <m:sup>
            <m:r>
              <m:rPr>
                <m:sty m:val="p"/>
              </m:rPr>
              <m:t>−</m:t>
            </m:r>
            <m:r>
              <m:t>3</m:t>
            </m:r>
          </m:sup>
        </m:sSup>
      </m:oMath>
      <w:r>
        <w:t xml:space="preserve"> </w:t>
      </w:r>
      <w:r>
        <w:t xml:space="preserve">±</w:t>
      </w:r>
      <w:r>
        <w:t xml:space="preserve"> </w:t>
      </w:r>
      <m:oMath>
        <m:r>
          <m:t>7.97</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t>5.4</m:t>
        </m:r>
      </m:oMath>
      <w:r>
        <w:t xml:space="preserve">, p =</w:t>
      </w:r>
      <w:r>
        <w:t xml:space="preserve"> </w:t>
      </w:r>
      <m:oMath>
        <m:r>
          <m:t>6.59</m:t>
        </m:r>
        <m:r>
          <m:rPr>
            <m:sty m:val="p"/>
          </m:rPr>
          <m:t>×</m:t>
        </m:r>
        <m:sSup>
          <m:e>
            <m:r>
              <m:t>10</m:t>
            </m:r>
          </m:e>
          <m:sup>
            <m:r>
              <m:rPr>
                <m:sty m:val="p"/>
              </m:rPr>
              <m:t>−</m:t>
            </m:r>
            <m:r>
              <m:t>8</m:t>
            </m:r>
          </m:sup>
        </m:sSup>
      </m:oMath>
      <w:r>
        <w:t xml:space="preserve">).</w:t>
      </w:r>
    </w:p>
    <w:p>
      <w:pPr>
        <w:pStyle w:val="BodyText"/>
      </w:pPr>
      <w:r>
        <w:t xml:space="preserve">F. In the normative-evidence-accumulation model, the average squared coherence between fluctuations in simulated stimulus- and history-congruence (black dotted line) was reduced in comparison to the full model (T(3.52</w:t>
      </w:r>
      <w:r>
        <w:t xml:space="preserve">^{3}) = -6.27, p =</w:t>
      </w:r>
      <w:r>
        <w:t xml:space="preserve"> </w:t>
      </w:r>
      <m:oMath>
        <m:r>
          <m:t>3.97</m:t>
        </m:r>
        <m:r>
          <m:rPr>
            <m:sty m:val="p"/>
          </m:rPr>
          <m:t>×</m:t>
        </m:r>
        <m:sSup>
          <m:e>
            <m:r>
              <m:t>10</m:t>
            </m:r>
          </m:e>
          <m:sup>
            <m:r>
              <m:rPr>
                <m:sty m:val="p"/>
              </m:rPr>
              <m:t>−</m:t>
            </m:r>
            <m:r>
              <m:t>10</m:t>
            </m:r>
          </m:sup>
        </m:sSup>
      </m:oMath>
      <w:r>
        <w:t xml:space="preserve">)</w:t>
      </w:r>
      <w:r>
        <w:t xml:space="preserve"> </w:t>
      </w:r>
      <w:r>
        <w:t xml:space="preserve">and amounted to 3.26 ± 8.88</w:t>
      </w:r>
      <w:r>
        <w:t xml:space="preserve">^{-4}%.</w:t>
      </w:r>
    </w:p>
    <w:p>
      <w:pPr>
        <w:pStyle w:val="BodyText"/>
      </w:pPr>
      <w:r>
        <w:t xml:space="preserve">G. Similar to the full bimodal inference model, confidence simulated from the no-oscillation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1.05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139.17</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8.05</m:t>
        </m:r>
        <m:r>
          <m:rPr>
            <m:sty m:val="p"/>
          </m:rPr>
          <m:t>×</m:t>
        </m:r>
        <m:sSup>
          <m:e>
            <m:r>
              <m:t>10</m:t>
            </m:r>
          </m:e>
          <m:sup>
            <m:r>
              <m:rPr>
                <m:sty m:val="p"/>
              </m:rPr>
              <m:t>−</m:t>
            </m:r>
            <m:r>
              <m:t>3</m:t>
            </m:r>
          </m:sup>
        </m:sSup>
      </m:oMath>
      <w:r>
        <w:t xml:space="preserve"> </w:t>
      </w:r>
      <w:r>
        <w:t xml:space="preserve">±</w:t>
      </w:r>
      <w:r>
        <w:t xml:space="preserve"> </w:t>
      </w:r>
      <m:oMath>
        <m:r>
          <m:t>9.2</m:t>
        </m:r>
        <m:r>
          <m:rPr>
            <m:sty m:val="p"/>
          </m:rPr>
          <m:t>×</m:t>
        </m:r>
        <m:sSup>
          <m:e>
            <m:r>
              <m:t>10</m:t>
            </m:r>
          </m:e>
          <m:sup>
            <m:r>
              <m:rPr>
                <m:sty m:val="p"/>
              </m:rPr>
              <m:t>−</m:t>
            </m:r>
            <m:r>
              <m:t>5</m:t>
            </m:r>
          </m:sup>
        </m:sSup>
      </m:oMath>
      <w:r>
        <w:t xml:space="preserve">, T(</w:t>
      </w:r>
      <m:oMath>
        <m:r>
          <m:t>2.1</m:t>
        </m:r>
        <m:r>
          <m:rPr>
            <m:sty m:val="p"/>
          </m:rPr>
          <m:t>×</m:t>
        </m:r>
        <m:sSup>
          <m:e>
            <m:r>
              <m:t>10</m:t>
            </m:r>
          </m:e>
          <m:sup>
            <m:r>
              <m:t>6</m:t>
            </m:r>
          </m:sup>
        </m:sSup>
      </m:oMath>
      <w:r>
        <w:t xml:space="preserve">) =</w:t>
      </w:r>
      <w:r>
        <w:t xml:space="preserve"> </w:t>
      </w:r>
      <m:oMath>
        <m:r>
          <m:t>87.54</m:t>
        </m:r>
      </m:oMath>
      <w:r>
        <w:t xml:space="preserve">, p =</w:t>
      </w:r>
      <w:r>
        <w:t xml:space="preserve"> </w:t>
      </w:r>
      <m:oMath>
        <m:r>
          <m:t>0</m:t>
        </m:r>
      </m:oMath>
      <w:r>
        <w:t xml:space="preserve">).</w:t>
      </w:r>
    </w:p>
    <w:p>
      <w:pPr>
        <w:pStyle w:val="BodyText"/>
      </w:pPr>
      <w:r>
        <w:t xml:space="preserve">H. In the normative-evidence-accumulation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0.14</m:t>
        </m:r>
      </m:oMath>
      <w:r>
        <w:t xml:space="preserve"> </w:t>
      </w:r>
      <w:r>
        <w:t xml:space="preserve">±</w:t>
      </w:r>
      <w:r>
        <w:t xml:space="preserve"> </w:t>
      </w:r>
      <m:oMath>
        <m:r>
          <m:t>0.07</m:t>
        </m:r>
      </m:oMath>
      <w:r>
        <w:t xml:space="preserve">, T(</w:t>
      </w:r>
      <m:oMath>
        <m:r>
          <m:t>2.1</m:t>
        </m:r>
        <m:r>
          <m:rPr>
            <m:sty m:val="p"/>
          </m:rPr>
          <m:t>×</m:t>
        </m:r>
        <m:sSup>
          <m:e>
            <m:r>
              <m:t>10</m:t>
            </m:r>
          </m:e>
          <m:sup>
            <m:r>
              <m:t>6</m:t>
            </m:r>
          </m:sup>
        </m:sSup>
      </m:oMath>
      <w:r>
        <w:t xml:space="preserve">) =</w:t>
      </w:r>
      <w:r>
        <w:t xml:space="preserve"> </w:t>
      </w:r>
      <m:oMath>
        <m:r>
          <m:t>1.95</m:t>
        </m:r>
      </m:oMath>
      <w:r>
        <w:t xml:space="preserve">, p =</w:t>
      </w:r>
      <w:r>
        <w:t xml:space="preserve"> </w:t>
      </w:r>
      <m:oMath>
        <m:r>
          <m:t>0.05</m:t>
        </m:r>
      </m:oMath>
      <w:r>
        <w:t xml:space="preserve">). The horizontal and vertical dotted lines indicate minimum posterior certainty and the associated mode, respectively.</w:t>
      </w:r>
    </w:p>
    <w:p>
      <w:r>
        <w:br w:type="page"/>
      </w:r>
    </w:p>
    <w:bookmarkEnd w:id="127"/>
    <w:bookmarkStart w:id="131" w:name="supplemental-figure-s13"/>
    <w:p>
      <w:pPr>
        <w:pStyle w:val="Heading2"/>
      </w:pPr>
      <w:r>
        <w:t xml:space="preserve">Supplemental Figure S13</w:t>
      </w:r>
    </w:p>
    <w:p>
      <w:pPr>
        <w:pStyle w:val="FirstParagraph"/>
      </w:pPr>
      <w:r>
        <w:drawing>
          <wp:inline>
            <wp:extent cx="4620126" cy="3696101"/>
            <wp:effectExtent b="0" l="0" r="0" t="0"/>
            <wp:docPr descr="" title="" id="129" name="Picture"/>
            <a:graphic>
              <a:graphicData uri="http://schemas.openxmlformats.org/drawingml/2006/picture">
                <pic:pic>
                  <pic:nvPicPr>
                    <pic:cNvPr descr="modes_mouse_rev1b_files/figure-docx/Supplemental_Figure_13-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S13. Reduced Control Model M5: No accumulation of information across trials.</w:t>
      </w:r>
      <w:r>
        <w:t xml:space="preserve"> </w:t>
      </w:r>
      <w:r>
        <w:t xml:space="preserve">When simulating data for the</w:t>
      </w:r>
      <w:r>
        <w:t xml:space="preserve"> </w:t>
      </w:r>
      <w:r>
        <w:rPr>
          <w:iCs/>
          <w:i/>
        </w:rPr>
        <w:t xml:space="preserve">no-evidence-accumulation model</w:t>
      </w:r>
      <w:r>
        <w:t xml:space="preserve">, we removed the accumulation of information across trials by setting the Hazard rate</w:t>
      </w:r>
      <w:r>
        <w:t xml:space="preserve"> </w:t>
      </w:r>
      <m:oMath>
        <m:r>
          <m:t>H</m:t>
        </m:r>
      </m:oMath>
      <w:r>
        <w:t xml:space="preserve"> </w:t>
      </w:r>
      <w:r>
        <w:t xml:space="preserve">to 0.5. Simulated data thus depended only on the participant-wise estimates for the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72.14% ± 0.17% of trials (in red). History-congruent amounted to 49.89% ± 0.03% of trials (in blue). In contrast to the full model, the no-accumulation model showed a significant bias against perceptual history T(4.32</w:t>
      </w:r>
      <w:r>
        <w:t xml:space="preserve">^{3}) = -3.28, p =</w:t>
      </w:r>
      <w:r>
        <w:t xml:space="preserve"> </w:t>
      </w:r>
      <m:oMath>
        <m:r>
          <m:t>1.06</m:t>
        </m:r>
        <m:r>
          <m:rPr>
            <m:sty m:val="p"/>
          </m:rPr>
          <m:t>×</m:t>
        </m:r>
        <m:sSup>
          <m:e>
            <m:r>
              <m:t>10</m:t>
            </m:r>
          </m:e>
          <m:sup>
            <m:r>
              <m:rPr>
                <m:sty m:val="p"/>
              </m:rPr>
              <m:t>−</m:t>
            </m:r>
            <m:r>
              <m:t>3</m:t>
            </m:r>
          </m:sup>
        </m:sSup>
      </m:oMath>
      <w:r>
        <w:t xml:space="preserve">; upper panel).</w:t>
      </w:r>
      <w:r>
        <w:t xml:space="preserve"> </w:t>
      </w:r>
      <w:r>
        <w:t xml:space="preserve">In contrast to the full model, there was no difference in the frequency of history-congruent choices between correct and error trials (T(4.31</w:t>
      </w:r>
      <w:r>
        <w:t xml:space="preserve">^{3}) = 0.76, p =</w:t>
      </w:r>
      <w:r>
        <w:t xml:space="preserve"> </w:t>
      </w:r>
      <m:oMath>
        <m:r>
          <m:t>0.44</m:t>
        </m:r>
      </m:oMath>
      <w:r>
        <w:t xml:space="preserve">; lower panel).</w:t>
      </w:r>
    </w:p>
    <w:p>
      <w:pPr>
        <w:pStyle w:val="BodyText"/>
      </w:pPr>
      <w:r>
        <w:t xml:space="preserve">B. In the no-evidence-accumulation model, we found no significant autocorrelation of history-congruence beyond the first trial, whereas the autocorrelation of stimulus-congruence was preserved.</w:t>
      </w:r>
    </w:p>
    <w:p>
      <w:pPr>
        <w:pStyle w:val="BodyText"/>
      </w:pPr>
      <w:r>
        <w:t xml:space="preserve">C. In the no-evidence-accumulation model, the number of consecutive trials at which true autocorrelation coefficients exceeded the autocorrelation coefficients for randomly permuted data increased with respect to stimulus-congruence (2.83 ± 1.49</w:t>
      </w:r>
      <w:r>
        <w:t xml:space="preserve">^{-3} trials; T(4.31</w:t>
      </w:r>
      <w:r>
        <w:t xml:space="preserve">^{3}) = 3.45, p =</w:t>
      </w:r>
      <w:r>
        <w:t xml:space="preserve"> </w:t>
      </w:r>
      <m:oMath>
        <m:r>
          <m:t>5.73</m:t>
        </m:r>
        <m:r>
          <m:rPr>
            <m:sty m:val="p"/>
          </m:rPr>
          <m:t>×</m:t>
        </m:r>
        <m:sSup>
          <m:e>
            <m:r>
              <m:t>10</m:t>
            </m:r>
          </m:e>
          <m:sup>
            <m:r>
              <m:rPr>
                <m:sty m:val="p"/>
              </m:rPr>
              <m:t>−</m:t>
            </m:r>
            <m:r>
              <m:t>4</m:t>
            </m:r>
          </m:sup>
        </m:sSup>
      </m:oMath>
      <w:r>
        <w:t xml:space="preserve">)</w:t>
      </w:r>
      <w:r>
        <w:t xml:space="preserve"> </w:t>
      </w:r>
      <w:r>
        <w:t xml:space="preserve">and decreased with respect to history-congruence (1.85 ± 3.49</w:t>
      </w:r>
      <w:r>
        <w:t xml:space="preserve">^{-4} trials; T(4.32</w:t>
      </w:r>
      <w:r>
        <w:t xml:space="preserve">^{3}) = -19.37, p =</w:t>
      </w:r>
      <w:r>
        <w:t xml:space="preserve"> </w:t>
      </w:r>
      <m:oMath>
        <m:r>
          <m:t>3.49</m:t>
        </m:r>
        <m:r>
          <m:rPr>
            <m:sty m:val="p"/>
          </m:rPr>
          <m:t>×</m:t>
        </m:r>
        <m:sSup>
          <m:e>
            <m:r>
              <m:t>10</m:t>
            </m:r>
          </m:e>
          <m:sup>
            <m:r>
              <m:rPr>
                <m:sty m:val="p"/>
              </m:rPr>
              <m:t>−</m:t>
            </m:r>
            <m:r>
              <m:t>80</m:t>
            </m:r>
          </m:sup>
        </m:sSup>
      </m:oMath>
      <w:r>
        <w:t xml:space="preserve">) relative to the full model.</w:t>
      </w:r>
    </w:p>
    <w:p>
      <w:pPr>
        <w:pStyle w:val="BodyText"/>
      </w:pPr>
      <w:r>
        <w:t xml:space="preserve">D. In the no-evidence-accumulation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0.82</m:t>
        </m:r>
      </m:oMath>
      <w:r>
        <w:t xml:space="preserve"> </w:t>
      </w:r>
      <w:r>
        <w:t xml:space="preserve">±</w:t>
      </w:r>
      <w:r>
        <w:t xml:space="preserve"> </w:t>
      </w:r>
      <m:oMath>
        <m:r>
          <m:t>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681.98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706.57</m:t>
        </m:r>
      </m:oMath>
      <w:r>
        <w:t xml:space="preserve">, p =</w:t>
      </w:r>
      <w:r>
        <w:t xml:space="preserve"> </w:t>
      </w:r>
      <m:oMath>
        <m:r>
          <m:t>0</m:t>
        </m:r>
      </m:oMath>
      <w:r>
        <w:t xml:space="preserve">).</w:t>
      </w:r>
    </w:p>
    <w:p>
      <w:pPr>
        <w:pStyle w:val="BodyText"/>
      </w:pPr>
      <w:r>
        <w:t xml:space="preserve">E. In the no-evidence-accumulation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not significantly anti-correlated (</w:t>
      </w:r>
      <m:oMath>
        <m:r>
          <m:t>β</m:t>
        </m:r>
      </m:oMath>
      <w:r>
        <w:t xml:space="preserve"> </w:t>
      </w:r>
      <w:r>
        <w:t xml:space="preserve">=</w:t>
      </w:r>
      <w:r>
        <w:t xml:space="preserve"> </w:t>
      </w:r>
      <m:oMath>
        <m:r>
          <m:t>6.39</m:t>
        </m:r>
        <m:r>
          <m:rPr>
            <m:sty m:val="p"/>
          </m:rPr>
          <m:t>×</m:t>
        </m:r>
        <m:sSup>
          <m:e>
            <m:r>
              <m:t>10</m:t>
            </m:r>
          </m:e>
          <m:sup>
            <m:r>
              <m:rPr>
                <m:sty m:val="p"/>
              </m:rPr>
              <m:t>−</m:t>
            </m:r>
            <m:r>
              <m:t>4</m:t>
            </m:r>
          </m:sup>
        </m:sSup>
      </m:oMath>
      <w:r>
        <w:t xml:space="preserve"> </w:t>
      </w:r>
      <w:r>
        <w:t xml:space="preserve">±</w:t>
      </w:r>
      <w:r>
        <w:t xml:space="preserve"> </w:t>
      </w:r>
      <m:oMath>
        <m:r>
          <m:t>7.22</m:t>
        </m:r>
        <m:r>
          <m:rPr>
            <m:sty m:val="p"/>
          </m:rPr>
          <m:t>×</m:t>
        </m:r>
        <m:sSup>
          <m:e>
            <m:r>
              <m:t>10</m:t>
            </m:r>
          </m:e>
          <m:sup>
            <m:r>
              <m:rPr>
                <m:sty m:val="p"/>
              </m:rPr>
              <m:t>−</m:t>
            </m:r>
            <m:r>
              <m:t>4</m:t>
            </m:r>
          </m:sup>
        </m:sSup>
      </m:oMath>
      <w:r>
        <w:t xml:space="preserve">, T(</w:t>
      </w:r>
      <m:oMath>
        <m:r>
          <m:t>8.89</m:t>
        </m:r>
        <m:r>
          <m:rPr>
            <m:sty m:val="p"/>
          </m:rPr>
          <m:t>×</m:t>
        </m:r>
        <m:sSup>
          <m:e>
            <m:r>
              <m:t>10</m:t>
            </m:r>
          </m:e>
          <m:sup>
            <m:r>
              <m:t>5</m:t>
            </m:r>
          </m:sup>
        </m:sSup>
      </m:oMath>
      <w:r>
        <w:t xml:space="preserve">) =</w:t>
      </w:r>
      <w:r>
        <w:t xml:space="preserve"> </w:t>
      </w:r>
      <m:oMath>
        <m:r>
          <m:t>0.89</m:t>
        </m:r>
      </m:oMath>
      <w:r>
        <w:t xml:space="preserve">, p =</w:t>
      </w:r>
      <w:r>
        <w:t xml:space="preserve"> </w:t>
      </w:r>
      <m:oMath>
        <m:r>
          <m:t>0.38</m:t>
        </m:r>
      </m:oMath>
      <w:r>
        <w:t xml:space="preserve">).</w:t>
      </w:r>
    </w:p>
    <w:p>
      <w:pPr>
        <w:pStyle w:val="BodyText"/>
      </w:pPr>
      <w:r>
        <w:t xml:space="preserve">F. In the no-evidence-accumulation model, the average squared coherence between fluctuations in simulated stimulus- and history-congruence (black dotted line) was reduced in comparison to the full model (T(3.56</w:t>
      </w:r>
      <w:r>
        <w:t xml:space="preserve">^{3}) = -9.96, p =</w:t>
      </w:r>
      <w:r>
        <w:t xml:space="preserve"> </w:t>
      </w:r>
      <m:oMath>
        <m:r>
          <m:t>4.63</m:t>
        </m:r>
        <m:r>
          <m:rPr>
            <m:sty m:val="p"/>
          </m:rPr>
          <m:t>×</m:t>
        </m:r>
        <m:sSup>
          <m:e>
            <m:r>
              <m:t>10</m:t>
            </m:r>
          </m:e>
          <m:sup>
            <m:r>
              <m:rPr>
                <m:sty m:val="p"/>
              </m:rPr>
              <m:t>−</m:t>
            </m:r>
            <m:r>
              <m:t>23</m:t>
            </m:r>
          </m:sup>
        </m:sSup>
      </m:oMath>
      <w:r>
        <w:t xml:space="preserve">)</w:t>
      </w:r>
      <w:r>
        <w:t xml:space="preserve"> </w:t>
      </w:r>
      <w:r>
        <w:t xml:space="preserve">and amounted to 2.8 ± 7.29</w:t>
      </w:r>
      <w:r>
        <w:t xml:space="preserve">^{-4}%.</w:t>
      </w:r>
    </w:p>
    <w:p>
      <w:pPr>
        <w:pStyle w:val="BodyText"/>
      </w:pPr>
      <w:r>
        <w:t xml:space="preserve">G. Similar to the full bimodal inference model, confidence simulated from the no-evidence-accumulation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9.4</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158.1</m:t>
        </m:r>
      </m:oMath>
      <w:r>
        <w:t xml:space="preserve">, p =</w:t>
      </w:r>
      <w:r>
        <w:t xml:space="preserve"> </w:t>
      </w:r>
      <m:oMath>
        <m:r>
          <m:t>0</m:t>
        </m:r>
      </m:oMath>
      <w:r>
        <w:t xml:space="preserve">).</w:t>
      </w:r>
      <w:r>
        <w:t xml:space="preserve"> </w:t>
      </w:r>
      <w:r>
        <w:t xml:space="preserve">In contrast to the full bimodal inference model, history-congruent choices were not characterized by enhanced confidence (</w:t>
      </w:r>
      <m:oMath>
        <m:r>
          <m:t>β</m:t>
        </m:r>
      </m:oMath>
      <w:r>
        <w:t xml:space="preserve"> </w:t>
      </w:r>
      <w:r>
        <w:t xml:space="preserve">=</w:t>
      </w:r>
      <w:r>
        <w:t xml:space="preserve"> </w:t>
      </w:r>
      <m:oMath>
        <m:r>
          <m:t>8.78</m:t>
        </m:r>
        <m:r>
          <m:rPr>
            <m:sty m:val="p"/>
          </m:rPr>
          <m:t>×</m:t>
        </m:r>
        <m:sSup>
          <m:e>
            <m:r>
              <m:t>10</m:t>
            </m:r>
          </m:e>
          <m:sup>
            <m:r>
              <m:rPr>
                <m:sty m:val="p"/>
              </m:rPr>
              <m:t>−</m:t>
            </m:r>
            <m:r>
              <m:t>5</m:t>
            </m:r>
          </m:sup>
        </m:sSup>
      </m:oMath>
      <w:r>
        <w:t xml:space="preserve"> </w:t>
      </w:r>
      <w:r>
        <w:t xml:space="preserve">±</w:t>
      </w:r>
      <w:r>
        <w:t xml:space="preserve"> </w:t>
      </w:r>
      <m:oMath>
        <m:r>
          <m:t>8.21</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1.07</m:t>
        </m:r>
      </m:oMath>
      <w:r>
        <w:t xml:space="preserve">, p =</w:t>
      </w:r>
      <w:r>
        <w:t xml:space="preserve"> </w:t>
      </w:r>
      <m:oMath>
        <m:r>
          <m:t>0.29</m:t>
        </m:r>
      </m:oMath>
      <w:r>
        <w:t xml:space="preserve">).</w:t>
      </w:r>
    </w:p>
    <w:p>
      <w:pPr>
        <w:pStyle w:val="BodyText"/>
      </w:pPr>
      <w:r>
        <w:t xml:space="preserve">H. In the no-evidence-accumulation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0.19</m:t>
        </m:r>
      </m:oMath>
      <w:r>
        <w:t xml:space="preserve"> </w:t>
      </w:r>
      <w:r>
        <w:t xml:space="preserve">±</w:t>
      </w:r>
      <w:r>
        <w:t xml:space="preserve"> </w:t>
      </w:r>
      <m:oMath>
        <m:r>
          <m:t>0.06</m:t>
        </m:r>
      </m:oMath>
      <w:r>
        <w:t xml:space="preserve">, T(</w:t>
      </w:r>
      <m:oMath>
        <m:r>
          <m:t>2.11</m:t>
        </m:r>
        <m:r>
          <m:rPr>
            <m:sty m:val="p"/>
          </m:rPr>
          <m:t>×</m:t>
        </m:r>
        <m:sSup>
          <m:e>
            <m:r>
              <m:t>10</m:t>
            </m:r>
          </m:e>
          <m:sup>
            <m:r>
              <m:t>6</m:t>
            </m:r>
          </m:sup>
        </m:sSup>
      </m:oMath>
      <w:r>
        <w:t xml:space="preserve">) =</w:t>
      </w:r>
      <w:r>
        <w:t xml:space="preserve"> </w:t>
      </w:r>
      <m:oMath>
        <m:r>
          <m:t>3</m:t>
        </m:r>
      </m:oMath>
      <w:r>
        <w:t xml:space="preserve">, p =</w:t>
      </w:r>
      <w:r>
        <w:t xml:space="preserve"> </w:t>
      </w:r>
      <m:oMath>
        <m:r>
          <m:t>2.69</m:t>
        </m:r>
        <m:r>
          <m:rPr>
            <m:sty m:val="p"/>
          </m:rPr>
          <m:t>×</m:t>
        </m:r>
        <m:sSup>
          <m:e>
            <m:r>
              <m:t>10</m:t>
            </m:r>
          </m:e>
          <m:sup>
            <m:r>
              <m:rPr>
                <m:sty m:val="p"/>
              </m:rPr>
              <m:t>−</m:t>
            </m:r>
            <m:r>
              <m:t>3</m:t>
            </m:r>
          </m:sup>
        </m:sSup>
      </m:oMath>
      <w:r>
        <w:t xml:space="preserve">). The horizontal and vertical dotted lines indicate minimum posterior certainty and the associated mode, respectively.</w:t>
      </w:r>
    </w:p>
    <w:p>
      <w:r>
        <w:br w:type="page"/>
      </w:r>
    </w:p>
    <w:bookmarkEnd w:id="131"/>
    <w:bookmarkStart w:id="135" w:name="supplemental-figure-s14"/>
    <w:p>
      <w:pPr>
        <w:pStyle w:val="Heading2"/>
      </w:pPr>
      <w:r>
        <w:t xml:space="preserve">Supplemental Figure S14</w:t>
      </w:r>
    </w:p>
    <w:p>
      <w:pPr>
        <w:pStyle w:val="FirstParagraph"/>
      </w:pPr>
      <w:r>
        <w:drawing>
          <wp:inline>
            <wp:extent cx="4620126" cy="3696101"/>
            <wp:effectExtent b="0" l="0" r="0" t="0"/>
            <wp:docPr descr="" title="" id="133" name="Picture"/>
            <a:graphic>
              <a:graphicData uri="http://schemas.openxmlformats.org/drawingml/2006/picture">
                <pic:pic>
                  <pic:nvPicPr>
                    <pic:cNvPr descr="modes_mouse_rev1b_files/figure-docx/Supplemental_Figure_S14-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S14. Autocorrelation of history-congruence of alternating and repeating biases.</w:t>
      </w:r>
      <w:r>
        <w:t xml:space="preserve"> </w:t>
      </w:r>
      <w:r>
        <w:t xml:space="preserve">Here, we simulate the autocorrelation of history-congruence in</w:t>
      </w:r>
      <w:r>
        <w:t xml:space="preserve"> </w:t>
      </w:r>
      <m:oMath>
        <m:sSup>
          <m:e>
            <m:r>
              <m:t>10</m:t>
            </m:r>
          </m:e>
          <m:sup>
            <m:r>
              <m:t>3</m:t>
            </m:r>
          </m:sup>
        </m:sSup>
      </m:oMath>
      <w:r>
        <w:t xml:space="preserve"> </w:t>
      </w:r>
      <w:r>
        <w:t xml:space="preserve">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r>
        <w:br w:type="page"/>
      </w:r>
    </w:p>
    <w:bookmarkEnd w:id="135"/>
    <w:bookmarkStart w:id="136" w:name="supplemental-table-t1"/>
    <w:p>
      <w:pPr>
        <w:pStyle w:val="Heading2"/>
      </w:pPr>
      <w:r>
        <w:t xml:space="preserve">Supplemental Table T1</w:t>
      </w:r>
    </w:p>
    <w:p>
      <w:r>
        <w:br w:type="page"/>
      </w:r>
    </w:p>
    <w:bookmarkEnd w:id="136"/>
    <w:bookmarkStart w:id="137" w:name="supplemental-table-t2"/>
    <w:p>
      <w:pPr>
        <w:pStyle w:val="Heading2"/>
      </w:pPr>
      <w:r>
        <w:t xml:space="preserve">Supplemental Table T2</w:t>
      </w:r>
    </w:p>
    <w:p>
      <w:r>
        <w:br w:type="page"/>
      </w:r>
    </w:p>
    <w:bookmarkEnd w:id="137"/>
    <w:bookmarkEnd w:id="138"/>
    <w:bookmarkStart w:id="184" w:name="response-to-reviewers"/>
    <w:p>
      <w:pPr>
        <w:pStyle w:val="Heading1"/>
      </w:pPr>
      <w:r>
        <w:t xml:space="preserve">Response to Reviewers</w:t>
      </w:r>
    </w:p>
    <w:bookmarkStart w:id="166" w:name="reviewer-1"/>
    <w:p>
      <w:pPr>
        <w:pStyle w:val="Heading2"/>
      </w:pPr>
      <w:r>
        <w:t xml:space="preserve">Reviewer 1:</w:t>
      </w:r>
    </w:p>
    <w:p>
      <w:pPr>
        <w:pStyle w:val="FirstParagraph"/>
      </w:pPr>
      <w:r>
        <w:rPr>
          <w:bCs/>
          <w:b/>
        </w:rPr>
        <w:t xml:space="preserve">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pPr>
        <w:pStyle w:val="BodyText"/>
      </w:pPr>
      <w:r>
        <w:rPr>
          <w:bCs/>
          <w:b/>
        </w:rPr>
        <w:t xml:space="preserve">I enjoyed reading this long but thought-provoking report of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pPr>
        <w:pStyle w:val="BodyText"/>
      </w:pPr>
      <w:r>
        <w:rPr>
          <w:bCs/>
          <w:b/>
        </w:rPr>
        <w:t xml:space="preserve">I think that both issues could be resolved by shortening the paper and removing (or, at least, greatly simplifying) the final simulation studies of metacognition. I try to unpack this suggestion in the following.</w:t>
      </w:r>
    </w:p>
    <w:p>
      <w:pPr>
        <w:pStyle w:val="BodyText"/>
      </w:pPr>
      <w: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it’s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pPr>
        <w:pStyle w:val="BodyText"/>
      </w:pPr>
      <w:r>
        <w:rPr>
          <w:bCs/>
          <w:b/>
        </w:rPr>
        <w:t xml:space="preserve">Major points:</w:t>
      </w:r>
    </w:p>
    <w:p>
      <w:pPr>
        <w:pStyle w:val="BodyText"/>
      </w:pPr>
      <w:r>
        <w:rPr>
          <w:bCs/>
          <w:b/>
        </w:rPr>
        <w:t xml:space="preserve">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(parameterised with a hazard function).</w:t>
      </w:r>
    </w:p>
    <w:p>
      <w:pPr>
        <w:pStyle w:val="BodyText"/>
      </w:pPr>
      <w:r>
        <w:rPr>
          <w:bCs/>
          <w:b/>
        </w:rPr>
        <w:t xml:space="preserve">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pPr>
        <w:pStyle w:val="BodyText"/>
      </w:pPr>
      <w:r>
        <w:rPr>
          <w:bCs/>
          <w:b/>
        </w:rPr>
        <w:t xml:space="preserve">Note that I am reading the parameters omega_LLR and omega_ψ as the precision of the likelihood and prior, where the precision of the likelihood is called sensory precision. This contrasts with your use of sensory precision, which seems to be attributed to a metacognitive construct M.</w:t>
      </w:r>
    </w:p>
    <w:p>
      <w:pPr>
        <w:pStyle w:val="BodyText"/>
      </w:pPr>
      <w:r>
        <w:rPr>
          <w:bCs/>
          <w:b/>
        </w:rPr>
        <w:t xml:space="preserve">As noted above, all of this is fascinating but there are too many moving parts that do not fit together comfortably. I will list a few examples:</w:t>
      </w:r>
    </w:p>
    <w:bookmarkStart w:id="139" w:name="comment-1"/>
    <w:p>
      <w:pPr>
        <w:pStyle w:val="Heading3"/>
      </w:pPr>
      <w:r>
        <w:t xml:space="preserve">Comment 1</w:t>
      </w:r>
    </w:p>
    <w:p>
      <w:pPr>
        <w:pStyle w:val="FirstParagraph"/>
      </w:pPr>
      <w:r>
        <w:rPr>
          <w:bCs/>
          <w:b/>
        </w:rPr>
        <w:t xml:space="preserve">If, empirically, the fluctuations in sensitivity are scale-free with a 1/f power law, why did you elect to model fluctuations in precision as a periodic function with one unique timescale (i.e., f).?</w:t>
      </w:r>
    </w:p>
    <w:p>
      <w:pPr>
        <w:pStyle w:val="BodyText"/>
      </w:pPr>
      <w:r>
        <w:t xml:space="preserve">The reason for choosing a unique timescale</w:t>
      </w:r>
      <w:r>
        <w:t xml:space="preserve"> </w:t>
      </w:r>
      <m:oMath>
        <m:r>
          <m:t>f</m:t>
        </m:r>
      </m:oMath>
      <w:r>
        <w:t xml:space="preserve"> </w:t>
      </w:r>
      <w:r>
        <w:t xml:space="preserve">was to enable our model to depict the dominant timescale at which prior and likelihood precision are shifted against each other, giving rise to what constitutes between-mode fluctuations. We think that identifying this timescale is important for planning future experiments targeted at between-mode fluctuations and their manipulation by causal interventions (e.g., pharmacology or TMS). The posterior value for</w:t>
      </w:r>
      <w:r>
        <w:t xml:space="preserve"> </w:t>
      </w:r>
      <m:oMath>
        <m:r>
          <m:t>f</m:t>
        </m:r>
      </m:oMath>
      <w:r>
        <w:t xml:space="preserve"> </w:t>
      </w:r>
      <w:r>
        <w:t xml:space="preserve">lies at approximately 0.11 1/</w:t>
      </w:r>
      <m:oMath>
        <m:sSub>
          <m:e>
            <m:r>
              <m:t>N</m:t>
            </m:r>
          </m:e>
          <m:sub>
            <m:r>
              <m:t>t</m:t>
            </m:r>
            <m:r>
              <m:t>r</m:t>
            </m:r>
            <m:r>
              <m:t>i</m:t>
            </m:r>
            <m:r>
              <m:t>a</m:t>
            </m:r>
            <m:r>
              <m:t>l</m:t>
            </m:r>
            <m:r>
              <m:t>s</m:t>
            </m:r>
          </m:sub>
        </m:sSub>
      </m:oMath>
      <w:r>
        <w:t xml:space="preserve"> </w:t>
      </w:r>
      <w:r>
        <w:t xml:space="preserve">in both humans and mice. The value of</w:t>
      </w:r>
      <w:r>
        <w:t xml:space="preserve"> </w:t>
      </w:r>
      <m:oMath>
        <m:r>
          <m:t>f</m:t>
        </m:r>
      </m:oMath>
      <w:r>
        <w:t xml:space="preserve"> </w:t>
      </w:r>
      <w:r>
        <w:t xml:space="preserve">approximately matches the transition probabilities between</w:t>
      </w:r>
      <w:r>
        <w:t xml:space="preserve"> </w:t>
      </w:r>
      <w:r>
        <w:rPr>
          <w:iCs/>
          <w:i/>
        </w:rPr>
        <w:t xml:space="preserve">engaged</w:t>
      </w:r>
      <w:r>
        <w:t xml:space="preserve"> </w:t>
      </w:r>
      <w:r>
        <w:t xml:space="preserve">and</w:t>
      </w:r>
      <w:r>
        <w:t xml:space="preserve"> </w:t>
      </w:r>
      <w:r>
        <w:rPr>
          <w:iCs/>
          <w:i/>
        </w:rPr>
        <w:t xml:space="preserve">disenganged</w:t>
      </w:r>
      <w:r>
        <w:t xml:space="preserve"> </w:t>
      </w:r>
      <w:r>
        <w:t xml:space="preserve">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w:t>
      </w:r>
      <w:r>
        <w:t xml:space="preserve"> </w:t>
      </w:r>
      <w:r>
        <w:rPr>
          <w:iCs/>
          <w:i/>
        </w:rPr>
        <w:t xml:space="preserve">measurement</w:t>
      </w:r>
      <w:r>
        <w:t xml:space="preserve"> </w:t>
      </w:r>
      <w:r>
        <w:t xml:space="preserve">for these fluctuations, such that our analysis is limited y definition to frequencies below 1 (1/</w:t>
      </w:r>
      <m:oMath>
        <m:sSub>
          <m:e>
            <m:r>
              <m:t>N</m:t>
            </m:r>
          </m:e>
          <m:sub>
            <m:r>
              <m:t>t</m:t>
            </m:r>
            <m:r>
              <m:t>r</m:t>
            </m:r>
            <m:r>
              <m:t>i</m:t>
            </m:r>
            <m:r>
              <m:t>a</m:t>
            </m:r>
            <m:r>
              <m:t>l</m:t>
            </m:r>
            <m:r>
              <m:t>s</m:t>
            </m:r>
          </m:sub>
        </m:sSub>
      </m:oMath>
      <w:r>
        <w:t xml:space="preserve">).</w:t>
      </w:r>
    </w:p>
    <w:p>
      <w:pPr>
        <w:pStyle w:val="BodyText"/>
      </w:pPr>
      <w:r>
        <w:t xml:space="preserve">We now provide a rationale for choosing one value for</w:t>
      </w:r>
      <w:r>
        <w:t xml:space="preserve"> </w:t>
      </w:r>
      <m:oMath>
        <m:r>
          <m:t>f</m:t>
        </m:r>
      </m:oMath>
      <w:r>
        <w:t xml:space="preserve"> </w:t>
      </w:r>
      <w:r>
        <w:t xml:space="preserve">- identifying the dominant timescale for fluctuations in mode - in the results section:</w:t>
      </w:r>
    </w:p>
    <w:p>
      <w:pPr>
        <w:numPr>
          <w:ilvl w:val="0"/>
          <w:numId w:val="1002"/>
        </w:numPr>
      </w:pPr>
      <w:r>
        <w:rPr>
          <w:bCs/>
          <w:b/>
        </w:rPr>
        <w:t xml:space="preserve">To allow for</w:t>
      </w:r>
      <w:r>
        <w:rPr>
          <w:bCs/>
          <w:b/>
        </w:rPr>
        <w:t xml:space="preserve"> </w:t>
      </w:r>
      <w:r>
        <w:rPr>
          <w:iCs/>
          <w:i/>
          <w:bCs/>
          <w:b/>
        </w:rPr>
        <w:t xml:space="preserve">bimodal inference</w:t>
      </w:r>
      <w:r>
        <w:rPr>
          <w:bCs/>
          <w:b/>
        </w:rP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t xml:space="preserve">*</w:t>
      </w:r>
    </w:p>
    <w:p>
      <w:pPr>
        <w:numPr>
          <w:ilvl w:val="0"/>
          <w:numId w:val="1002"/>
        </w:numPr>
      </w:pPr>
      <w:r>
        <w:rPr>
          <w:bCs/>
          <w:b/>
        </w:rPr>
        <w:t xml:space="preserve">(…)The parameter</w:t>
      </w:r>
      <w:r>
        <w:rPr>
          <w:bCs/>
          <w:b/>
        </w:rPr>
        <w:t xml:space="preserve"> </w:t>
      </w:r>
      <m:oMath>
        <m:r>
          <m:t>f</m:t>
        </m:r>
      </m:oMath>
      <w:r>
        <w:rPr>
          <w:bCs/>
          <w:b/>
        </w:rPr>
        <w:t xml:space="preserve"> </w:t>
      </w:r>
      <w:r>
        <w:rPr>
          <w:bCs/>
          <w:b/>
        </w:rPr>
        <w:t xml:space="preserve">captures the dominant time scale at which likelihood (amplitude humans:</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2.02</m:t>
        </m:r>
        <m:r>
          <m:rPr>
            <m:sty m:val="p"/>
          </m:rPr>
          <m:t>×</m:t>
        </m:r>
        <m:sSup>
          <m:e>
            <m:r>
              <m:t>10</m:t>
            </m:r>
          </m:e>
          <m:sup>
            <m:r>
              <m:rPr>
                <m:sty m:val="p"/>
              </m:rPr>
              <m:t>−</m:t>
            </m:r>
            <m:r>
              <m:t>4</m:t>
            </m:r>
          </m:sup>
        </m:sSup>
      </m:oMath>
      <w:r>
        <w:rPr>
          <w:bCs/>
          <w:b/>
        </w:rPr>
        <w:t xml:space="preserve">; mice:</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0.39</m:t>
        </m:r>
      </m:oMath>
      <w:r>
        <w:rPr>
          <w:bCs/>
          <w:b/>
        </w:rPr>
        <w:t xml:space="preserve"> </w:t>
      </w:r>
      <w:r>
        <w:rPr>
          <w:bCs/>
          <w:b/>
        </w:rPr>
        <w:t xml:space="preserve">±</w:t>
      </w:r>
      <w:r>
        <w:rPr>
          <w:bCs/>
          <w:b/>
        </w:rPr>
        <w:t xml:space="preserve"> </w:t>
      </w:r>
      <m:oMath>
        <m:r>
          <m:t>1.08</m:t>
        </m:r>
        <m:r>
          <m:rPr>
            <m:sty m:val="p"/>
          </m:rPr>
          <m:t>×</m:t>
        </m:r>
        <m:sSup>
          <m:e>
            <m:r>
              <m:t>10</m:t>
            </m:r>
          </m:e>
          <m:sup>
            <m:r>
              <m:rPr>
                <m:sty m:val="p"/>
              </m:rPr>
              <m:t>−</m:t>
            </m:r>
            <m:r>
              <m:t>3</m:t>
            </m:r>
          </m:sup>
        </m:sSup>
      </m:oMath>
      <w:r>
        <w:rPr>
          <w:bCs/>
          <w:b/>
        </w:rPr>
        <w:t xml:space="preserve"> </w:t>
      </w:r>
      <w:r>
        <w:rPr>
          <w:bCs/>
          <w:b/>
        </w:rPr>
        <w:t xml:space="preserve">and prior precision (amplitude humans:</w:t>
      </w:r>
      <w:r>
        <w:rPr>
          <w:bCs/>
          <w:b/>
        </w:rPr>
        <w:t xml:space="preserve"> </w:t>
      </w:r>
      <m:oMath>
        <m:sSub>
          <m:e>
            <m:r>
              <m:t>a</m:t>
            </m:r>
          </m:e>
          <m:sub>
            <m:r>
              <m:t>ψ</m:t>
            </m:r>
          </m:sub>
        </m:sSub>
      </m:oMath>
      <w:r>
        <w:rPr>
          <w:bCs/>
          <w:b/>
        </w:rPr>
        <w:t xml:space="preserve"> </w:t>
      </w:r>
      <w:r>
        <w:rPr>
          <w:bCs/>
          <w:b/>
        </w:rPr>
        <w:t xml:space="preserve">=</w:t>
      </w:r>
      <w:r>
        <w:rPr>
          <w:bCs/>
          <w:b/>
        </w:rPr>
        <w:t xml:space="preserve"> </w:t>
      </w:r>
      <m:oMath>
        <m:r>
          <m:t>1.44</m:t>
        </m:r>
      </m:oMath>
      <w:r>
        <w:rPr>
          <w:bCs/>
          <w:b/>
        </w:rPr>
        <w:t xml:space="preserve"> </w:t>
      </w:r>
      <w:r>
        <w:rPr>
          <w:bCs/>
          <w:b/>
        </w:rPr>
        <w:t xml:space="preserve">±</w:t>
      </w:r>
      <w:r>
        <w:rPr>
          <w:bCs/>
          <w:b/>
        </w:rPr>
        <w:t xml:space="preserve"> </w:t>
      </w:r>
      <m:oMath>
        <m:r>
          <m:t>5.27</m:t>
        </m:r>
        <m:r>
          <m:rPr>
            <m:sty m:val="p"/>
          </m:rPr>
          <m:t>×</m:t>
        </m:r>
        <m:sSup>
          <m:e>
            <m:r>
              <m:t>10</m:t>
            </m:r>
          </m:e>
          <m:sup>
            <m:r>
              <m:rPr>
                <m:sty m:val="p"/>
              </m:rPr>
              <m:t>−</m:t>
            </m:r>
            <m:r>
              <m:t>4</m:t>
            </m:r>
          </m:sup>
        </m:sSup>
      </m:oMath>
      <w:r>
        <w:rPr>
          <w:bCs/>
          <w:b/>
        </w:rPr>
        <w:t xml:space="preserve">; mice:</w:t>
      </w:r>
      <w:r>
        <w:rPr>
          <w:bCs/>
          <w:b/>
        </w:rPr>
        <w:t xml:space="preserve"> </w:t>
      </w:r>
      <m:oMath>
        <m:sSub>
          <m:e>
            <m:r>
              <m:t>a</m:t>
            </m:r>
          </m:e>
          <m:sub>
            <m:r>
              <m:t>ψ</m:t>
            </m:r>
          </m:sub>
        </m:sSub>
      </m:oMath>
      <w:r>
        <w:rPr>
          <w:bCs/>
          <w:b/>
        </w:rPr>
        <w:t xml:space="preserve"> </w:t>
      </w:r>
      <w:r>
        <w:rPr>
          <w:bCs/>
          <w:b/>
        </w:rPr>
        <w:t xml:space="preserve">=</w:t>
      </w:r>
      <w:r>
        <w:rPr>
          <w:bCs/>
          <w:b/>
        </w:rPr>
        <w:t xml:space="preserve"> </w:t>
      </w:r>
      <m:oMath>
        <m:r>
          <m:t>1.71</m:t>
        </m:r>
        <m:r>
          <m:rPr>
            <m:sty m:val="p"/>
          </m:rPr>
          <m:t>±</m:t>
        </m:r>
        <m:r>
          <m:t>7.15</m:t>
        </m:r>
        <m:r>
          <m:rPr>
            <m:sty m:val="p"/>
          </m:rPr>
          <m:t>×</m:t>
        </m:r>
        <m:sSup>
          <m:e>
            <m:r>
              <m:t>10</m:t>
            </m:r>
          </m:e>
          <m:sup>
            <m:r>
              <m:rPr>
                <m:sty m:val="p"/>
              </m:rPr>
              <m:t>−</m:t>
            </m:r>
            <m:r>
              <m:t>3</m:t>
            </m:r>
          </m:sup>
        </m:sSup>
      </m:oMath>
      <w:r>
        <w:rPr>
          <w:bCs/>
          <w:b/>
        </w:rPr>
        <w:t xml:space="preserve"> </w:t>
      </w:r>
      <w:r>
        <w:rPr>
          <w:bCs/>
          <w:b/>
        </w:rPr>
        <w:t xml:space="preserve">were shifted against each other and was estimated at</w:t>
      </w:r>
      <w:r>
        <w:rPr>
          <w:bCs/>
          <w:b/>
        </w:rPr>
        <w:t xml:space="preserve"> </w:t>
      </w:r>
      <m:oMath>
        <m:r>
          <m:t>0.11</m:t>
        </m:r>
      </m:oMath>
      <w:r>
        <w:rPr>
          <w:bCs/>
          <w:b/>
        </w:rPr>
        <w:t xml:space="preserve"> </w:t>
      </w:r>
      <w:r>
        <w:rPr>
          <w:bCs/>
          <w:b/>
        </w:rPr>
        <w:t xml:space="preserve">±</w:t>
      </w:r>
      <w:r>
        <w:rPr>
          <w:bCs/>
          <w:b/>
        </w:rPr>
        <w:t xml:space="preserve"> </w:t>
      </w:r>
      <m:oMath>
        <m:r>
          <m:t>1.68</m:t>
        </m:r>
        <m:r>
          <m:rPr>
            <m:sty m:val="p"/>
          </m:rPr>
          <m:t>×</m:t>
        </m:r>
        <m:sSup>
          <m:e>
            <m:r>
              <m:t>10</m:t>
            </m:r>
          </m:e>
          <m:sup>
            <m:r>
              <m:rPr>
                <m:sty m:val="p"/>
              </m:rPr>
              <m:t>−</m:t>
            </m:r>
            <m:r>
              <m:t>5</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and</w:t>
      </w:r>
      <w:r>
        <w:rPr>
          <w:bCs/>
          <w:b/>
        </w:rPr>
        <w:t xml:space="preserve"> </w:t>
      </w:r>
      <m:oMath>
        <m:r>
          <m:t>0.11</m:t>
        </m:r>
        <m:r>
          <m:rPr>
            <m:sty m:val="p"/>
          </m:rPr>
          <m:t>±</m:t>
        </m:r>
        <m:r>
          <m:t>1.63</m:t>
        </m:r>
        <m:r>
          <m:rPr>
            <m:sty m:val="p"/>
          </m:rPr>
          <m:t>×</m:t>
        </m:r>
        <m:sSup>
          <m:e>
            <m:r>
              <m:t>10</m:t>
            </m:r>
          </m:e>
          <m:sup>
            <m:r>
              <m:rPr>
                <m:sty m:val="p"/>
              </m:rPr>
              <m:t>−</m:t>
            </m:r>
            <m:r>
              <m:t>4</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in mice.</w:t>
      </w:r>
    </w:p>
    <w:p>
      <w:pPr>
        <w:numPr>
          <w:ilvl w:val="0"/>
          <w:numId w:val="1002"/>
        </w:numPr>
      </w:pPr>
      <w:r>
        <w:t xml:space="preserve">Table 2 (see response to Comment 22 by Reviewer 1) contains an additional definition for all model parameters, including</w:t>
      </w:r>
      <w:r>
        <w:t xml:space="preserve"> </w:t>
      </w:r>
      <m:oMath>
        <m:r>
          <m:t>f</m:t>
        </m:r>
      </m:oMath>
      <w:r>
        <w:t xml:space="preserve">.</w:t>
      </w:r>
    </w:p>
    <w:bookmarkEnd w:id="139"/>
    <w:bookmarkStart w:id="140" w:name="comment-2"/>
    <w:p>
      <w:pPr>
        <w:pStyle w:val="Heading3"/>
      </w:pPr>
      <w:r>
        <w:t xml:space="preserve">Comment 2</w:t>
      </w:r>
    </w:p>
    <w:p>
      <w:pPr>
        <w:pStyle w:val="FirstParagraph"/>
      </w:pPr>
      <w:r>
        <w:rPr>
          <w:bCs/>
          <w:b/>
        </w:rPr>
        <w:t xml:space="preserve">At present, the estimates of meta-cognition (M) play the role of accumulated estimates of (sensory or prior) precision. Why are these not used in your model of perceptual decisions in Equation 2.</w:t>
      </w:r>
    </w:p>
    <w:p>
      <w:pPr>
        <w:pStyle w:val="BodyText"/>
      </w:pPr>
      <w:r>
        <w:t xml:space="preserve">In our model, the parameter</w:t>
      </w:r>
      <w:r>
        <w:t xml:space="preserve"> </w:t>
      </w:r>
      <m:oMath>
        <m:r>
          <m:t>α</m:t>
        </m:r>
      </m:oMath>
      <w:r>
        <w:t xml:space="preserve"> </w:t>
      </w:r>
      <w:r>
        <w:t xml:space="preserve">controls the encoding precision by governing the transformation from sensory stimuli to the log likelihood ratio (LLR) via the following equations (the LLR ends up closer closer to zero when</w:t>
      </w:r>
      <w:r>
        <w:t xml:space="preserve"> </w:t>
      </w:r>
      <m:oMath>
        <m:r>
          <m:t>α</m:t>
        </m:r>
      </m:oMath>
      <w:r>
        <w:t xml:space="preserve"> </w:t>
      </w:r>
      <w:r>
        <w:t xml:space="preserve">is low):</w:t>
      </w:r>
    </w:p>
    <w:p>
      <w:pPr>
        <w:pStyle w:val="BodyText"/>
      </w:pPr>
    </w:p>
    <w:p>
      <w:pPr>
        <w:pStyle w:val="BodyText"/>
      </w:pPr>
    </w:p>
    <w:p>
      <w:pPr>
        <w:pStyle w:val="BodyText"/>
      </w:pPr>
      <w:r>
        <w:t xml:space="preserve">Our model simulations on the adaptive benefits of bimodal inference rest on the assumption that</w:t>
      </w:r>
      <w:r>
        <w:t xml:space="preserve"> </w:t>
      </w:r>
      <m:oMath>
        <m:r>
          <m:t>α</m:t>
        </m:r>
      </m:oMath>
      <w:r>
        <w:t xml:space="preserve"> </w:t>
      </w:r>
      <w:r>
        <w:t xml:space="preserve">may change unpredictably. The construct</w:t>
      </w:r>
      <w:r>
        <w:t xml:space="preserve"> </w:t>
      </w:r>
      <m:oMath>
        <m:r>
          <m:t>M</m:t>
        </m:r>
      </m:oMath>
      <w:r>
        <w:t xml:space="preserve"> </w:t>
      </w:r>
      <w:r>
        <w:t xml:space="preserve">is a belief about</w:t>
      </w:r>
      <w:r>
        <w:t xml:space="preserve"> </w:t>
      </w:r>
      <m:oMath>
        <m:r>
          <m:t>α</m:t>
        </m:r>
      </m:oMath>
      <w:r>
        <w:t xml:space="preserve"> </w:t>
      </w:r>
      <w:r>
        <w:t xml:space="preserve">that may be useful for, e.g., communicating the precision of sensory encoding to other cognitive domains or agents. To our mind,</w:t>
      </w:r>
      <w:r>
        <w:t xml:space="preserve"> </w:t>
      </w:r>
      <m:oMath>
        <m:r>
          <m:t>α</m:t>
        </m:r>
      </m:oMath>
      <w:r>
        <w:t xml:space="preserve"> </w:t>
      </w:r>
      <w:r>
        <w:t xml:space="preserve">is a feature of low-level sensory encoding that cannot be modulated by top-down beliefs such as</w:t>
      </w:r>
      <w:r>
        <w:t xml:space="preserve"> </w:t>
      </w:r>
      <m:oMath>
        <m:r>
          <m:t>M</m:t>
        </m:r>
      </m:oMath>
      <w:r>
        <w:t xml:space="preserve">. This is why we did not include</w:t>
      </w:r>
      <w:r>
        <w:t xml:space="preserve"> </w:t>
      </w:r>
      <m:oMath>
        <m:r>
          <m:t>M</m:t>
        </m:r>
      </m:oMath>
      <w:r>
        <w:t xml:space="preserve"> </w:t>
      </w:r>
      <w:r>
        <w:t xml:space="preserve">in equation (2).</w:t>
      </w:r>
    </w:p>
    <w:bookmarkEnd w:id="140"/>
    <w:bookmarkStart w:id="141" w:name="comment-3"/>
    <w:p>
      <w:pPr>
        <w:pStyle w:val="Heading3"/>
      </w:pPr>
      <w:r>
        <w:t xml:space="preserve">Comment 3</w:t>
      </w:r>
    </w:p>
    <w:p>
      <w:pPr>
        <w:pStyle w:val="FirstParagraph"/>
      </w:pPr>
      <w:r>
        <w:rPr>
          <w:bCs/>
          <w:b/>
        </w:rPr>
        <w:t xml:space="preserve">Why do you assume that non-specific increases in attention and arousal will increase reaction times? If one has very precise prior beliefs (and is not attending to stimuli), would you not expect a decrease in reaction time?</w:t>
      </w:r>
    </w:p>
    <w:p>
      <w:pPr>
        <w:pStyle w:val="BodyText"/>
      </w:pPr>
      <w:r>
        <w:t xml:space="preserve">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(i), the accumulation of information across trials, and (ii), fluctuations in the likelihood precision relative to the prior precision, recapitulates this feature of the data, which is lost or greatly attenuated when eliminating process (i) and/or (ii) (see model comparison and simulations below). Our data thus confirm the hypothesis that both high prior and likelihood precision lead to faster RTs.</w:t>
      </w:r>
    </w:p>
    <w:p>
      <w:pPr>
        <w:pStyle w:val="BodyText"/>
      </w:pPr>
      <w:r>
        <w:t xml:space="preserve">In the previous version of the manuscript, we had included the relation between mode and RTs and confidence primarily as a defensive analysis against the proposition that what we call between-mode fluctuations is not a perceptual phenomenon, but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realize that,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These data are not available for the studies in the Confidence Database, but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pPr>
        <w:pStyle w:val="BodyText"/>
      </w:pPr>
      <w:r>
        <w:t xml:space="preserve">In the light of the considerations above and our response to Comment 6 by Reviewer 3, we now refer to attention in the predictive processing sense. We now use the term</w:t>
      </w:r>
      <w:r>
        <w:t xml:space="preserve"> </w:t>
      </w:r>
      <w:r>
        <w:t xml:space="preserve">“</w:t>
      </w:r>
      <w:r>
        <w:t xml:space="preserve">task engagement</w:t>
      </w:r>
      <w:r>
        <w:t xml:space="preserve">”</w:t>
      </w:r>
      <w:r>
        <w:t xml:space="preserve"> </w:t>
      </w:r>
      <w:r>
        <w:t xml:space="preserve">instead of</w:t>
      </w:r>
      <w:r>
        <w:t xml:space="preserve"> </w:t>
      </w:r>
      <w:r>
        <w:t xml:space="preserve">“</w:t>
      </w:r>
      <w:r>
        <w:t xml:space="preserve">on-task attention</w:t>
      </w:r>
      <w:r>
        <w:t xml:space="preserve">”</w:t>
      </w:r>
      <w:r>
        <w:t xml:space="preserve"> </w:t>
      </w:r>
      <w:r>
        <w:t xml:space="preserve">to refer to situation in which participants may not attend to the task at all, e.g. due to low arousal or fatigue, and discuss these as alternative explanations for between-mode fluctuations. We have made three sets of changes to our manuscript:</w:t>
      </w:r>
    </w:p>
    <w:p>
      <w:pPr>
        <w:pStyle w:val="BodyText"/>
      </w:pPr>
      <w:r>
        <w:t xml:space="preserve">First, we present our results on the relation of mode to RT and Confidence in a more descriptive way, and do not use it as a strong defensive analysis against:</w:t>
      </w:r>
    </w:p>
    <w:p>
      <w:pPr>
        <w:numPr>
          <w:ilvl w:val="0"/>
          <w:numId w:val="1003"/>
        </w:numPr>
      </w:pPr>
      <w:r>
        <w:rPr>
          <w:bCs/>
          <w:b/>
        </w:rPr>
        <w:t xml:space="preserve">The above results point to systematic fluctuations in the</w:t>
      </w:r>
      <w:r>
        <w:rPr>
          <w:bCs/>
          <w:b/>
        </w:rPr>
        <w:t xml:space="preserve"> </w:t>
      </w:r>
      <w:r>
        <w:rPr>
          <w:iCs/>
          <w:i/>
          <w:bCs/>
          <w:b/>
        </w:rPr>
        <w:t xml:space="preserve">decision variable</w:t>
      </w:r>
      <w:r>
        <w:rPr>
          <w:vertAlign w:val="superscript"/>
          <w:bCs/>
          <w:b/>
        </w:rPr>
        <w:t xml:space="preserve">44</w:t>
      </w:r>
      <w:r>
        <w:rPr>
          <w:bCs/>
          <w:b/>
        </w:rPr>
        <w:t xml:space="preserve"> </w:t>
      </w:r>
      <w:r>
        <w:rPr>
          <w:bCs/>
          <w:b/>
        </w:rP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bCs/>
          <w:b/>
        </w:rPr>
        <w:t xml:space="preserve">44</w:t>
      </w:r>
      <w:r>
        <w:rPr>
          <w:bCs/>
          <w:b/>
        </w:rPr>
        <w:t xml:space="preserve">. To test this hypothesis with respect to motor behavior and metacognition, we asked how bimodal inference relates to response times (RTs) and confidence reports. (….)</w:t>
      </w:r>
    </w:p>
    <w:p>
      <w:pPr>
        <w:numPr>
          <w:ilvl w:val="0"/>
          <w:numId w:val="1003"/>
        </w:numPr>
      </w:pPr>
      <w:r>
        <w:rPr>
          <w:bCs/>
          <w:b/>
        </w:rP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bCs/>
          <w:b/>
        </w:rPr>
        <w:t xml:space="preserve">46,47</w:t>
      </w:r>
      <w:r>
        <w:rPr>
          <w:bCs/>
          <w:b/>
        </w:rPr>
        <w:t xml:space="preserve">. Such low-level processing may thus integrate perceptual history with external inputs into a decision variable</w:t>
      </w:r>
      <w:r>
        <w:rPr>
          <w:vertAlign w:val="superscript"/>
          <w:bCs/>
          <w:b/>
        </w:rPr>
        <w:t xml:space="preserve">44</w:t>
      </w:r>
      <w:r>
        <w:rPr>
          <w:bCs/>
          <w:b/>
        </w:rPr>
        <w:t xml:space="preserve"> </w:t>
      </w:r>
      <w:r>
        <w:rPr>
          <w:bCs/>
          <w:b/>
        </w:rPr>
        <w:t xml:space="preserve">that influences not only perceptual choices, but also the speed and confidence at which they are made.</w:t>
      </w:r>
    </w:p>
    <w:p>
      <w:pPr>
        <w:numPr>
          <w:ilvl w:val="0"/>
          <w:numId w:val="1003"/>
        </w:numPr>
      </w:pPr>
      <w:r>
        <w:rPr>
          <w:bCs/>
          <w:b/>
        </w:rP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FirstParagraph"/>
      </w:pPr>
      <w:r>
        <w:t xml:space="preserve">Second, we have re-written our discussion of the quadratic relationship of mode to RTs and Confidence, focusing on predictive coding models attention:</w:t>
      </w:r>
    </w:p>
    <w:p>
      <w:pPr>
        <w:numPr>
          <w:ilvl w:val="0"/>
          <w:numId w:val="1004"/>
        </w:numPr>
      </w:pPr>
      <w:r>
        <w:rPr>
          <w:bCs/>
          <w:b/>
        </w:rP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bCs/>
          <w:b/>
        </w:rPr>
        <w:t xml:space="preserve">19,57</w:t>
      </w:r>
      <w:r>
        <w:rPr>
          <w:bCs/>
          <w:b/>
        </w:rPr>
        <w:t xml:space="preserve">.</w:t>
      </w:r>
      <w:r>
        <w:t xml:space="preserve"> </w:t>
      </w:r>
      <w:r>
        <w:t xml:space="preserve">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04"/>
        </w:numPr>
      </w:pPr>
      <w:r>
        <w:rPr>
          <w:bCs/>
          <w:b/>
        </w:rPr>
        <w:t xml:space="preserve">How does attention relate to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bCs/>
          <w:b/>
        </w:rPr>
        <w:t xml:space="preserve">53</w:t>
      </w:r>
      <w:r>
        <w:rPr>
          <w:bCs/>
          <w:b/>
        </w:rPr>
        <w:t xml:space="preserve">, fluctuations in attention may provide a plausible explanation for the quadratic relationship of mode to RTs and confidence (Figure 2H and J; Figure 3I; Figure 3I)</w:t>
      </w:r>
      <w:r>
        <w:t xml:space="preserve">.</w:t>
      </w:r>
    </w:p>
    <w:p>
      <w:pPr>
        <w:pStyle w:val="FirstParagraph"/>
      </w:pPr>
      <w:r>
        <w:t xml:space="preserve">Third, we have added a more general discussion of our findings in the light of fluctuations in task engagement:</w:t>
      </w:r>
    </w:p>
    <w:p>
      <w:pPr>
        <w:numPr>
          <w:ilvl w:val="0"/>
          <w:numId w:val="1005"/>
        </w:numPr>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numPr>
          <w:ilvl w:val="0"/>
          <w:numId w:val="1005"/>
        </w:numPr>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numPr>
          <w:ilvl w:val="0"/>
          <w:numId w:val="1005"/>
        </w:numPr>
      </w:pPr>
      <w:r>
        <w:rPr>
          <w:bCs/>
          <w:b/>
        </w:rPr>
        <w:t xml:space="preserve">Of note, high phasic arousal has been shown to suppress multi-domain biases in decision-making in humans and mice</w:t>
      </w:r>
      <w:r>
        <w:rPr>
          <w:vertAlign w:val="superscript"/>
          <w:bCs/>
          <w:b/>
        </w:rPr>
        <w:t xml:space="preserve">66–68</w:t>
      </w:r>
      <w:r>
        <w:rPr>
          <w:bCs/>
          <w:b/>
        </w:rPr>
        <w:t xml:space="preserve">, including the biases toward perceptual history</w:t>
      </w:r>
      <w:r>
        <w:rPr>
          <w:vertAlign w:val="superscript"/>
          <w:bCs/>
          <w:b/>
        </w:rPr>
        <w:t xml:space="preserve">28</w:t>
      </w:r>
      <w:r>
        <w:rPr>
          <w:bCs/>
          <w:b/>
        </w:rPr>
        <w:t xml:space="preserve"> </w:t>
      </w:r>
      <w:r>
        <w:rPr>
          <w:bCs/>
          <w:b/>
        </w:rP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bookmarkEnd w:id="141"/>
    <w:bookmarkStart w:id="142" w:name="comment-4"/>
    <w:p>
      <w:pPr>
        <w:pStyle w:val="Heading3"/>
      </w:pPr>
      <w:r>
        <w:t xml:space="preserve">Comment 4</w:t>
      </w:r>
    </w:p>
    <w:p>
      <w:pPr>
        <w:pStyle w:val="FirstParagraph"/>
      </w:pPr>
      <w:r>
        <w:rPr>
          <w:bCs/>
          <w:b/>
        </w:rPr>
        <w:t xml:space="preserve">In the predictive processing literature, attention is thought to correspond to fluctuations in sensory and prior precision. Why did you then consider attention as some additional or unrelated confound?</w:t>
      </w:r>
    </w:p>
    <w:p>
      <w:pPr>
        <w:pStyle w:val="BodyText"/>
      </w:pPr>
      <w:r>
        <w:t xml:space="preserve">This point is closely related to the comment above. We realize that, in the predictive coding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coding definition, fluctuations in attention can be equated with fluctuations in mode.</w:t>
      </w:r>
    </w:p>
    <w:p>
      <w:pPr>
        <w:pStyle w:val="BodyText"/>
      </w:pPr>
      <w:r>
        <w:t xml:space="preserve">However, we feel that outside of the predictive coding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RTs and confidence) defend our conclusions on bimodal inference.</w:t>
      </w:r>
    </w:p>
    <w:p>
      <w:pPr>
        <w:pStyle w:val="BodyText"/>
      </w:pPr>
      <w:r>
        <w:t xml:space="preserve">We now provide a more nuanced interpretation of our findings of RTs and confidence in relation to attention, with a specific focus on predictive coding and precision. We hope that our responses to the comment above resolves the points raised in this comment.</w:t>
      </w:r>
    </w:p>
    <w:bookmarkEnd w:id="142"/>
    <w:bookmarkStart w:id="144" w:name="comment-5"/>
    <w:p>
      <w:pPr>
        <w:pStyle w:val="Heading3"/>
      </w:pPr>
      <w:r>
        <w:t xml:space="preserve">Comment 5</w:t>
      </w:r>
    </w:p>
    <w:p>
      <w:pPr>
        <w:pStyle w:val="FirstParagraph"/>
      </w:pPr>
      <w:r>
        <w:rPr>
          <w:bCs/>
          <w:b/>
        </w:rPr>
        <w:t xml:space="preserve">What licences the assumption that</w:t>
      </w:r>
      <w:r>
        <w:rPr>
          <w:bCs/>
          <w:b/>
        </w:rPr>
        <w:t xml:space="preserve"> </w:t>
      </w:r>
      <w:r>
        <w:rPr>
          <w:bCs/>
          <w:b/>
        </w:rPr>
        <w:t xml:space="preserve">“</w:t>
      </w:r>
      <w:r>
        <w:rPr>
          <w:bCs/>
          <w:b/>
        </w:rPr>
        <w:t xml:space="preserve">agents depend upon internal confidence signals</w:t>
      </w:r>
      <w:r>
        <w:rPr>
          <w:bCs/>
          <w:b/>
        </w:rPr>
        <w:t xml:space="preserve">”</w:t>
      </w:r>
      <w:r>
        <w:rPr>
          <w:bCs/>
          <w:b/>
        </w:rPr>
        <w:t xml:space="preserve"> </w:t>
      </w:r>
      <w:r>
        <w:rPr>
          <w:bCs/>
          <w:b/>
        </w:rPr>
        <w:t xml:space="preserve">in the absence of feedback?</w:t>
      </w:r>
    </w:p>
    <w:p>
      <w:pPr>
        <w:pStyle w:val="BodyText"/>
      </w:pPr>
      <w:r>
        <w:t xml:space="preserve">In the absence of feedback, observers can only rely on internal estimates of performance to guide updates to their model of the reliability of their sensory apparatus (inferences about</w:t>
      </w:r>
      <w:r>
        <w:t xml:space="preserve"> </w:t>
      </w:r>
      <m:oMath>
        <m:r>
          <m:t>M</m:t>
        </m:r>
      </m:oMath>
      <w:r>
        <w:t xml:space="preserve">). Previous work (e.g. Guggenmos et al., Elife 2106,</w:t>
      </w:r>
      <w:r>
        <w:t xml:space="preserve"> </w:t>
      </w:r>
      <w:hyperlink r:id="rId143">
        <w:r>
          <w:rPr>
            <w:rStyle w:val="Hyperlink"/>
          </w:rPr>
          <w:t xml:space="preserve">https://doi.org/10.7554/eLife.13388</w:t>
        </w:r>
      </w:hyperlink>
      <w:r>
        <w:t xml:space="preserve">) has shown that confidence signals can provide signals that drive perceptual learning in the absence of feedback. This has motivated our model simulation on the adaptive benefits of bimodal inference for metacognition, where the learning signal</w:t>
      </w:r>
      <w:r>
        <w:t xml:space="preserve"> </w:t>
      </w:r>
      <m:oMath>
        <m:sSub>
          <m:e>
            <m:r>
              <m:t>ϵ</m:t>
            </m:r>
          </m:e>
          <m:sub>
            <m:r>
              <m:t>M</m:t>
            </m:r>
          </m:sub>
        </m:sSub>
      </m:oMath>
      <w:r>
        <w:t xml:space="preserve"> </w:t>
      </w:r>
      <w:r>
        <w:t xml:space="preserve">drives inferences about</w:t>
      </w:r>
      <w:r>
        <w:t xml:space="preserve"> </w:t>
      </w:r>
      <m:oMath>
        <m:r>
          <m:t>M</m:t>
        </m:r>
      </m:oMath>
      <w:r>
        <w:t xml:space="preserve">:</w:t>
      </w:r>
    </w:p>
    <w:p>
      <w:pPr>
        <w:pStyle w:val="BodyText"/>
      </w:pPr>
    </w:p>
    <w:bookmarkEnd w:id="144"/>
    <w:bookmarkStart w:id="146" w:name="comment-6"/>
    <w:p>
      <w:pPr>
        <w:pStyle w:val="Heading3"/>
      </w:pPr>
      <w:r>
        <w:t xml:space="preserve">Comment 6</w:t>
      </w:r>
    </w:p>
    <w:p>
      <w:pPr>
        <w:pStyle w:val="FirstParagraph"/>
      </w:pPr>
      <w:r>
        <w:rPr>
          <w:bCs/>
          <w:b/>
        </w:rPr>
        <w:t xml:space="preserve">And what licences the assumption that internal confidence feedback corresponds to</w:t>
      </w:r>
      <w:r>
        <w:rPr>
          <w:bCs/>
          <w:b/>
        </w:rPr>
        <w:t xml:space="preserve"> </w:t>
      </w:r>
      <w:r>
        <w:rPr>
          <w:bCs/>
          <w:b/>
        </w:rPr>
        <w:t xml:space="preserve">“</w:t>
      </w:r>
      <w:r>
        <w:rPr>
          <w:bCs/>
          <w:b/>
        </w:rPr>
        <w:t xml:space="preserve">the absolute of the posterior log ratio</w:t>
      </w:r>
      <w:r>
        <w:rPr>
          <w:bCs/>
          <w:b/>
        </w:rPr>
        <w:t xml:space="preserve">”</w:t>
      </w:r>
      <w:r>
        <w:rPr>
          <w:bCs/>
          <w:b/>
        </w:rPr>
        <w:t xml:space="preserve"> </w:t>
      </w:r>
      <w:r>
        <w:rPr>
          <w:bCs/>
          <w:b/>
        </w:rPr>
        <w:t xml:space="preserve">(did you mean the log of the posterior ratio)?</w:t>
      </w:r>
    </w:p>
    <w:p>
      <w:pPr>
        <w:pStyle w:val="BodyText"/>
      </w:pPr>
      <w:r>
        <w:t xml:space="preserve">We mean the absolute of the log of the posterior ratio. Following first order models (see e.g., Fleming &amp; Daw, Self-evaluation of decision-making: A general Bayesian framework for metacognitive computation, Psychol. Rev. 2017,</w:t>
      </w:r>
      <w:r>
        <w:t xml:space="preserve"> </w:t>
      </w:r>
      <w:hyperlink r:id="rId145">
        <w:r>
          <w:rPr>
            <w:rStyle w:val="Hyperlink"/>
          </w:rPr>
          <w:t xml:space="preserve">https://doi.org/10.1037/rev0000045</w:t>
        </w:r>
      </w:hyperlink>
      <w:r>
        <w:t xml:space="preserve">), the perceptual decision and the confidence report rely on the posterior. The distance of the log of the posterior ratio</w:t>
      </w:r>
      <w:r>
        <w:t xml:space="preserve"> </w:t>
      </w:r>
      <m:oMath>
        <m:sSub>
          <m:e>
            <m:r>
              <m:t>L</m:t>
            </m:r>
          </m:e>
          <m:sub>
            <m:r>
              <m:t>t</m:t>
            </m:r>
          </m:sub>
        </m:sSub>
      </m:oMath>
      <w:r>
        <w:t xml:space="preserve"> </w:t>
      </w:r>
      <w:r>
        <w:t xml:space="preserve">from zero becomes a measure of decision-certainty or confidence.</w:t>
      </w:r>
    </w:p>
    <w:bookmarkEnd w:id="146"/>
    <w:bookmarkStart w:id="147" w:name="comment-7"/>
    <w:p>
      <w:pPr>
        <w:pStyle w:val="Heading3"/>
      </w:pPr>
      <w:r>
        <w:t xml:space="preserve">Comment 7</w:t>
      </w:r>
    </w:p>
    <w:p>
      <w:pPr>
        <w:pStyle w:val="FirstParagraph"/>
      </w:pPr>
      <w:r>
        <w:rPr>
          <w:bCs/>
          <w:b/>
        </w:rPr>
        <w:t xml:space="preserve">I got a bit lost here when you say that “the precision of sensory coding M a function of u_t. This is largely because I couldn’t find a definition of u_t.</w:t>
      </w:r>
    </w:p>
    <w:p>
      <w:pPr>
        <w:pStyle w:val="BodyText"/>
      </w:pPr>
      <w:r>
        <w:t xml:space="preserve">We apologize for this lack of clarity. In the model simulations on the adaptive benefits of bimodal inference, we generated stimuli</w:t>
      </w:r>
      <w:r>
        <w:t xml:space="preserve"> </w:t>
      </w:r>
      <m:oMath>
        <m:sSub>
          <m:e>
            <m:r>
              <m:t>s</m:t>
            </m:r>
          </m:e>
          <m:sub>
            <m:r>
              <m:t>t</m:t>
            </m:r>
          </m:sub>
        </m:sSub>
      </m:oMath>
      <w:r>
        <w:t xml:space="preserve"> </w:t>
      </w:r>
      <w:r>
        <w:t xml:space="preserve">from a Bernoulli-distribution with p = q = 0.5. The value of</w:t>
      </w:r>
      <w:r>
        <w:t xml:space="preserve"> </w:t>
      </w:r>
      <m:oMath>
        <m:sSub>
          <m:e>
            <m:r>
              <m:t>u</m:t>
            </m:r>
          </m:e>
          <m:sub>
            <m:r>
              <m:t>t</m:t>
            </m:r>
          </m:sub>
        </m:sSub>
      </m:oMath>
      <w:r>
        <w:t xml:space="preserve"> </w:t>
      </w:r>
      <w:r>
        <w:t xml:space="preserve">was then defined via equation (22), following our modeling of the human data:</w:t>
      </w:r>
    </w:p>
    <w:p>
      <w:pPr>
        <w:pStyle w:val="BodyText"/>
      </w:pPr>
    </w:p>
    <w:bookmarkEnd w:id="147"/>
    <w:bookmarkStart w:id="148" w:name="comment-8"/>
    <w:p>
      <w:pPr>
        <w:pStyle w:val="Heading3"/>
      </w:pPr>
      <w:r>
        <w:t xml:space="preserve">Comment 8</w:t>
      </w:r>
    </w:p>
    <w:p>
      <w:pPr>
        <w:pStyle w:val="FirstParagraph"/>
      </w:pPr>
      <w:r>
        <w:rPr>
          <w:bCs/>
          <w:b/>
        </w:rPr>
        <w:t xml:space="preserve">What licences an application of Rescorla-Wagner to learning the parameters (as in Equation 11) and, learning sensory precision as described by M_T (Equation 13). Are you moving from a Bayesian framework to a reinforcement learning framework?</w:t>
      </w:r>
    </w:p>
    <w:p>
      <w:pPr>
        <w:pStyle w:val="BodyText"/>
      </w:pPr>
      <w:r>
        <w:t xml:space="preserve">We would like to thank the reviewer for pointing out this inconsistency. We have chosen the Rescorla-Wagner learning rule for simplicity: In our model, the speed of learning about</w:t>
      </w:r>
      <w:r>
        <w:t xml:space="preserve"> </w:t>
      </w:r>
      <m:oMath>
        <m:r>
          <m:t>H</m:t>
        </m:r>
      </m:oMath>
      <w:r>
        <w:t xml:space="preserve"> </w:t>
      </w:r>
      <w:r>
        <w:t xml:space="preserve">and</w:t>
      </w:r>
      <w:r>
        <w:t xml:space="preserve"> </w:t>
      </w:r>
      <m:oMath>
        <m:r>
          <m:t>M</m:t>
        </m:r>
      </m:oMath>
      <w:r>
        <w:t xml:space="preserve"> </w:t>
      </w:r>
      <w:r>
        <w:t xml:space="preserve">varies according to the current mode of perceptual processing and a constant learning rate:</w:t>
      </w:r>
    </w:p>
    <w:p>
      <w:pPr>
        <w:pStyle w:val="BodyText"/>
      </w:pPr>
    </w:p>
    <w:p>
      <w:pPr>
        <w:pStyle w:val="BodyText"/>
      </w:pPr>
    </w:p>
    <w:p>
      <w:pPr>
        <w:pStyle w:val="BodyText"/>
      </w:pPr>
      <w:r>
        <w:t xml:space="preserve">Allowing the learning rate itself to vary as a function of preceding experiences would add an additional level of complexity that we sought to omit in this analysis. However, we fully agree that choosing a Bayesian framework (e.g., a three-level HGF) would indeed be more consistent.</w:t>
      </w:r>
    </w:p>
    <w:bookmarkEnd w:id="148"/>
    <w:bookmarkStart w:id="152" w:name="comment-9"/>
    <w:p>
      <w:pPr>
        <w:pStyle w:val="Heading3"/>
      </w:pPr>
      <w:r>
        <w:t xml:space="preserve">Comment 9</w:t>
      </w:r>
    </w:p>
    <w:p>
      <w:pPr>
        <w:pStyle w:val="FirstParagraph"/>
      </w:pPr>
      <w:r>
        <w:rPr>
          <w:bCs/>
          <w:b/>
        </w:rPr>
        <w:t xml:space="preserve">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pPr>
        <w:pStyle w:val="BodyText"/>
      </w:pPr>
      <w:r>
        <w:rPr>
          <w:bCs/>
          <w:b/>
        </w:rPr>
        <w:t xml:space="preserve">Unlike your piecemeal scheme, things like the hierarchical Gaussian filter estimates the sensory and prior decisions explicitly and these estimates underwrite posterior inference. In your scheme, the sensory precision M appears to have no influence on perceptual inference (which is why, presumably you call it metacognition). The problem with this is that your motivation for systematic fluctuations in precision is weakened. This is because improved metacognition does not improve perception — it only improves the perception of perception.</w:t>
      </w:r>
    </w:p>
    <w:p>
      <w:pPr>
        <w:pStyle w:val="BodyText"/>
      </w:pPr>
      <w:r>
        <w:rPr>
          <w:bCs/>
          <w:b/>
        </w:rPr>
        <w:t xml:space="preserve">In light of the above, can I suggest that you remove Section 5.8 and use your model in the preceding section to endorse your hypothesis along the following lines:</w:t>
      </w:r>
    </w:p>
    <w:p>
      <w:pPr>
        <w:pStyle w:val="BodyText"/>
      </w:pPr>
      <w:r>
        <w:rPr>
          <w:bCs/>
          <w:b/>
        </w:rPr>
        <w:t xml:space="preserve">“</w:t>
      </w:r>
      <w:r>
        <w:rPr>
          <w:bCs/>
          <w:b/>
        </w:rPr>
        <w:t xml:space="preserve">In summary, we hypothesized that subjects have certain hyperpriors that are apt for accommodating fluctuations in the predictability of their environment;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r>
        <w:rPr>
          <w:bCs/>
          <w:b/>
        </w:rPr>
        <w:t xml:space="preserve">”</w:t>
      </w:r>
    </w:p>
    <w:p>
      <w:pPr>
        <w:pStyle w:val="BodyText"/>
      </w:pPr>
      <w:r>
        <w:rPr>
          <w:bCs/>
          <w:b/>
        </w:rPr>
        <w:t xml:space="preserve">Note, again, I am reading your omega_LLR and omega_ψ as precisions and that the periodic modulation is the hyperprior that you are characterizing—and have discovered.</w:t>
      </w:r>
    </w:p>
    <w:p>
      <w:pPr>
        <w:pStyle w:val="BodyText"/>
      </w:pPr>
      <w:r>
        <w:t xml:space="preserve">We would like to thank Prof. Friston for these very helpful and precise suggestions. In brief, we now provide a quantitative assessment of model space based on AIC (i) and have followed the suggestion of omitting section 5.8 (ii).</w:t>
      </w:r>
    </w:p>
    <w:p>
      <w:pPr>
        <w:pStyle w:val="BodyText"/>
      </w:pPr>
      <w:r>
        <w:t xml:space="preserve">In addition to the qualitative assessment of our models in the initial version of our manuscript, we have conducted a formal model comparison (i). Following the model comparisons in other sections of the manuscript, we based the model comparison on AIC values. We furthermore show that the winning</w:t>
      </w:r>
      <w:r>
        <w:t xml:space="preserve"> </w:t>
      </w:r>
      <w:r>
        <w:rPr>
          <w:iCs/>
          <w:i/>
        </w:rPr>
        <w:t xml:space="preserve">bimodal inference model</w:t>
      </w:r>
      <w:r>
        <w:t xml:space="preserve"> </w:t>
      </w:r>
      <w:r>
        <w:t xml:space="preserve">predicts the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pPr>
        <w:numPr>
          <w:ilvl w:val="0"/>
          <w:numId w:val="1006"/>
        </w:numPr>
      </w:pPr>
      <w:r>
        <w:rPr>
          <w:bCs/>
          <w:b/>
        </w:rP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numPr>
          <w:ilvl w:val="0"/>
          <w:numId w:val="1006"/>
        </w:numPr>
      </w:pPr>
      <w:r>
        <w:rPr>
          <w:bCs/>
          <w:b/>
        </w:rPr>
        <w:t xml:space="preserve">Model comparison. We assessed the following model space based on AIC:</w:t>
      </w:r>
    </w:p>
    <w:p>
      <w:pPr>
        <w:numPr>
          <w:ilvl w:val="0"/>
          <w:numId w:val="1006"/>
        </w:numPr>
      </w:pPr>
      <w:r>
        <w:rPr>
          <w:bCs/>
          <w:b/>
        </w:rPr>
        <w:t xml:space="preserve">The full</w:t>
      </w:r>
      <w:r>
        <w:rPr>
          <w:bCs/>
          <w:b/>
        </w:rPr>
        <w:t xml:space="preserve"> </w:t>
      </w:r>
      <w:r>
        <w:rPr>
          <w:iCs/>
          <w:i/>
          <w:bCs/>
          <w:b/>
        </w:rPr>
        <w:t xml:space="preserve">bimodal inference model</w:t>
      </w:r>
      <w:r>
        <w:rPr>
          <w:bCs/>
          <w:b/>
        </w:rPr>
        <w:t xml:space="preserve"> </w:t>
      </w:r>
      <w:r>
        <w:rPr>
          <w:bCs/>
          <w:b/>
        </w:rPr>
        <w:t xml:space="preserve">(M1; Figure 1F) incorporates the influence of sensory information according to the parameter</w:t>
      </w:r>
      <w:r>
        <w:rPr>
          <w:bCs/>
          <w:b/>
        </w:rPr>
        <w:t xml:space="preserve"> </w:t>
      </w:r>
      <m:oMath>
        <m:r>
          <m:t>α</m:t>
        </m:r>
      </m:oMath>
      <w:r>
        <w:rPr>
          <w:bCs/>
          <w:b/>
        </w:rPr>
        <w:t xml:space="preserve"> </w:t>
      </w:r>
      <w:r>
        <w:rPr>
          <w:bCs/>
          <w:b/>
        </w:rPr>
        <w:t xml:space="preserve">(likelihood); the integration of evidence across trials according to the parameter</w:t>
      </w:r>
      <w:r>
        <w:rPr>
          <w:bCs/>
          <w:b/>
        </w:rPr>
        <w:t xml:space="preserve"> </w:t>
      </w:r>
      <m:oMath>
        <m:r>
          <m:t>H</m:t>
        </m:r>
      </m:oMath>
      <w:r>
        <w:rPr>
          <w:bCs/>
          <w:b/>
        </w:rPr>
        <w:t xml:space="preserve"> </w:t>
      </w:r>
      <w:r>
        <w:rPr>
          <w:bCs/>
          <w:b/>
        </w:rPr>
        <w:t xml:space="preserve">(prior); anti-phase oscillations in between likelihood and prior precision according to</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6"/>
        </w:numPr>
      </w:pPr>
      <w:r>
        <w:rPr>
          <w:bCs/>
          <w:b/>
        </w:rPr>
        <w:t xml:space="preserve">The</w:t>
      </w:r>
      <w:r>
        <w:rPr>
          <w:bCs/>
          <w:b/>
        </w:rPr>
        <w:t xml:space="preserve"> </w:t>
      </w:r>
      <w:r>
        <w:rPr>
          <w:iCs/>
          <w:i/>
          <w:bCs/>
          <w:b/>
        </w:rPr>
        <w:t xml:space="preserve">likelihood-oscillation-only model</w:t>
      </w:r>
      <w:r>
        <w:rPr>
          <w:bCs/>
          <w:b/>
        </w:rPr>
        <w:t xml:space="preserve"> </w:t>
      </w:r>
      <w:r>
        <w:rPr>
          <w:bCs/>
          <w:b/>
        </w:rPr>
        <w:t xml:space="preserve">(M2;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likelihood precision according to</w:t>
      </w:r>
      <w:r>
        <w:rPr>
          <w:bCs/>
          <w:b/>
        </w:rPr>
        <w:t xml:space="preserve"> </w:t>
      </w:r>
      <m:oMath>
        <m:sSub>
          <m:e>
            <m:r>
              <m:t>ω</m:t>
            </m:r>
          </m:e>
          <m:sub>
            <m:r>
              <m:t>L</m:t>
            </m:r>
            <m:r>
              <m:t>L</m:t>
            </m:r>
            <m:r>
              <m:t>R</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6"/>
        </w:numPr>
      </w:pPr>
      <w:r>
        <w:rPr>
          <w:bCs/>
          <w:b/>
        </w:rPr>
        <w:t xml:space="preserve">The</w:t>
      </w:r>
      <w:r>
        <w:rPr>
          <w:bCs/>
          <w:b/>
        </w:rPr>
        <w:t xml:space="preserve"> </w:t>
      </w:r>
      <w:r>
        <w:rPr>
          <w:iCs/>
          <w:i/>
          <w:bCs/>
          <w:b/>
        </w:rPr>
        <w:t xml:space="preserve">prior-oscillation-only model</w:t>
      </w:r>
      <w:r>
        <w:rPr>
          <w:bCs/>
          <w:b/>
        </w:rPr>
        <w:t xml:space="preserve"> </w:t>
      </w:r>
      <w:r>
        <w:rPr>
          <w:bCs/>
          <w:b/>
        </w:rPr>
        <w:t xml:space="preserve">(M3;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the prior precision according to</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 Please note that all models M1-3 lead to shifts in the relative precision of likelihood and prior.</w:t>
      </w:r>
    </w:p>
    <w:p>
      <w:pPr>
        <w:numPr>
          <w:ilvl w:val="0"/>
          <w:numId w:val="1006"/>
        </w:numPr>
      </w:pPr>
      <w:r>
        <w:rPr>
          <w:bCs/>
          <w:b/>
        </w:rPr>
        <w:t xml:space="preserve">The</w:t>
      </w:r>
      <w:r>
        <w:rPr>
          <w:bCs/>
          <w:b/>
        </w:rPr>
        <w:t xml:space="preserve"> </w:t>
      </w:r>
      <w:r>
        <w:rPr>
          <w:iCs/>
          <w:i/>
          <w:bCs/>
          <w:b/>
        </w:rPr>
        <w:t xml:space="preserve">normative-evidence-accumulation</w:t>
      </w:r>
      <w:r>
        <w:rPr>
          <w:bCs/>
          <w:b/>
        </w:rPr>
        <w:t xml:space="preserve"> </w:t>
      </w:r>
      <w:r>
        <w:rPr>
          <w:bCs/>
          <w:b/>
        </w:rPr>
        <w:t xml:space="preserve">(M4;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There are no additional oscillations. Model M4 thus corresponds to the model proposed by Glaze et al. and captures normative evidence accumulation in unpredictable environments using a Bayesian update scheme</w:t>
      </w:r>
      <w:r>
        <w:rPr>
          <w:vertAlign w:val="superscript"/>
          <w:bCs/>
          <w:b/>
        </w:rPr>
        <w:t xml:space="preserve">51</w:t>
      </w:r>
      <w:r>
        <w:rPr>
          <w:bCs/>
          <w:b/>
        </w:rPr>
        <w:t xml:space="preserve">. The comparison against M4 tests the null hypothesis that fluctuations in mode emerge from a normative Bayesian model without the ad-hoc addition of oscillations as in models M1-3.</w:t>
      </w:r>
    </w:p>
    <w:p>
      <w:pPr>
        <w:numPr>
          <w:ilvl w:val="0"/>
          <w:numId w:val="1006"/>
        </w:numPr>
      </w:pPr>
      <w:r>
        <w:rPr>
          <w:bCs/>
          <w:b/>
        </w:rPr>
        <w:t xml:space="preserve">The</w:t>
      </w:r>
      <w:r>
        <w:rPr>
          <w:bCs/>
          <w:b/>
        </w:rPr>
        <w:t xml:space="preserve"> </w:t>
      </w:r>
      <w:r>
        <w:rPr>
          <w:iCs/>
          <w:i/>
          <w:bCs/>
          <w:b/>
        </w:rPr>
        <w:t xml:space="preserve">no-evidence-accumulation</w:t>
      </w:r>
      <w:r>
        <w:rPr>
          <w:bCs/>
          <w:b/>
        </w:rPr>
        <w:t xml:space="preserve"> </w:t>
      </w:r>
      <w:r>
        <w:rPr>
          <w:bCs/>
          <w:b/>
        </w:rPr>
        <w:t xml:space="preserve">(M5; Figure 1G) incorporates the influence of sensory information according to parameter</w:t>
      </w:r>
      <w:r>
        <w:rPr>
          <w:bCs/>
          <w:b/>
        </w:rPr>
        <w:t xml:space="preserve"> </w:t>
      </w:r>
      <m:oMath>
        <m:r>
          <m:t>α</m:t>
        </m:r>
      </m:oMath>
      <w:r>
        <w:rPr>
          <w:bCs/>
          <w:b/>
        </w:rPr>
        <w:t xml:space="preserve"> </w:t>
      </w:r>
      <w:r>
        <w:rPr>
          <w:bCs/>
          <w:b/>
        </w:rPr>
        <w:t xml:space="preserve">(likelihood). The model lacks integration of evidence across trials (flat prior) and oscillations. The comparison against M5 tests the null hypothesis that observers do not use prior information derived from serial dependency in perception.</w:t>
      </w:r>
    </w:p>
    <w:p>
      <w:pPr>
        <w:numPr>
          <w:ilvl w:val="0"/>
          <w:numId w:val="1006"/>
        </w:numPr>
      </w:pPr>
      <w:r>
        <w:rPr>
          <w:bCs/>
          <w:b/>
        </w:rPr>
        <w:t xml:space="preserve">Prediction of within-training and out-of-training variables. To validate our model, we correlated individual posterior parameter estimates with the respective conventional variables. As a sanity check, we tested (i), whether the estimated hazard rate</w:t>
      </w:r>
      <w:r>
        <w:rPr>
          <w:bCs/>
          <w:b/>
        </w:rPr>
        <w:t xml:space="preserve"> </w:t>
      </w:r>
      <m:oMath>
        <m:r>
          <m:t>H</m:t>
        </m:r>
      </m:oMath>
      <w:r>
        <w:rPr>
          <w:bCs/>
          <w:b/>
        </w:rPr>
        <w:t xml:space="preserve"> </w:t>
      </w:r>
      <w:r>
        <w:rPr>
          <w:bCs/>
          <w:b/>
        </w:rPr>
        <w:t xml:space="preserve">correlated negatively with the frequency of history-congruent choices and, (ii), whether the estimated sensitivity to sensory information</w:t>
      </w:r>
      <w:r>
        <w:rPr>
          <w:bCs/>
          <w:b/>
        </w:rPr>
        <w:t xml:space="preserve"> </w:t>
      </w:r>
      <m:oMath>
        <m:r>
          <m:t>α</m:t>
        </m:r>
      </m:oMath>
      <w:r>
        <w:rPr>
          <w:bCs/>
          <w:b/>
        </w:rPr>
        <w:t xml:space="preserve"> </w:t>
      </w:r>
      <w:r>
        <w:rPr>
          <w:bCs/>
          <w:b/>
        </w:rP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numPr>
          <w:ilvl w:val="0"/>
          <w:numId w:val="1006"/>
        </w:numPr>
      </w:pPr>
      <w:r>
        <w:rPr>
          <w:bCs/>
          <w:b/>
        </w:rPr>
        <w:t xml:space="preserve">Simulations. Finally, we used simulations (Figure 4, Supplemental Figures S10-13) to show that all model components, including the anti-phase oscillations governed by</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rPr>
          <w:bCs/>
          <w:b/>
        </w:rPr>
        <w:t xml:space="preserve">,</w:t>
      </w:r>
      <w:r>
        <w:rPr>
          <w:bCs/>
          <w:b/>
        </w:rPr>
        <w:t xml:space="preserve"> </w:t>
      </w:r>
      <m:oMath>
        <m:r>
          <m:t>α</m:t>
        </m:r>
      </m:oMath>
      <w:r>
        <w:rPr>
          <w:bCs/>
          <w:b/>
        </w:rPr>
        <w:t xml:space="preserve">,</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ζ</m:t>
        </m:r>
      </m:oMath>
      <w:r>
        <w:rPr>
          <w:bCs/>
          <w:b/>
        </w:rPr>
        <w:t xml:space="preserve">) to define individual parameters for simulation in 4317 simulated participants (i.e., equivalent to the number of human participants). For each participant, the number of simulated trials was drawn at random between 300 to 700. Inputs</w:t>
      </w:r>
      <w:r>
        <w:rPr>
          <w:bCs/>
          <w:b/>
        </w:rPr>
        <w:t xml:space="preserve"> </w:t>
      </w:r>
      <m:oMath>
        <m:r>
          <m:t>s</m:t>
        </m:r>
      </m:oMath>
      <w:r>
        <w:rPr>
          <w:bCs/>
          <w:b/>
        </w:rPr>
        <w:t xml:space="preserve"> </w:t>
      </w:r>
      <w:r>
        <w:rPr>
          <w:bCs/>
          <w:b/>
        </w:rPr>
        <w:t xml:space="preserve">were drawn at random for each trial, such that the sequence of inputs to the simulation did not contain any systematic seriality. Noisy observations</w:t>
      </w:r>
      <w:r>
        <w:rPr>
          <w:bCs/>
          <w:b/>
        </w:rPr>
        <w:t xml:space="preserve"> </w:t>
      </w:r>
      <m:oMath>
        <m:r>
          <m:t>u</m:t>
        </m:r>
      </m:oMath>
      <w:r>
        <w:rPr>
          <w:bCs/>
          <w:b/>
        </w:rPr>
        <w:t xml:space="preserve"> </w:t>
      </w:r>
      <w:r>
        <w:rPr>
          <w:bCs/>
          <w:b/>
        </w:rPr>
        <w:t xml:space="preserve">were generated by applying the posterior parameter</w:t>
      </w:r>
      <w:r>
        <w:rPr>
          <w:bCs/>
          <w:b/>
        </w:rPr>
        <w:t xml:space="preserve"> </w:t>
      </w:r>
      <m:oMath>
        <m:r>
          <m:t>α</m:t>
        </m:r>
      </m:oMath>
      <w:r>
        <w:rPr>
          <w:bCs/>
          <w:b/>
        </w:rPr>
        <w:t xml:space="preserve"> </w:t>
      </w:r>
      <w:r>
        <w:rPr>
          <w:bCs/>
          <w:b/>
        </w:rPr>
        <w:t xml:space="preserve">to inputs</w:t>
      </w:r>
      <w:r>
        <w:rPr>
          <w:bCs/>
          <w:b/>
        </w:rPr>
        <w:t xml:space="preserve"> </w:t>
      </w:r>
      <m:oMath>
        <m:r>
          <m:t>s</m:t>
        </m:r>
      </m:oMath>
      <w:r>
        <w:rPr>
          <w:bCs/>
          <w:b/>
        </w:rPr>
        <w:t xml:space="preserve">, thus generating stimulus-congruent choices in</w:t>
      </w:r>
      <w:r>
        <w:rPr>
          <w:bCs/>
          <w:b/>
        </w:rPr>
        <w:t xml:space="preserve"> </w:t>
      </w:r>
      <m:oMath>
        <m:r>
          <m:t>71.36</m:t>
        </m:r>
      </m:oMath>
      <w:r>
        <w:rPr>
          <w:bCs/>
          <w:b/>
        </w:rPr>
        <w:t xml:space="preserve"> </w:t>
      </w:r>
      <w:r>
        <w:rPr>
          <w:bCs/>
          <w:b/>
        </w:rPr>
        <w:t xml:space="preserve">±</w:t>
      </w:r>
      <w:r>
        <w:rPr>
          <w:bCs/>
          <w:b/>
        </w:rPr>
        <w:t xml:space="preserve"> </w:t>
      </w:r>
      <m:oMath>
        <m:r>
          <m:t>2.6</m:t>
        </m:r>
        <m:r>
          <m:rPr>
            <m:sty m:val="p"/>
          </m:rPr>
          <m:t>×</m:t>
        </m:r>
        <m:sSup>
          <m:e>
            <m:r>
              <m:t>10</m:t>
            </m:r>
          </m:e>
          <m:sup>
            <m:r>
              <m:rPr>
                <m:sty m:val="p"/>
              </m:rPr>
              <m:t>−</m:t>
            </m:r>
            <m:r>
              <m:t>3</m:t>
            </m:r>
          </m:sup>
        </m:sSup>
      </m:oMath>
      <w:r>
        <w:rPr>
          <w:bCs/>
          <w:b/>
        </w:rPr>
        <w:t xml:space="preserve">% of trials. Choices were simulated based on the trial-wise choice probabilities</w:t>
      </w:r>
      <w:r>
        <w:rPr>
          <w:bCs/>
          <w:b/>
        </w:rPr>
        <w:t xml:space="preserve"> </w:t>
      </w:r>
      <m:oMath>
        <m:sSub>
          <m:e>
            <m:r>
              <m:t>y</m:t>
            </m:r>
          </m:e>
          <m:sub>
            <m:r>
              <m:t>p</m:t>
            </m:r>
          </m:sub>
        </m:sSub>
      </m:oMath>
      <w:r>
        <w:rPr>
          <w:bCs/>
          <w:b/>
        </w:rPr>
        <w:t xml:space="preserve"> </w:t>
      </w:r>
      <w:r>
        <w:rPr>
          <w:bCs/>
          <w:b/>
        </w:rPr>
        <w:t xml:space="preserve">obtained from our model. Simulated data were analyzed in analogy to the human and mouse data. As a substitute of subjective confidence, we computed the absolute of the trial-wise log posterior ratio</w:t>
      </w:r>
      <w:r>
        <w:rPr>
          <w:bCs/>
          <w:b/>
        </w:rPr>
        <w:t xml:space="preserve"> </w:t>
      </w:r>
      <m:oMath>
        <m:d>
          <m:dPr>
            <m:begChr m:val="|"/>
            <m:endChr m:val="|"/>
            <m:sepChr m:val=""/>
            <m:grow/>
          </m:dPr>
          <m:e>
            <m:r>
              <m:t>L</m:t>
            </m:r>
          </m:e>
        </m:d>
      </m:oMath>
      <w:r>
        <w:rPr>
          <w:bCs/>
          <w:b/>
        </w:rPr>
        <w:t xml:space="preserve"> </w:t>
      </w:r>
      <w:r>
        <w:rPr>
          <w:bCs/>
          <w:b/>
        </w:rPr>
        <w:t xml:space="preserve">(i.e., the posterior decision certainty).</w:t>
      </w:r>
    </w:p>
    <w:p>
      <w:pPr>
        <w:pStyle w:val="FirstParagraph"/>
      </w:pPr>
      <w:r>
        <w:t xml:space="preserve">We have also added a graphical depiction of the model space to Figure 1 (subpanels F and G):</w:t>
      </w:r>
    </w:p>
    <w:p>
      <w:pPr>
        <w:numPr>
          <w:ilvl w:val="0"/>
          <w:numId w:val="1007"/>
        </w:numPr>
      </w:pPr>
      <w:r>
        <w:rPr>
          <w:bCs/>
          <w:b/>
        </w:rPr>
        <w:t xml:space="preserve">F. The bimodal inference model (M1) explains fluctuations between externally- and externally-biased modes (left panel) by two interacting factors: a normative accumulation of evidence according to parameters</w:t>
      </w:r>
      <w:r>
        <w:rPr>
          <w:bCs/>
          <w:b/>
        </w:rPr>
        <w:t xml:space="preserve"> </w:t>
      </w:r>
      <m:oMath>
        <m:r>
          <m:t>H</m:t>
        </m:r>
      </m:oMath>
      <w:r>
        <w:rPr>
          <w:bCs/>
          <w:b/>
        </w:rPr>
        <w:t xml:space="preserve"> </w:t>
      </w:r>
      <w:r>
        <w:rPr>
          <w:bCs/>
          <w:b/>
        </w:rPr>
        <w:t xml:space="preserve">(middle panel), and anti-phase oscillations in the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(right panel).</w:t>
      </w:r>
    </w:p>
    <w:p>
      <w:pPr>
        <w:numPr>
          <w:ilvl w:val="0"/>
          <w:numId w:val="1007"/>
        </w:numPr>
      </w:pPr>
      <w:r>
        <w:rPr>
          <w:bCs/>
          <w:b/>
        </w:rP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bCs/>
          <w:b/>
        </w:rPr>
        <w:t xml:space="preserve">51</w:t>
      </w:r>
      <w:r>
        <w:rPr>
          <w:bCs/>
          <w:b/>
        </w:rPr>
        <w:t xml:space="preserve">. In the no-evidence-accumulation model (M5), perceptual decisions depend only on likelihood information (flat priors).</w:t>
      </w:r>
    </w:p>
    <w:p>
      <w:pPr>
        <w:pStyle w:val="FirstParagraph"/>
      </w:pPr>
      <w:r>
        <w:t xml:space="preserve">The formal model comparison yielded clear evidence for a superiority of the bimodal inference model, in particular over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pPr>
        <w:numPr>
          <w:ilvl w:val="0"/>
          <w:numId w:val="1008"/>
        </w:numPr>
      </w:pPr>
      <w:r>
        <w:rPr>
          <w:bCs/>
          <w:b/>
        </w:rPr>
        <w:t xml:space="preserve">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t>
      </w:r>
      <w:r>
        <w:rPr>
          <w:bCs/>
          <w:b/>
        </w:rP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08"/>
        </w:numPr>
      </w:pPr>
      <w:r>
        <w:rPr>
          <w:bCs/>
          <w:b/>
        </w:rPr>
        <w:t xml:space="preserve">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 (Figure 1G).</w:t>
      </w:r>
    </w:p>
    <w:p>
      <w:pPr>
        <w:numPr>
          <w:ilvl w:val="0"/>
          <w:numId w:val="1008"/>
        </w:numPr>
      </w:pPr>
      <w:r>
        <w:rPr>
          <w:bCs/>
          <w:b/>
        </w:rPr>
        <w:t xml:space="preserve">The bimodal inference model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and was clearly superior to the normative Bayesian model of evidence accumulation (</w:t>
      </w:r>
      <m:oMath>
        <m:sSub>
          <m:e>
            <m:r>
              <m:t>δ</m:t>
            </m:r>
          </m:e>
          <m:sub>
            <m:r>
              <m:t>A</m:t>
            </m:r>
            <m:r>
              <m:t>I</m:t>
            </m:r>
            <m:r>
              <m:t>C</m:t>
            </m:r>
          </m:sub>
        </m:sSub>
      </m:oMath>
      <w:r>
        <w:rPr>
          <w:bCs/>
          <w:b/>
        </w:rPr>
        <w:t xml:space="preserve"> </w:t>
      </w:r>
      <w:r>
        <w:rPr>
          <w:bCs/>
          <w:b/>
        </w:rPr>
        <w:t xml:space="preserve">=</w:t>
      </w:r>
      <w:r>
        <w:rPr>
          <w:bCs/>
          <w:b/>
        </w:rPr>
        <w:t xml:space="preserve"> </w:t>
      </w:r>
      <m:oMath>
        <m:r>
          <m:rPr>
            <m:sty m:val="p"/>
          </m:rPr>
          <m:t>−</m:t>
        </m:r>
        <m:r>
          <m:t>5.08</m:t>
        </m:r>
        <m:r>
          <m:rPr>
            <m:sty m:val="p"/>
          </m:rPr>
          <m:t>×</m:t>
        </m:r>
        <m:sSup>
          <m:e>
            <m:r>
              <m:t>10</m:t>
            </m:r>
          </m:e>
          <m:sup>
            <m:r>
              <m:t>4</m:t>
            </m:r>
          </m:sup>
        </m:sSup>
      </m:oMath>
      <w:r>
        <w:rPr>
          <w:bCs/>
          <w:b/>
        </w:rPr>
        <w:t xml:space="preserve"> </w:t>
      </w:r>
      <w:r>
        <w:rPr>
          <w:bCs/>
          <w:b/>
        </w:rPr>
        <w:t xml:space="preserve">in humans and</w:t>
      </w:r>
      <w:r>
        <w:rPr>
          <w:bCs/>
          <w:b/>
        </w:rPr>
        <w:t xml:space="preserve"> </w:t>
      </w:r>
      <m:oMath>
        <m:r>
          <m:rPr>
            <m:sty m:val="p"/>
          </m:rPr>
          <m:t>−</m:t>
        </m:r>
        <m:r>
          <m:t>4.91</m:t>
        </m:r>
        <m:r>
          <m:rPr>
            <m:sty m:val="p"/>
          </m:rPr>
          <m:t>×</m:t>
        </m:r>
        <m:sSup>
          <m:e>
            <m:r>
              <m:t>10</m:t>
            </m:r>
          </m:e>
          <m:sup>
            <m:r>
              <m:t>4</m:t>
            </m:r>
          </m:sup>
        </m:sSup>
      </m:oMath>
      <w:r>
        <w:rPr>
          <w:bCs/>
          <w:b/>
        </w:rPr>
        <w:t xml:space="preserve"> </w:t>
      </w:r>
      <w:r>
        <w:rPr>
          <w:bCs/>
          <w:b/>
        </w:rPr>
        <w:t xml:space="preserve">in mice; Supplemental Figure S9).</w:t>
      </w:r>
    </w:p>
    <w:p>
      <w:pPr>
        <w:numPr>
          <w:ilvl w:val="0"/>
          <w:numId w:val="1008"/>
        </w:numPr>
      </w:pPr>
      <w:r>
        <w:rPr>
          <w:bCs/>
          <w:b/>
        </w:rPr>
        <w:t xml:space="preserve">As a second validation of the bimodal inference model, we tested whether the posterior model predicted within-training and out-of-training variables. The bimodal inference model characterizes each subject by a sensitivity parameter</w:t>
      </w:r>
      <w:r>
        <w:rPr>
          <w:bCs/>
          <w:b/>
        </w:rPr>
        <w:t xml:space="preserve"> </w:t>
      </w:r>
      <m:oMath>
        <m:r>
          <m:t>α</m:t>
        </m:r>
      </m:oMath>
      <w:r>
        <w:rPr>
          <w:bCs/>
          <w:b/>
        </w:rPr>
        <w:t xml:space="preserve"> </w:t>
      </w:r>
      <w:r>
        <w:rPr>
          <w:bCs/>
          <w:b/>
        </w:rPr>
        <w:t xml:space="preserve">(humans:</w:t>
      </w:r>
      <w:r>
        <w:rPr>
          <w:bCs/>
          <w:b/>
        </w:rPr>
        <w:t xml:space="preserve"> </w:t>
      </w:r>
      <m:oMath>
        <m:r>
          <m:t>α</m:t>
        </m:r>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1.12</m:t>
        </m:r>
        <m:r>
          <m:rPr>
            <m:sty m:val="p"/>
          </m:rPr>
          <m:t>×</m:t>
        </m:r>
        <m:sSup>
          <m:e>
            <m:r>
              <m:t>10</m:t>
            </m:r>
          </m:e>
          <m:sup>
            <m:r>
              <m:rPr>
                <m:sty m:val="p"/>
              </m:rPr>
              <m:t>−</m:t>
            </m:r>
            <m:r>
              <m:t>4</m:t>
            </m:r>
          </m:sup>
        </m:sSup>
      </m:oMath>
      <w:r>
        <w:rPr>
          <w:bCs/>
          <w:b/>
        </w:rPr>
        <w:t xml:space="preserve">; mice:</w:t>
      </w:r>
      <w:r>
        <w:rPr>
          <w:bCs/>
          <w:b/>
        </w:rPr>
        <w:t xml:space="preserve"> </w:t>
      </w:r>
      <m:oMath>
        <m:r>
          <m:t>α</m:t>
        </m:r>
      </m:oMath>
      <w:r>
        <w:rPr>
          <w:bCs/>
          <w:b/>
        </w:rPr>
        <w:t xml:space="preserve"> </w:t>
      </w:r>
      <w:r>
        <w:rPr>
          <w:bCs/>
          <w:b/>
        </w:rPr>
        <w:t xml:space="preserve">=</w:t>
      </w:r>
      <w:r>
        <w:rPr>
          <w:bCs/>
          <w:b/>
        </w:rPr>
        <w:t xml:space="preserve"> </w:t>
      </w:r>
      <m:oMath>
        <m:r>
          <m:t>1.06</m:t>
        </m:r>
      </m:oMath>
      <w:r>
        <w:rPr>
          <w:bCs/>
          <w:b/>
        </w:rPr>
        <w:t xml:space="preserve"> </w:t>
      </w:r>
      <w:r>
        <w:rPr>
          <w:bCs/>
          <w:b/>
        </w:rPr>
        <w:t xml:space="preserve">±</w:t>
      </w:r>
      <w:r>
        <w:rPr>
          <w:bCs/>
          <w:b/>
        </w:rPr>
        <w:t xml:space="preserve"> </w:t>
      </w:r>
      <m:oMath>
        <m:r>
          <m:t>2.88</m:t>
        </m:r>
        <m:r>
          <m:rPr>
            <m:sty m:val="p"/>
          </m:rPr>
          <m:t>×</m:t>
        </m:r>
        <m:sSup>
          <m:e>
            <m:r>
              <m:t>10</m:t>
            </m:r>
          </m:e>
          <m:sup>
            <m:r>
              <m:rPr>
                <m:sty m:val="p"/>
              </m:rPr>
              <m:t>−</m:t>
            </m:r>
            <m:r>
              <m:t>3</m:t>
            </m:r>
          </m:sup>
        </m:sSup>
      </m:oMath>
      <w:r>
        <w:rPr>
          <w:bCs/>
          <w:b/>
        </w:rPr>
        <w:t xml:space="preserve">) that captures how strongly perception is driven by the available sensory information, and a hazard rate parameter</w:t>
      </w:r>
      <w:r>
        <w:rPr>
          <w:bCs/>
          <w:b/>
        </w:rPr>
        <w:t xml:space="preserve"> </w:t>
      </w:r>
      <m:oMath>
        <m:r>
          <m:t>H</m:t>
        </m:r>
      </m:oMath>
      <w:r>
        <w:rPr>
          <w:bCs/>
          <w:b/>
        </w:rPr>
        <w:t xml:space="preserve"> </w:t>
      </w:r>
      <w:r>
        <w:rPr>
          <w:bCs/>
          <w:b/>
        </w:rPr>
        <w:t xml:space="preserve">(humans:</w:t>
      </w:r>
      <w:r>
        <w:rPr>
          <w:bCs/>
          <w:b/>
        </w:rPr>
        <w:t xml:space="preserve"> </w:t>
      </w:r>
      <m:oMath>
        <m:r>
          <m:t>H</m:t>
        </m:r>
      </m:oMath>
      <w:r>
        <w:rPr>
          <w:bCs/>
          <w:b/>
        </w:rPr>
        <w:t xml:space="preserve"> </w:t>
      </w:r>
      <w:r>
        <w:rPr>
          <w:bCs/>
          <w:b/>
        </w:rPr>
        <w:t xml:space="preserve">=</w:t>
      </w:r>
      <w:r>
        <w:rPr>
          <w:bCs/>
          <w:b/>
        </w:rPr>
        <w:t xml:space="preserve"> </w:t>
      </w:r>
      <m:oMath>
        <m:r>
          <m:t>0.45</m:t>
        </m:r>
      </m:oMath>
      <w:r>
        <w:rPr>
          <w:bCs/>
          <w:b/>
        </w:rPr>
        <w:t xml:space="preserve"> </w:t>
      </w:r>
      <w:r>
        <w:rPr>
          <w:bCs/>
          <w:b/>
        </w:rPr>
        <w:t xml:space="preserve">±</w:t>
      </w:r>
      <w:r>
        <w:rPr>
          <w:bCs/>
          <w:b/>
        </w:rPr>
        <w:t xml:space="preserve"> </w:t>
      </w:r>
      <m:oMath>
        <m:r>
          <m:t>4.8</m:t>
        </m:r>
        <m:r>
          <m:rPr>
            <m:sty m:val="p"/>
          </m:rPr>
          <m:t>×</m:t>
        </m:r>
        <m:sSup>
          <m:e>
            <m:r>
              <m:t>10</m:t>
            </m:r>
          </m:e>
          <m:sup>
            <m:r>
              <m:rPr>
                <m:sty m:val="p"/>
              </m:rPr>
              <m:t>−</m:t>
            </m:r>
            <m:r>
              <m:t>5</m:t>
            </m:r>
          </m:sup>
        </m:sSup>
      </m:oMath>
      <w:r>
        <w:rPr>
          <w:bCs/>
          <w:b/>
        </w:rPr>
        <w:t xml:space="preserve">; mice:</w:t>
      </w:r>
      <w:r>
        <w:rPr>
          <w:bCs/>
          <w:b/>
        </w:rPr>
        <w:t xml:space="preserve"> </w:t>
      </w:r>
      <m:oMath>
        <m:r>
          <m:t>H</m:t>
        </m:r>
      </m:oMath>
      <w:r>
        <w:rPr>
          <w:bCs/>
          <w:b/>
        </w:rPr>
        <w:t xml:space="preserve"> </w:t>
      </w:r>
      <w:r>
        <w:rPr>
          <w:bCs/>
          <w:b/>
        </w:rPr>
        <w:t xml:space="preserve">=</w:t>
      </w:r>
      <w:r>
        <w:rPr>
          <w:bCs/>
          <w:b/>
        </w:rPr>
        <w:t xml:space="preserve"> </w:t>
      </w:r>
      <m:oMath>
        <m:r>
          <m:t>0.46</m:t>
        </m:r>
      </m:oMath>
      <w:r>
        <w:rPr>
          <w:bCs/>
          <w:b/>
        </w:rPr>
        <w:t xml:space="preserve"> </w:t>
      </w:r>
      <w:r>
        <w:rPr>
          <w:bCs/>
          <w:b/>
        </w:rPr>
        <w:t xml:space="preserve">±</w:t>
      </w:r>
      <w:r>
        <w:rPr>
          <w:bCs/>
          <w:b/>
        </w:rPr>
        <w:t xml:space="preserve"> </w:t>
      </w:r>
      <m:oMath>
        <m:r>
          <m:t>2.97</m:t>
        </m:r>
        <m:r>
          <m:rPr>
            <m:sty m:val="p"/>
          </m:rPr>
          <m:t>×</m:t>
        </m:r>
        <m:sSup>
          <m:e>
            <m:r>
              <m:t>10</m:t>
            </m:r>
          </m:e>
          <m:sup>
            <m:r>
              <m:rPr>
                <m:sty m:val="p"/>
              </m:rPr>
              <m:t>−</m:t>
            </m:r>
            <m:r>
              <m:t>4</m:t>
            </m:r>
          </m:sup>
        </m:sSup>
      </m:oMath>
      <w:r>
        <w:rPr>
          <w:bCs/>
          <w:b/>
        </w:rPr>
        <w:t xml:space="preserve">) that controls how heavily perception is biased by perceptual history. The parameter</w:t>
      </w:r>
      <w:r>
        <w:rPr>
          <w:bCs/>
          <w:b/>
        </w:rPr>
        <w:t xml:space="preserve"> </w:t>
      </w:r>
      <m:oMath>
        <m:r>
          <m:t>f</m:t>
        </m:r>
      </m:oMath>
      <w:r>
        <w:rPr>
          <w:bCs/>
          <w:b/>
        </w:rPr>
        <w:t xml:space="preserve"> </w:t>
      </w:r>
      <w:r>
        <w:rPr>
          <w:bCs/>
          <w:b/>
        </w:rPr>
        <w:t xml:space="preserve">captures the dominant time scale at which likelihood (amplitude humans:</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2.02</m:t>
        </m:r>
        <m:r>
          <m:rPr>
            <m:sty m:val="p"/>
          </m:rPr>
          <m:t>×</m:t>
        </m:r>
        <m:sSup>
          <m:e>
            <m:r>
              <m:t>10</m:t>
            </m:r>
          </m:e>
          <m:sup>
            <m:r>
              <m:rPr>
                <m:sty m:val="p"/>
              </m:rPr>
              <m:t>−</m:t>
            </m:r>
            <m:r>
              <m:t>4</m:t>
            </m:r>
          </m:sup>
        </m:sSup>
      </m:oMath>
      <w:r>
        <w:rPr>
          <w:bCs/>
          <w:b/>
        </w:rPr>
        <w:t xml:space="preserve">; mice:</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0.39</m:t>
        </m:r>
      </m:oMath>
      <w:r>
        <w:rPr>
          <w:bCs/>
          <w:b/>
        </w:rPr>
        <w:t xml:space="preserve"> </w:t>
      </w:r>
      <w:r>
        <w:rPr>
          <w:bCs/>
          <w:b/>
        </w:rPr>
        <w:t xml:space="preserve">±</w:t>
      </w:r>
      <w:r>
        <w:rPr>
          <w:bCs/>
          <w:b/>
        </w:rPr>
        <w:t xml:space="preserve"> </w:t>
      </w:r>
      <m:oMath>
        <m:r>
          <m:t>1.08</m:t>
        </m:r>
        <m:r>
          <m:rPr>
            <m:sty m:val="p"/>
          </m:rPr>
          <m:t>×</m:t>
        </m:r>
        <m:sSup>
          <m:e>
            <m:r>
              <m:t>10</m:t>
            </m:r>
          </m:e>
          <m:sup>
            <m:r>
              <m:rPr>
                <m:sty m:val="p"/>
              </m:rPr>
              <m:t>−</m:t>
            </m:r>
            <m:r>
              <m:t>3</m:t>
            </m:r>
          </m:sup>
        </m:sSup>
      </m:oMath>
      <w:r>
        <w:rPr>
          <w:bCs/>
          <w:b/>
        </w:rPr>
        <w:t xml:space="preserve">) and prior precision (amplitude humans:</w:t>
      </w:r>
      <w:r>
        <w:rPr>
          <w:bCs/>
          <w:b/>
        </w:rPr>
        <w:t xml:space="preserve"> </w:t>
      </w:r>
      <m:oMath>
        <m:sSub>
          <m:e>
            <m:r>
              <m:t>a</m:t>
            </m:r>
          </m:e>
          <m:sub>
            <m:r>
              <m:t>ψ</m:t>
            </m:r>
          </m:sub>
        </m:sSub>
      </m:oMath>
      <w:r>
        <w:rPr>
          <w:bCs/>
          <w:b/>
        </w:rPr>
        <w:t xml:space="preserve"> </w:t>
      </w:r>
      <w:r>
        <w:rPr>
          <w:bCs/>
          <w:b/>
        </w:rPr>
        <w:t xml:space="preserve">=</w:t>
      </w:r>
      <w:r>
        <w:rPr>
          <w:bCs/>
          <w:b/>
        </w:rPr>
        <w:t xml:space="preserve"> </w:t>
      </w:r>
      <m:oMath>
        <m:r>
          <m:t>1.44</m:t>
        </m:r>
      </m:oMath>
      <w:r>
        <w:rPr>
          <w:bCs/>
          <w:b/>
        </w:rPr>
        <w:t xml:space="preserve"> </w:t>
      </w:r>
      <w:r>
        <w:rPr>
          <w:bCs/>
          <w:b/>
        </w:rPr>
        <w:t xml:space="preserve">±</w:t>
      </w:r>
      <w:r>
        <w:rPr>
          <w:bCs/>
          <w:b/>
        </w:rPr>
        <w:t xml:space="preserve"> </w:t>
      </w:r>
      <m:oMath>
        <m:r>
          <m:t>5.27</m:t>
        </m:r>
        <m:r>
          <m:rPr>
            <m:sty m:val="p"/>
          </m:rPr>
          <m:t>×</m:t>
        </m:r>
        <m:sSup>
          <m:e>
            <m:r>
              <m:t>10</m:t>
            </m:r>
          </m:e>
          <m:sup>
            <m:r>
              <m:rPr>
                <m:sty m:val="p"/>
              </m:rPr>
              <m:t>−</m:t>
            </m:r>
            <m:r>
              <m:t>4</m:t>
            </m:r>
          </m:sup>
        </m:sSup>
      </m:oMath>
      <w:r>
        <w:rPr>
          <w:bCs/>
          <w:b/>
        </w:rPr>
        <w:t xml:space="preserve">; mice:</w:t>
      </w:r>
      <w:r>
        <w:rPr>
          <w:bCs/>
          <w:b/>
        </w:rPr>
        <w:t xml:space="preserve"> </w:t>
      </w:r>
      <m:oMath>
        <m:sSub>
          <m:e>
            <m:r>
              <m:t>a</m:t>
            </m:r>
          </m:e>
          <m:sub>
            <m:r>
              <m:t>ψ</m:t>
            </m:r>
          </m:sub>
        </m:sSub>
      </m:oMath>
      <w:r>
        <w:rPr>
          <w:bCs/>
          <w:b/>
        </w:rPr>
        <w:t xml:space="preserve"> </w:t>
      </w:r>
      <w:r>
        <w:rPr>
          <w:bCs/>
          <w:b/>
        </w:rPr>
        <w:t xml:space="preserve">=</w:t>
      </w:r>
      <w:r>
        <w:rPr>
          <w:bCs/>
          <w:b/>
        </w:rPr>
        <w:t xml:space="preserve"> </w:t>
      </w:r>
      <m:oMath>
        <m:r>
          <m:t>1.71</m:t>
        </m:r>
      </m:oMath>
      <w:r>
        <w:rPr>
          <w:bCs/>
          <w:b/>
        </w:rPr>
        <w:t xml:space="preserve"> </w:t>
      </w:r>
      <w:r>
        <w:rPr>
          <w:bCs/>
          <w:b/>
        </w:rPr>
        <w:t xml:space="preserve">±</w:t>
      </w:r>
      <w:r>
        <w:rPr>
          <w:bCs/>
          <w:b/>
        </w:rPr>
        <w:t xml:space="preserve"> </w:t>
      </w:r>
      <m:oMath>
        <m:r>
          <m:t>7.15</m:t>
        </m:r>
        <m:r>
          <m:rPr>
            <m:sty m:val="p"/>
          </m:rPr>
          <m:t>×</m:t>
        </m:r>
        <m:sSup>
          <m:e>
            <m:r>
              <m:t>10</m:t>
            </m:r>
          </m:e>
          <m:sup>
            <m:r>
              <m:rPr>
                <m:sty m:val="p"/>
              </m:rPr>
              <m:t>−</m:t>
            </m:r>
            <m:r>
              <m:t>3</m:t>
            </m:r>
          </m:sup>
        </m:sSup>
      </m:oMath>
      <w:r>
        <w:rPr>
          <w:bCs/>
          <w:b/>
        </w:rPr>
        <w:t xml:space="preserve">) fluctuated and was estimated at</w:t>
      </w:r>
      <w:r>
        <w:rPr>
          <w:bCs/>
          <w:b/>
        </w:rPr>
        <w:t xml:space="preserve"> </w:t>
      </w:r>
      <m:oMath>
        <m:r>
          <m:t>0.11</m:t>
        </m:r>
      </m:oMath>
      <w:r>
        <w:rPr>
          <w:bCs/>
          <w:b/>
        </w:rPr>
        <w:t xml:space="preserve"> </w:t>
      </w:r>
      <w:r>
        <w:rPr>
          <w:bCs/>
          <w:b/>
        </w:rPr>
        <w:t xml:space="preserve">±</w:t>
      </w:r>
      <w:r>
        <w:rPr>
          <w:bCs/>
          <w:b/>
        </w:rPr>
        <w:t xml:space="preserve"> </w:t>
      </w:r>
      <m:oMath>
        <m:r>
          <m:t>1.68</m:t>
        </m:r>
        <m:r>
          <m:rPr>
            <m:sty m:val="p"/>
          </m:rPr>
          <m:t>×</m:t>
        </m:r>
        <m:sSup>
          <m:e>
            <m:r>
              <m:t>10</m:t>
            </m:r>
          </m:e>
          <m:sup>
            <m:r>
              <m:rPr>
                <m:sty m:val="p"/>
              </m:rPr>
              <m:t>−</m:t>
            </m:r>
            <m:r>
              <m:t>5</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and</w:t>
      </w:r>
      <w:r>
        <w:rPr>
          <w:bCs/>
          <w:b/>
        </w:rPr>
        <w:t xml:space="preserve"> </w:t>
      </w:r>
      <m:oMath>
        <m:r>
          <m:t>0.11</m:t>
        </m:r>
      </m:oMath>
      <w:r>
        <w:rPr>
          <w:bCs/>
          <w:b/>
        </w:rPr>
        <w:t xml:space="preserve"> </w:t>
      </w:r>
      <w:r>
        <w:rPr>
          <w:bCs/>
          <w:b/>
        </w:rPr>
        <w:t xml:space="preserve">±</w:t>
      </w:r>
      <w:r>
        <w:rPr>
          <w:bCs/>
          <w:b/>
        </w:rPr>
        <w:t xml:space="preserve"> </w:t>
      </w:r>
      <m:oMath>
        <m:r>
          <m:t>1.63</m:t>
        </m:r>
        <m:r>
          <m:rPr>
            <m:sty m:val="p"/>
          </m:rPr>
          <m:t>×</m:t>
        </m:r>
        <m:sSup>
          <m:e>
            <m:r>
              <m:t>10</m:t>
            </m:r>
          </m:e>
          <m:sup>
            <m:r>
              <m:rPr>
                <m:sty m:val="p"/>
              </m:rPr>
              <m:t>−</m:t>
            </m:r>
            <m:r>
              <m:t>4</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in mice.</w:t>
      </w:r>
    </w:p>
    <w:p>
      <w:pPr>
        <w:numPr>
          <w:ilvl w:val="0"/>
          <w:numId w:val="1008"/>
        </w:numPr>
      </w:pPr>
      <w:r>
        <w:rPr>
          <w:bCs/>
          <w:b/>
        </w:rPr>
        <w:t xml:space="preserve">As a sanity check for model fit, we tested whether the frequency of stimulus- and history-congruent trials in the Confidence database</w:t>
      </w:r>
      <w:r>
        <w:rPr>
          <w:vertAlign w:val="superscript"/>
          <w:bCs/>
          <w:b/>
        </w:rPr>
        <w:t xml:space="preserve">20</w:t>
      </w:r>
      <w:r>
        <w:rPr>
          <w:bCs/>
          <w:b/>
        </w:rPr>
        <w:t xml:space="preserve"> </w:t>
      </w:r>
      <w:r>
        <w:rPr>
          <w:bCs/>
          <w:b/>
        </w:rPr>
        <w:t xml:space="preserve">and IBL database</w:t>
      </w:r>
      <w:r>
        <w:rPr>
          <w:vertAlign w:val="superscript"/>
          <w:bCs/>
          <w:b/>
        </w:rPr>
        <w:t xml:space="preserve">21</w:t>
      </w:r>
      <w:r>
        <w:rPr>
          <w:bCs/>
          <w:b/>
        </w:rPr>
        <w:t xml:space="preserve"> </w:t>
      </w:r>
      <w:r>
        <w:rPr>
          <w:bCs/>
          <w:b/>
        </w:rPr>
        <w:t xml:space="preserve">correlate with the estimated parameters</w:t>
      </w:r>
      <w:r>
        <w:rPr>
          <w:bCs/>
          <w:b/>
        </w:rPr>
        <w:t xml:space="preserve"> </w:t>
      </w:r>
      <m:oMath>
        <m:r>
          <m:t>α</m:t>
        </m:r>
      </m:oMath>
      <w:r>
        <w:rPr>
          <w:bCs/>
          <w:b/>
        </w:rPr>
        <w:t xml:space="preserve"> </w:t>
      </w:r>
      <w:r>
        <w:rPr>
          <w:bCs/>
          <w:b/>
        </w:rPr>
        <w:t xml:space="preserve">and</w:t>
      </w:r>
      <w:r>
        <w:rPr>
          <w:bCs/>
          <w:b/>
        </w:rPr>
        <w:t xml:space="preserve"> </w:t>
      </w:r>
      <m:oMath>
        <m:r>
          <m:t>H</m:t>
        </m:r>
      </m:oMath>
      <w:r>
        <w:rPr>
          <w:bCs/>
          <w:b/>
        </w:rPr>
        <w:t xml:space="preserve">, respectively. As expected, the estimated sensitivity toward stimulus information</w:t>
      </w:r>
      <w:r>
        <w:rPr>
          <w:bCs/>
          <w:b/>
        </w:rPr>
        <w:t xml:space="preserve"> </w:t>
      </w:r>
      <m:oMath>
        <m:r>
          <m:t>α</m:t>
        </m:r>
      </m:oMath>
      <w:r>
        <w:rPr>
          <w:bCs/>
          <w:b/>
        </w:rPr>
        <w:t xml:space="preserve"> </w:t>
      </w:r>
      <w:r>
        <w:rPr>
          <w:bCs/>
          <w:b/>
        </w:rPr>
        <w:t xml:space="preserve">was positively correlated with the frequency of stimulus-congruent perceptual choices (humans:</w:t>
      </w:r>
      <w:r>
        <w:rPr>
          <w:bCs/>
          <w:b/>
        </w:rPr>
        <w:t xml:space="preserve"> </w:t>
      </w:r>
      <m:oMath>
        <m:r>
          <m:t>β</m:t>
        </m:r>
      </m:oMath>
      <w:r>
        <w:rPr>
          <w:bCs/>
          <w:b/>
        </w:rPr>
        <w:t xml:space="preserve"> </w:t>
      </w:r>
      <w:r>
        <w:rPr>
          <w:bCs/>
          <w:b/>
        </w:rPr>
        <w:t xml:space="preserve">=</w:t>
      </w:r>
      <w:r>
        <w:rPr>
          <w:bCs/>
          <w:b/>
        </w:rPr>
        <w:t xml:space="preserve"> </w:t>
      </w:r>
      <m:oMath>
        <m:r>
          <m:t>8.4</m:t>
        </m:r>
      </m:oMath>
      <w:r>
        <w:rPr>
          <w:bCs/>
          <w:b/>
        </w:rPr>
        <w:t xml:space="preserve"> </w:t>
      </w:r>
      <w:r>
        <w:rPr>
          <w:bCs/>
          <w:b/>
        </w:rPr>
        <w:t xml:space="preserve">±</w:t>
      </w:r>
      <w:r>
        <w:rPr>
          <w:bCs/>
          <w:b/>
        </w:rPr>
        <w:t xml:space="preserve"> </w:t>
      </w:r>
      <m:oMath>
        <m:r>
          <m:t>0.26</m:t>
        </m:r>
      </m:oMath>
      <w:r>
        <w:rPr>
          <w:bCs/>
          <w:b/>
        </w:rPr>
        <w:t xml:space="preserve">, T(</w:t>
      </w:r>
      <m:oMath>
        <m:r>
          <m:t>4.31</m:t>
        </m:r>
        <m:r>
          <m:rPr>
            <m:sty m:val="p"/>
          </m:rPr>
          <m:t>×</m:t>
        </m:r>
        <m:sSup>
          <m:e>
            <m:r>
              <m:t>10</m:t>
            </m:r>
          </m:e>
          <m:sup>
            <m:r>
              <m:t>3</m:t>
            </m:r>
          </m:sup>
        </m:sSup>
      </m:oMath>
      <w:r>
        <w:rPr>
          <w:bCs/>
          <w:b/>
        </w:rPr>
        <w:t xml:space="preserve">) =</w:t>
      </w:r>
      <w:r>
        <w:rPr>
          <w:bCs/>
          <w:b/>
        </w:rPr>
        <w:t xml:space="preserve"> </w:t>
      </w:r>
      <m:oMath>
        <m:r>
          <m:t>32.87</m:t>
        </m:r>
      </m:oMath>
      <w:r>
        <w:rPr>
          <w:bCs/>
          <w:b/>
        </w:rPr>
        <w:t xml:space="preserve">, p =</w:t>
      </w:r>
      <w:r>
        <w:rPr>
          <w:bCs/>
          <w:b/>
        </w:rPr>
        <w:t xml:space="preserve"> </w:t>
      </w:r>
      <m:oMath>
        <m:r>
          <m:t>1.3</m:t>
        </m:r>
        <m:r>
          <m:rPr>
            <m:sty m:val="p"/>
          </m:rPr>
          <m:t>×</m:t>
        </m:r>
        <m:sSup>
          <m:e>
            <m:r>
              <m:t>10</m:t>
            </m:r>
          </m:e>
          <m:sup>
            <m:r>
              <m:rPr>
                <m:sty m:val="p"/>
              </m:rPr>
              <m:t>−</m:t>
            </m:r>
            <m:r>
              <m:t>211</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t>1.93</m:t>
        </m:r>
      </m:oMath>
      <w:r>
        <w:rPr>
          <w:bCs/>
          <w:b/>
        </w:rPr>
        <w:t xml:space="preserve"> </w:t>
      </w:r>
      <w:r>
        <w:rPr>
          <w:bCs/>
          <w:b/>
        </w:rPr>
        <w:t xml:space="preserve">±</w:t>
      </w:r>
      <w:r>
        <w:rPr>
          <w:bCs/>
          <w:b/>
        </w:rPr>
        <w:t xml:space="preserve"> </w:t>
      </w:r>
      <m:oMath>
        <m:r>
          <m:t>0.12</m:t>
        </m:r>
      </m:oMath>
      <w:r>
        <w:rPr>
          <w:bCs/>
          <w:b/>
        </w:rPr>
        <w:t xml:space="preserve">, T(</w:t>
      </w:r>
      <m:oMath>
        <m:r>
          <m:t>2.07</m:t>
        </m:r>
        <m:r>
          <m:rPr>
            <m:sty m:val="p"/>
          </m:rPr>
          <m:t>×</m:t>
        </m:r>
        <m:sSup>
          <m:e>
            <m:r>
              <m:t>10</m:t>
            </m:r>
          </m:e>
          <m:sup>
            <m:r>
              <m:t>3</m:t>
            </m:r>
          </m:sup>
        </m:sSup>
      </m:oMath>
      <w:r>
        <w:rPr>
          <w:bCs/>
          <w:b/>
        </w:rPr>
        <w:t xml:space="preserve">) =</w:t>
      </w:r>
      <w:r>
        <w:rPr>
          <w:bCs/>
          <w:b/>
        </w:rPr>
        <w:t xml:space="preserve"> </w:t>
      </w:r>
      <m:oMath>
        <m:r>
          <m:t>16.21</m:t>
        </m:r>
      </m:oMath>
      <w:r>
        <w:rPr>
          <w:bCs/>
          <w:b/>
        </w:rPr>
        <w:t xml:space="preserve">, p =</w:t>
      </w:r>
      <w:r>
        <w:rPr>
          <w:bCs/>
          <w:b/>
        </w:rPr>
        <w:t xml:space="preserve"> </w:t>
      </w:r>
      <m:oMath>
        <m:r>
          <m:t>9.37</m:t>
        </m:r>
        <m:r>
          <m:rPr>
            <m:sty m:val="p"/>
          </m:rPr>
          <m:t>×</m:t>
        </m:r>
        <m:sSup>
          <m:e>
            <m:r>
              <m:t>10</m:t>
            </m:r>
          </m:e>
          <m:sup>
            <m:r>
              <m:rPr>
                <m:sty m:val="p"/>
              </m:rPr>
              <m:t>−</m:t>
            </m:r>
            <m:r>
              <m:t>56</m:t>
            </m:r>
          </m:sup>
        </m:sSup>
      </m:oMath>
      <w:r>
        <w:rPr>
          <w:bCs/>
          <w:b/>
        </w:rPr>
        <w:t xml:space="preserve">). Likewise,</w:t>
      </w:r>
      <w:r>
        <w:rPr>
          <w:bCs/>
          <w:b/>
        </w:rPr>
        <w:t xml:space="preserve"> </w:t>
      </w:r>
      <m:oMath>
        <m:r>
          <m:t>H</m:t>
        </m:r>
      </m:oMath>
      <w:r>
        <w:rPr>
          <w:bCs/>
          <w:b/>
        </w:rPr>
        <w:t xml:space="preserve"> </w:t>
      </w:r>
      <w:r>
        <w:rPr>
          <w:bCs/>
          <w:b/>
        </w:rPr>
        <w:t xml:space="preserve">was negatively correlated with the frequency of history-congruent perceptual choices (humans:</w:t>
      </w:r>
      <w:r>
        <w:rPr>
          <w:bCs/>
          <w:b/>
        </w:rPr>
        <w:t xml:space="preserve"> </w:t>
      </w:r>
      <m:oMath>
        <m:r>
          <m:t>β</m:t>
        </m:r>
      </m:oMath>
      <w:r>
        <w:rPr>
          <w:bCs/>
          <w:b/>
        </w:rPr>
        <w:t xml:space="preserve"> </w:t>
      </w:r>
      <w:r>
        <w:rPr>
          <w:bCs/>
          <w:b/>
        </w:rPr>
        <w:t xml:space="preserve">=</w:t>
      </w:r>
      <w:r>
        <w:rPr>
          <w:bCs/>
          <w:b/>
        </w:rPr>
        <w:t xml:space="preserve"> </w:t>
      </w:r>
      <m:oMath>
        <m:r>
          <m:rPr>
            <m:sty m:val="p"/>
          </m:rPr>
          <m:t>−</m:t>
        </m:r>
        <m:r>
          <m:t>11.84</m:t>
        </m:r>
      </m:oMath>
      <w:r>
        <w:rPr>
          <w:bCs/>
          <w:b/>
        </w:rPr>
        <w:t xml:space="preserve"> </w:t>
      </w:r>
      <w:r>
        <w:rPr>
          <w:bCs/>
          <w:b/>
        </w:rPr>
        <w:t xml:space="preserve">±</w:t>
      </w:r>
      <w:r>
        <w:rPr>
          <w:bCs/>
          <w:b/>
        </w:rPr>
        <w:t xml:space="preserve"> </w:t>
      </w:r>
      <m:oMath>
        <m:r>
          <m:t>0.5</m:t>
        </m:r>
      </m:oMath>
      <w:r>
        <w:rPr>
          <w:bCs/>
          <w:b/>
        </w:rPr>
        <w:t xml:space="preserve">, T(</w:t>
      </w:r>
      <m:oMath>
        <m:r>
          <m:t>4.29</m:t>
        </m:r>
        <m:r>
          <m:rPr>
            <m:sty m:val="p"/>
          </m:rPr>
          <m:t>×</m:t>
        </m:r>
        <m:sSup>
          <m:e>
            <m:r>
              <m:t>10</m:t>
            </m:r>
          </m:e>
          <m:sup>
            <m:r>
              <m:t>3</m:t>
            </m:r>
          </m:sup>
        </m:sSup>
      </m:oMath>
      <w:r>
        <w:rPr>
          <w:bCs/>
          <w:b/>
        </w:rPr>
        <w:t xml:space="preserve">) =</w:t>
      </w:r>
      <w:r>
        <w:rPr>
          <w:bCs/>
          <w:b/>
        </w:rPr>
        <w:t xml:space="preserve"> </w:t>
      </w:r>
      <m:oMath>
        <m:r>
          <m:rPr>
            <m:sty m:val="p"/>
          </m:rPr>
          <m:t>−</m:t>
        </m:r>
        <m:r>
          <m:t>23.5</m:t>
        </m:r>
      </m:oMath>
      <w:r>
        <w:rPr>
          <w:bCs/>
          <w:b/>
        </w:rPr>
        <w:t xml:space="preserve">, p =</w:t>
      </w:r>
      <w:r>
        <w:rPr>
          <w:bCs/>
          <w:b/>
        </w:rPr>
        <w:t xml:space="preserve"> </w:t>
      </w:r>
      <m:oMath>
        <m:r>
          <m:t>5.16</m:t>
        </m:r>
        <m:r>
          <m:rPr>
            <m:sty m:val="p"/>
          </m:rPr>
          <m:t>×</m:t>
        </m:r>
        <m:sSup>
          <m:e>
            <m:r>
              <m:t>10</m:t>
            </m:r>
          </m:e>
          <m:sup>
            <m:r>
              <m:rPr>
                <m:sty m:val="p"/>
              </m:rPr>
              <m:t>−</m:t>
            </m:r>
            <m:r>
              <m:t>115</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6.18</m:t>
        </m:r>
      </m:oMath>
      <w:r>
        <w:rPr>
          <w:bCs/>
          <w:b/>
        </w:rPr>
        <w:t xml:space="preserve"> </w:t>
      </w:r>
      <w:r>
        <w:rPr>
          <w:bCs/>
          <w:b/>
        </w:rPr>
        <w:t xml:space="preserve">±</w:t>
      </w:r>
      <w:r>
        <w:rPr>
          <w:bCs/>
          <w:b/>
        </w:rPr>
        <w:t xml:space="preserve"> </w:t>
      </w:r>
      <m:oMath>
        <m:r>
          <m:t>0.66</m:t>
        </m:r>
      </m:oMath>
      <w:r>
        <w:rPr>
          <w:bCs/>
          <w:b/>
        </w:rPr>
        <w:t xml:space="preserve">, T(</w:t>
      </w:r>
      <m:oMath>
        <m:r>
          <m:t>2.08</m:t>
        </m:r>
        <m:r>
          <m:rPr>
            <m:sty m:val="p"/>
          </m:rPr>
          <m:t>×</m:t>
        </m:r>
        <m:sSup>
          <m:e>
            <m:r>
              <m:t>10</m:t>
            </m:r>
          </m:e>
          <m:sup>
            <m:r>
              <m:t>3</m:t>
            </m:r>
          </m:sup>
        </m:sSup>
      </m:oMath>
      <w:r>
        <w:rPr>
          <w:bCs/>
          <w:b/>
        </w:rPr>
        <w:t xml:space="preserve">) =</w:t>
      </w:r>
      <w:r>
        <w:rPr>
          <w:bCs/>
          <w:b/>
        </w:rPr>
        <w:t xml:space="preserve"> </w:t>
      </w:r>
      <m:oMath>
        <m:r>
          <m:rPr>
            <m:sty m:val="p"/>
          </m:rPr>
          <m:t>−</m:t>
        </m:r>
        <m:r>
          <m:t>9.37</m:t>
        </m:r>
      </m:oMath>
      <w:r>
        <w:rPr>
          <w:bCs/>
          <w:b/>
        </w:rPr>
        <w:t xml:space="preserve">, p =</w:t>
      </w:r>
      <w:r>
        <w:rPr>
          <w:bCs/>
          <w:b/>
        </w:rPr>
        <w:t xml:space="preserve"> </w:t>
      </w:r>
      <m:oMath>
        <m:r>
          <m:t>1.85</m:t>
        </m:r>
        <m:r>
          <m:rPr>
            <m:sty m:val="p"/>
          </m:rPr>
          <m:t>×</m:t>
        </m:r>
        <m:sSup>
          <m:e>
            <m:r>
              <m:t>10</m:t>
            </m:r>
          </m:e>
          <m:sup>
            <m:r>
              <m:rPr>
                <m:sty m:val="p"/>
              </m:rPr>
              <m:t>−</m:t>
            </m:r>
            <m:r>
              <m:t>20</m:t>
            </m:r>
          </m:sup>
        </m:sSup>
      </m:oMath>
      <w:r>
        <w:rPr>
          <w:bCs/>
          <w:b/>
        </w:rPr>
        <w:t xml:space="preserve">).</w:t>
      </w:r>
    </w:p>
    <w:p>
      <w:pPr>
        <w:numPr>
          <w:ilvl w:val="0"/>
          <w:numId w:val="1008"/>
        </w:numPr>
      </w:pPr>
      <w:r>
        <w:rPr>
          <w:bCs/>
          <w:b/>
        </w:rPr>
        <w:t xml:space="preserve">Our behavioral analyses reveal that humans and mice show significant effects of perceptual history that impaired performance in randomized psychophysical experiments</w:t>
      </w:r>
      <w:r>
        <w:rPr>
          <w:vertAlign w:val="superscript"/>
          <w:bCs/>
          <w:b/>
        </w:rPr>
        <w:t xml:space="preserve">24,28,30,31,43</w:t>
      </w:r>
      <w:r>
        <w:rPr>
          <w:bCs/>
          <w:b/>
        </w:rPr>
        <w:t xml:space="preserve"> </w:t>
      </w:r>
      <w:r>
        <w:rPr>
          <w:bCs/>
          <w:b/>
        </w:rPr>
        <w:t xml:space="preserve">(Figure 2A and 3A). We therefore expected that humans and mice underestimated the true hazard rate</w:t>
      </w:r>
      <w:r>
        <w:rPr>
          <w:bCs/>
          <w:b/>
        </w:rPr>
        <w:t xml:space="preserve"> </w:t>
      </w:r>
      <m:oMath>
        <m:acc>
          <m:accPr>
            <m:chr m:val="̂"/>
          </m:accPr>
          <m:e>
            <m:r>
              <m:t>H</m:t>
            </m:r>
          </m:e>
        </m:acc>
      </m:oMath>
      <w:r>
        <w:rPr>
          <w:bCs/>
          <w:b/>
        </w:rPr>
        <w:t xml:space="preserve"> </w:t>
      </w:r>
      <w:r>
        <w:rPr>
          <w:bCs/>
          <w:b/>
        </w:rPr>
        <w:t xml:space="preserve">of the experimental environments (Confidence database</w:t>
      </w:r>
      <w:r>
        <w:rPr>
          <w:vertAlign w:val="superscript"/>
          <w:bCs/>
          <w:b/>
        </w:rPr>
        <w:t xml:space="preserve">20</w:t>
      </w:r>
      <w:r>
        <w:rPr>
          <w:bCs/>
          <w:b/>
        </w:rPr>
        <w:t xml:space="preserve">:</w:t>
      </w:r>
      <w:r>
        <w:rPr>
          <w:bCs/>
          <w:b/>
        </w:rPr>
        <w:t xml:space="preserve"> </w:t>
      </w:r>
      <m:oMath>
        <m:sSub>
          <m:e>
            <m:acc>
              <m:accPr>
                <m:chr m:val="̂"/>
              </m:accPr>
              <m:e>
                <m:r>
                  <m:t>H</m:t>
                </m:r>
              </m:e>
            </m:acc>
          </m:e>
          <m:sub>
            <m:r>
              <m:t>H</m:t>
            </m:r>
            <m:r>
              <m:t>u</m:t>
            </m:r>
            <m:r>
              <m:t>m</m:t>
            </m:r>
            <m:r>
              <m:t>a</m:t>
            </m:r>
            <m:r>
              <m:t>n</m:t>
            </m:r>
            <m:r>
              <m:t>s</m:t>
            </m:r>
          </m:sub>
        </m:sSub>
      </m:oMath>
      <w:r>
        <w:rPr>
          <w:bCs/>
          <w:b/>
        </w:rPr>
        <w:t xml:space="preserve"> </w:t>
      </w:r>
      <w:r>
        <w:rPr>
          <w:bCs/>
          <w:b/>
        </w:rPr>
        <w:t xml:space="preserve">= 0.5 ± 1.58</w:t>
      </w:r>
      <w:r>
        <w:rPr>
          <w:bCs/>
          <w:b/>
        </w:rPr>
        <w:t xml:space="preserve">^{-5}); IBL database</w:t>
      </w:r>
      <w:r>
        <w:rPr>
          <w:vertAlign w:val="superscript"/>
          <w:bCs/>
          <w:b/>
        </w:rPr>
        <w:t xml:space="preserve">21</w:t>
      </w:r>
      <w:r>
        <w:rPr>
          <w:bCs/>
          <w:b/>
        </w:rPr>
        <w:t xml:space="preserve">:</w:t>
      </w:r>
      <w:r>
        <w:rPr>
          <w:bCs/>
          <w:b/>
        </w:rPr>
        <w:t xml:space="preserve"> </w:t>
      </w:r>
      <m:oMath>
        <m:sSub>
          <m:e>
            <m:acc>
              <m:accPr>
                <m:chr m:val="̂"/>
              </m:accPr>
              <m:e>
                <m:r>
                  <m:t>H</m:t>
                </m:r>
              </m:e>
            </m:acc>
          </m:e>
          <m:sub>
            <m:r>
              <m:t>M</m:t>
            </m:r>
            <m:r>
              <m:t>i</m:t>
            </m:r>
            <m:r>
              <m:t>c</m:t>
            </m:r>
            <m:r>
              <m:t>e</m:t>
            </m:r>
          </m:sub>
        </m:sSub>
      </m:oMath>
      <w:r>
        <w:rPr>
          <w:bCs/>
          <w:b/>
        </w:rPr>
        <w:t xml:space="preserve"> </w:t>
      </w:r>
      <w:r>
        <w:rPr>
          <w:bCs/>
          <w:b/>
        </w:rPr>
        <w:t xml:space="preserve">= 0.49 ± 6.47</w:t>
      </w:r>
      <w:r>
        <w:rPr>
          <w:bCs/>
          <w:b/>
        </w:rPr>
        <w:t xml:space="preserve">^{-5}). Indeed, when fitting the bimodal inference model to the trial-wise perceptual choices, we found that the estimated (i.e., subjective) hazard rate</w:t>
      </w:r>
      <w:r>
        <w:rPr>
          <w:bCs/>
          <w:b/>
        </w:rPr>
        <w:t xml:space="preserve"> </w:t>
      </w:r>
      <m:oMath>
        <m:r>
          <m:t>H</m:t>
        </m:r>
      </m:oMath>
      <w:r>
        <w:rPr>
          <w:bCs/>
          <w:b/>
        </w:rPr>
        <w:t xml:space="preserve"> </w:t>
      </w:r>
      <w:r>
        <w:rPr>
          <w:bCs/>
          <w:b/>
        </w:rPr>
        <w:t xml:space="preserve">was lower than</w:t>
      </w:r>
      <w:r>
        <w:rPr>
          <w:bCs/>
          <w:b/>
        </w:rPr>
        <w:t xml:space="preserve"> </w:t>
      </w:r>
      <m:oMath>
        <m:acc>
          <m:accPr>
            <m:chr m:val="̂"/>
          </m:accPr>
          <m:e>
            <m:r>
              <m:t>H</m:t>
            </m:r>
          </m:e>
        </m:acc>
      </m:oMath>
      <w:r>
        <w:rPr>
          <w:bCs/>
          <w:b/>
        </w:rPr>
        <w:t xml:space="preserve"> </w:t>
      </w:r>
      <w:r>
        <w:rPr>
          <w:bCs/>
          <w:b/>
        </w:rPr>
        <w:t xml:space="preserve">for both humans (</w:t>
      </w:r>
      <m:oMath>
        <m:r>
          <m:t>β</m:t>
        </m:r>
      </m:oMath>
      <w:r>
        <w:rPr>
          <w:bCs/>
          <w:b/>
        </w:rPr>
        <w:t xml:space="preserve"> </w:t>
      </w:r>
      <w:r>
        <w:rPr>
          <w:bCs/>
          <w:b/>
        </w:rPr>
        <w:t xml:space="preserve">=</w:t>
      </w:r>
      <w:r>
        <w:rPr>
          <w:bCs/>
          <w:b/>
        </w:rPr>
        <w:t xml:space="preserve"> </w:t>
      </w:r>
      <m:oMath>
        <m:r>
          <m:rPr>
            <m:sty m:val="p"/>
          </m:rPr>
          <m:t>−</m:t>
        </m:r>
        <m:r>
          <m:t>6.87</m:t>
        </m:r>
      </m:oMath>
      <w:r>
        <w:rPr>
          <w:bCs/>
          <w:b/>
        </w:rPr>
        <w:t xml:space="preserve"> </w:t>
      </w:r>
      <w:r>
        <w:rPr>
          <w:bCs/>
          <w:b/>
        </w:rPr>
        <w:t xml:space="preserve">±</w:t>
      </w:r>
      <w:r>
        <w:rPr>
          <w:bCs/>
          <w:b/>
        </w:rPr>
        <w:t xml:space="preserve"> </w:t>
      </w:r>
      <m:oMath>
        <m:r>
          <m:t>0.94</m:t>
        </m:r>
      </m:oMath>
      <w:r>
        <w:rPr>
          <w:bCs/>
          <w:b/>
        </w:rPr>
        <w:t xml:space="preserve">, T(</w:t>
      </w:r>
      <m:oMath>
        <m:r>
          <m:t>61.87</m:t>
        </m:r>
      </m:oMath>
      <w:r>
        <w:rPr>
          <w:bCs/>
          <w:b/>
        </w:rPr>
        <w:t xml:space="preserve">) =</w:t>
      </w:r>
      <w:r>
        <w:rPr>
          <w:bCs/>
          <w:b/>
        </w:rPr>
        <w:t xml:space="preserve"> </w:t>
      </w:r>
      <m:oMath>
        <m:r>
          <m:rPr>
            <m:sty m:val="p"/>
          </m:rPr>
          <m:t>−</m:t>
        </m:r>
        <m:r>
          <m:t>7.33</m:t>
        </m:r>
      </m:oMath>
      <w:r>
        <w:rPr>
          <w:bCs/>
          <w:b/>
        </w:rPr>
        <w:t xml:space="preserve">, p =</w:t>
      </w:r>
      <w:r>
        <w:rPr>
          <w:bCs/>
          <w:b/>
        </w:rPr>
        <w:t xml:space="preserve"> </w:t>
      </w:r>
      <m:oMath>
        <m:r>
          <m:t>5.76</m:t>
        </m:r>
        <m:r>
          <m:rPr>
            <m:sty m:val="p"/>
          </m:rPr>
          <m:t>×</m:t>
        </m:r>
        <m:sSup>
          <m:e>
            <m:r>
              <m:t>10</m:t>
            </m:r>
          </m:e>
          <m:sup>
            <m:r>
              <m:rPr>
                <m:sty m:val="p"/>
              </m:rPr>
              <m:t>−</m:t>
            </m:r>
            <m:r>
              <m:t>10</m:t>
            </m:r>
          </m:sup>
        </m:sSup>
      </m:oMath>
      <w:r>
        <w:rPr>
          <w:bCs/>
          <w:b/>
        </w:rPr>
        <w:t xml:space="preserve">) and mice (</w:t>
      </w:r>
      <m:oMath>
        <m:r>
          <m:t>β</m:t>
        </m:r>
      </m:oMath>
      <w:r>
        <w:rPr>
          <w:bCs/>
          <w:b/>
        </w:rPr>
        <w:t xml:space="preserve"> </w:t>
      </w:r>
      <w:r>
        <w:rPr>
          <w:bCs/>
          <w:b/>
        </w:rPr>
        <w:t xml:space="preserve">=</w:t>
      </w:r>
      <w:r>
        <w:rPr>
          <w:bCs/>
          <w:b/>
        </w:rPr>
        <w:t xml:space="preserve"> </w:t>
      </w:r>
      <m:oMath>
        <m:r>
          <m:rPr>
            <m:sty m:val="p"/>
          </m:rPr>
          <m:t>−</m:t>
        </m:r>
        <m:r>
          <m:t>2.91</m:t>
        </m:r>
      </m:oMath>
      <w:r>
        <w:rPr>
          <w:bCs/>
          <w:b/>
        </w:rPr>
        <w:t xml:space="preserve"> </w:t>
      </w:r>
      <w:r>
        <w:rPr>
          <w:bCs/>
          <w:b/>
        </w:rPr>
        <w:t xml:space="preserve">±</w:t>
      </w:r>
      <w:r>
        <w:rPr>
          <w:bCs/>
          <w:b/>
        </w:rPr>
        <w:t xml:space="preserve"> </w:t>
      </w:r>
      <m:oMath>
        <m:r>
          <m:t>0.34</m:t>
        </m:r>
      </m:oMath>
      <w:r>
        <w:rPr>
          <w:bCs/>
          <w:b/>
        </w:rPr>
        <w:t xml:space="preserve">, T(</w:t>
      </w:r>
      <m:oMath>
        <m:r>
          <m:t>112.57</m:t>
        </m:r>
      </m:oMath>
      <w:r>
        <w:rPr>
          <w:bCs/>
          <w:b/>
        </w:rPr>
        <w:t xml:space="preserve">) =</w:t>
      </w:r>
      <w:r>
        <w:rPr>
          <w:bCs/>
          <w:b/>
        </w:rPr>
        <w:t xml:space="preserve"> </w:t>
      </w:r>
      <m:oMath>
        <m:r>
          <m:rPr>
            <m:sty m:val="p"/>
          </m:rPr>
          <m:t>−</m:t>
        </m:r>
        <m:r>
          <m:t>8.51</m:t>
        </m:r>
      </m:oMath>
      <w:r>
        <w:rPr>
          <w:bCs/>
          <w:b/>
        </w:rPr>
        <w:t xml:space="preserve">, p =</w:t>
      </w:r>
      <w:r>
        <w:rPr>
          <w:bCs/>
          <w:b/>
        </w:rPr>
        <w:t xml:space="preserve"> </w:t>
      </w:r>
      <m:oMath>
        <m:r>
          <m:t>8.65</m:t>
        </m:r>
        <m:r>
          <m:rPr>
            <m:sty m:val="p"/>
          </m:rPr>
          <m:t>×</m:t>
        </m:r>
        <m:sSup>
          <m:e>
            <m:r>
              <m:t>10</m:t>
            </m:r>
          </m:e>
          <m:sup>
            <m:r>
              <m:rPr>
                <m:sty m:val="p"/>
              </m:rPr>
              <m:t>−</m:t>
            </m:r>
            <m:r>
              <m:t>14</m:t>
            </m:r>
          </m:sup>
        </m:sSup>
      </m:oMath>
      <w:r>
        <w:rPr>
          <w:bCs/>
          <w:b/>
        </w:rPr>
        <w:t xml:space="preserve">).</w:t>
      </w:r>
    </w:p>
    <w:p>
      <w:pPr>
        <w:numPr>
          <w:ilvl w:val="0"/>
          <w:numId w:val="1008"/>
        </w:numPr>
      </w:pPr>
      <w:r>
        <w:rPr>
          <w:bCs/>
          <w:b/>
        </w:rPr>
        <w:t xml:space="preserve">To further probe the validity of the bimodal inference model, we tested whether posterior model quantities could explain aspects of the behavioral data that the model was not fitted to. We predicted that the posterior decision variable</w:t>
      </w:r>
      <w:r>
        <w:rPr>
          <w:bCs/>
          <w:b/>
        </w:rPr>
        <w:t xml:space="preserve"> </w:t>
      </w:r>
      <m:oMath>
        <m:sSub>
          <m:e>
            <m:r>
              <m:t>L</m:t>
            </m:r>
          </m:e>
          <m:sub>
            <m:r>
              <m:t>t</m:t>
            </m:r>
          </m:sub>
        </m:sSub>
      </m:oMath>
      <w:r>
        <w:rPr>
          <w:bCs/>
          <w:b/>
        </w:rPr>
        <w:t xml:space="preserve"> </w:t>
      </w:r>
      <w:r>
        <w:rPr>
          <w:bCs/>
          <w:b/>
        </w:rPr>
        <w:t xml:space="preserve">not only encodes perceptual choices (i.e., the variable used for model estimation), but should also predict the speed of response and subjective confidence</w:t>
      </w:r>
      <w:r>
        <w:rPr>
          <w:vertAlign w:val="superscript"/>
          <w:bCs/>
          <w:b/>
        </w:rPr>
        <w:t xml:space="preserve">30,44</w:t>
      </w:r>
      <w:r>
        <w:rPr>
          <w:bCs/>
          <w:b/>
        </w:rPr>
        <w:t xml:space="preserve">. Indeed, the estimated trial-wise posterior decision certainty</w:t>
      </w:r>
      <w:r>
        <w:rPr>
          <w:bCs/>
          <w:b/>
        </w:rPr>
        <w:t xml:space="preserve"> </w:t>
      </w:r>
      <m:oMath>
        <m:d>
          <m:dPr>
            <m:begChr m:val="|"/>
            <m:endChr m:val="|"/>
            <m:sepChr m:val=""/>
            <m:grow/>
          </m:dPr>
          <m:e>
            <m:sSub>
              <m:e>
                <m:r>
                  <m:t>L</m:t>
                </m:r>
              </m:e>
              <m:sub>
                <m:r>
                  <m:t>t</m:t>
                </m:r>
              </m:sub>
            </m:sSub>
          </m:e>
        </m:d>
      </m:oMath>
      <w:r>
        <w:rPr>
          <w:bCs/>
          <w:b/>
        </w:rPr>
        <w:t xml:space="preserve"> </w:t>
      </w:r>
      <w:r>
        <w:rPr>
          <w:bCs/>
          <w:b/>
        </w:rPr>
        <w:t xml:space="preserve">correlated negatively with RTs in humans (</w:t>
      </w:r>
      <m:oMath>
        <m:r>
          <m:t>β</m:t>
        </m:r>
      </m:oMath>
      <w:r>
        <w:rPr>
          <w:bCs/>
          <w:b/>
        </w:rPr>
        <w:t xml:space="preserve"> </w:t>
      </w:r>
      <w:r>
        <w:rPr>
          <w:bCs/>
          <w:b/>
        </w:rPr>
        <w:t xml:space="preserve">=</w:t>
      </w:r>
      <w:r>
        <w:rPr>
          <w:bCs/>
          <w:b/>
        </w:rPr>
        <w:t xml:space="preserve"> </w:t>
      </w:r>
      <m:oMath>
        <m:r>
          <m:rPr>
            <m:sty m:val="p"/>
          </m:rPr>
          <m:t>−</m:t>
        </m:r>
        <m:r>
          <m:t>4.36</m:t>
        </m:r>
        <m:r>
          <m:rPr>
            <m:sty m:val="p"/>
          </m:rPr>
          <m:t>×</m:t>
        </m:r>
        <m:sSup>
          <m:e>
            <m:r>
              <m:t>10</m:t>
            </m:r>
          </m:e>
          <m:sup>
            <m:r>
              <m:rPr>
                <m:sty m:val="p"/>
              </m:rPr>
              <m:t>−</m:t>
            </m:r>
            <m:r>
              <m:t>3</m:t>
            </m:r>
          </m:sup>
        </m:sSup>
      </m:oMath>
      <w:r>
        <w:rPr>
          <w:bCs/>
          <w:b/>
        </w:rPr>
        <w:t xml:space="preserve"> </w:t>
      </w:r>
      <w:r>
        <w:rPr>
          <w:bCs/>
          <w:b/>
        </w:rPr>
        <w:t xml:space="preserve">±</w:t>
      </w:r>
      <w:r>
        <w:rPr>
          <w:bCs/>
          <w:b/>
        </w:rPr>
        <w:t xml:space="preserve"> </w:t>
      </w:r>
      <m:oMath>
        <m:r>
          <m:t>4.64</m:t>
        </m:r>
        <m:r>
          <m:rPr>
            <m:sty m:val="p"/>
          </m:rPr>
          <m:t>×</m:t>
        </m:r>
        <m:sSup>
          <m:e>
            <m:r>
              <m:t>10</m:t>
            </m:r>
          </m:e>
          <m:sup>
            <m:r>
              <m:rPr>
                <m:sty m:val="p"/>
              </m:rPr>
              <m:t>−</m:t>
            </m:r>
            <m:r>
              <m:t>4</m:t>
            </m:r>
          </m:sup>
        </m:sSup>
      </m:oMath>
      <w:r>
        <w:rPr>
          <w:bCs/>
          <w:b/>
        </w:rPr>
        <w:t xml:space="preserve">, T(</w:t>
      </w:r>
      <m:oMath>
        <m:r>
          <m:t>1.98</m:t>
        </m:r>
        <m:r>
          <m:rPr>
            <m:sty m:val="p"/>
          </m:rPr>
          <m:t>×</m:t>
        </m:r>
        <m:sSup>
          <m:e>
            <m:r>
              <m:t>10</m:t>
            </m:r>
          </m:e>
          <m:sup>
            <m:r>
              <m:t>6</m:t>
            </m:r>
          </m:sup>
        </m:sSup>
      </m:oMath>
      <w:r>
        <w:rPr>
          <w:bCs/>
          <w:b/>
        </w:rPr>
        <w:t xml:space="preserve">) =</w:t>
      </w:r>
      <w:r>
        <w:rPr>
          <w:bCs/>
          <w:b/>
        </w:rPr>
        <w:t xml:space="preserve"> </w:t>
      </w:r>
      <m:oMath>
        <m:r>
          <m:rPr>
            <m:sty m:val="p"/>
          </m:rPr>
          <m:t>−</m:t>
        </m:r>
        <m:r>
          <m:t>9.41</m:t>
        </m:r>
      </m:oMath>
      <w:r>
        <w:rPr>
          <w:bCs/>
          <w:b/>
        </w:rPr>
        <w:t xml:space="preserve">, p =</w:t>
      </w:r>
      <w:r>
        <w:rPr>
          <w:bCs/>
          <w:b/>
        </w:rPr>
        <w:t xml:space="preserve"> </w:t>
      </w:r>
      <m:oMath>
        <m:r>
          <m:t>5.19</m:t>
        </m:r>
        <m:r>
          <m:rPr>
            <m:sty m:val="p"/>
          </m:rPr>
          <m:t>×</m:t>
        </m:r>
        <m:sSup>
          <m:e>
            <m:r>
              <m:t>10</m:t>
            </m:r>
          </m:e>
          <m:sup>
            <m:r>
              <m:rPr>
                <m:sty m:val="p"/>
              </m:rPr>
              <m:t>−</m:t>
            </m:r>
            <m:r>
              <m:t>21</m:t>
            </m:r>
          </m:sup>
        </m:sSup>
      </m:oMath>
      <w:r>
        <w:rPr>
          <w:bCs/>
          <w:b/>
        </w:rPr>
        <w:t xml:space="preserve">) and TDs mice (</w:t>
      </w:r>
      <m:oMath>
        <m:r>
          <m:t>β</m:t>
        </m:r>
      </m:oMath>
      <w:r>
        <w:rPr>
          <w:bCs/>
          <w:b/>
        </w:rPr>
        <w:t xml:space="preserve"> </w:t>
      </w:r>
      <w:r>
        <w:rPr>
          <w:bCs/>
          <w:b/>
        </w:rPr>
        <w:t xml:space="preserve">=</w:t>
      </w:r>
      <w:r>
        <w:rPr>
          <w:bCs/>
          <w:b/>
        </w:rPr>
        <w:t xml:space="preserve"> </w:t>
      </w:r>
      <m:oMath>
        <m:r>
          <m:rPr>
            <m:sty m:val="p"/>
          </m:rPr>
          <m:t>−</m:t>
        </m:r>
        <m:r>
          <m:t>35.45</m:t>
        </m:r>
      </m:oMath>
      <w:r>
        <w:rPr>
          <w:bCs/>
          <w:b/>
        </w:rPr>
        <w:t xml:space="preserve"> </w:t>
      </w:r>
      <w:r>
        <w:rPr>
          <w:bCs/>
          <w:b/>
        </w:rPr>
        <w:t xml:space="preserve">±</w:t>
      </w:r>
      <w:r>
        <w:rPr>
          <w:bCs/>
          <w:b/>
        </w:rPr>
        <w:t xml:space="preserve"> </w:t>
      </w:r>
      <m:oMath>
        <m:r>
          <m:t>0.86</m:t>
        </m:r>
      </m:oMath>
      <w:r>
        <w:rPr>
          <w:bCs/>
          <w:b/>
        </w:rPr>
        <w:t xml:space="preserve">, T(</w:t>
      </w:r>
      <m:oMath>
        <m:r>
          <m:t>1.28</m:t>
        </m:r>
        <m:r>
          <m:rPr>
            <m:sty m:val="p"/>
          </m:rPr>
          <m:t>×</m:t>
        </m:r>
        <m:sSup>
          <m:e>
            <m:r>
              <m:t>10</m:t>
            </m:r>
          </m:e>
          <m:sup>
            <m:r>
              <m:t>6</m:t>
            </m:r>
          </m:sup>
        </m:sSup>
      </m:oMath>
      <w:r>
        <w:rPr>
          <w:bCs/>
          <w:b/>
        </w:rPr>
        <w:t xml:space="preserve">) =</w:t>
      </w:r>
      <w:r>
        <w:rPr>
          <w:bCs/>
          <w:b/>
        </w:rPr>
        <w:t xml:space="preserve"> </w:t>
      </w:r>
      <m:oMath>
        <m:r>
          <m:rPr>
            <m:sty m:val="p"/>
          </m:rPr>
          <m:t>−</m:t>
        </m:r>
        <m:r>
          <m:t>41.13</m:t>
        </m:r>
      </m:oMath>
      <w:r>
        <w:rPr>
          <w:bCs/>
          <w:b/>
        </w:rPr>
        <w:t xml:space="preserve">, p =</w:t>
      </w:r>
      <w:r>
        <w:rPr>
          <w:bCs/>
          <w:b/>
        </w:rPr>
        <w:t xml:space="preserve"> </w:t>
      </w:r>
      <m:oMath>
        <m:r>
          <m:t>0</m:t>
        </m:r>
      </m:oMath>
      <w:r>
        <w:rPr>
          <w:bCs/>
          <w:b/>
        </w:rPr>
        <w:t xml:space="preserve">). Likewise, subjective confidence reports were positively correlated with the estimated posterior decision certainty in humans (</w:t>
      </w:r>
      <m:oMath>
        <m:r>
          <m:t>β</m:t>
        </m:r>
      </m:oMath>
      <w:r>
        <w:rPr>
          <w:bCs/>
          <w:b/>
        </w:rPr>
        <w:t xml:space="preserve"> </w:t>
      </w:r>
      <w:r>
        <w:rPr>
          <w:bCs/>
          <w:b/>
        </w:rPr>
        <w:t xml:space="preserve">=</w:t>
      </w:r>
      <w:r>
        <w:rPr>
          <w:bCs/>
          <w:b/>
        </w:rPr>
        <w:t xml:space="preserve"> </w:t>
      </w:r>
      <m:oMath>
        <m:r>
          <m:t>7.63</m:t>
        </m:r>
        <m:r>
          <m:rPr>
            <m:sty m:val="p"/>
          </m:rPr>
          <m:t>×</m:t>
        </m:r>
        <m:sSup>
          <m:e>
            <m:r>
              <m:t>10</m:t>
            </m:r>
          </m:e>
          <m:sup>
            <m:r>
              <m:rPr>
                <m:sty m:val="p"/>
              </m:rPr>
              <m:t>−</m:t>
            </m:r>
            <m:r>
              <m:t>3</m:t>
            </m:r>
          </m:sup>
        </m:sSup>
      </m:oMath>
      <w:r>
        <w:rPr>
          <w:bCs/>
          <w:b/>
        </w:rPr>
        <w:t xml:space="preserve"> </w:t>
      </w:r>
      <w:r>
        <w:rPr>
          <w:bCs/>
          <w:b/>
        </w:rPr>
        <w:t xml:space="preserve">±</w:t>
      </w:r>
      <w:r>
        <w:rPr>
          <w:bCs/>
          <w:b/>
        </w:rPr>
        <w:t xml:space="preserve"> </w:t>
      </w:r>
      <m:oMath>
        <m:r>
          <m:t>8.32</m:t>
        </m:r>
        <m:r>
          <m:rPr>
            <m:sty m:val="p"/>
          </m:rPr>
          <m:t>×</m:t>
        </m:r>
        <m:sSup>
          <m:e>
            <m:r>
              <m:t>10</m:t>
            </m:r>
          </m:e>
          <m:sup>
            <m:r>
              <m:rPr>
                <m:sty m:val="p"/>
              </m:rPr>
              <m:t>−</m:t>
            </m:r>
            <m:r>
              <m:t>4</m:t>
            </m:r>
          </m:sup>
        </m:sSup>
      </m:oMath>
      <w:r>
        <w:rPr>
          <w:bCs/>
          <w:b/>
        </w:rPr>
        <w:t xml:space="preserve">, T(</w:t>
      </w:r>
      <m:oMath>
        <m:r>
          <m:t>2.06</m:t>
        </m:r>
        <m:r>
          <m:rPr>
            <m:sty m:val="p"/>
          </m:rPr>
          <m:t>×</m:t>
        </m:r>
        <m:sSup>
          <m:e>
            <m:r>
              <m:t>10</m:t>
            </m:r>
          </m:e>
          <m:sup>
            <m:r>
              <m:t>6</m:t>
            </m:r>
          </m:sup>
        </m:sSup>
      </m:oMath>
      <w:r>
        <w:rPr>
          <w:bCs/>
          <w:b/>
        </w:rPr>
        <w:t xml:space="preserve">) =</w:t>
      </w:r>
      <w:r>
        <w:rPr>
          <w:bCs/>
          <w:b/>
        </w:rPr>
        <w:t xml:space="preserve"> </w:t>
      </w:r>
      <m:oMath>
        <m:r>
          <m:t>9.18</m:t>
        </m:r>
      </m:oMath>
      <w:r>
        <w:rPr>
          <w:bCs/>
          <w:b/>
        </w:rPr>
        <w:t xml:space="preserve">, p =</w:t>
      </w:r>
      <w:r>
        <w:rPr>
          <w:bCs/>
          <w:b/>
        </w:rPr>
        <w:t xml:space="preserve"> </w:t>
      </w:r>
      <m:oMath>
        <m:r>
          <m:t>4.48</m:t>
        </m:r>
        <m:r>
          <m:rPr>
            <m:sty m:val="p"/>
          </m:rPr>
          <m:t>×</m:t>
        </m:r>
        <m:sSup>
          <m:e>
            <m:r>
              <m:t>10</m:t>
            </m:r>
          </m:e>
          <m:sup>
            <m:r>
              <m:rPr>
                <m:sty m:val="p"/>
              </m:rPr>
              <m:t>−</m:t>
            </m:r>
            <m:r>
              <m:t>20</m:t>
            </m:r>
          </m:sup>
        </m:sSup>
      </m:oMath>
      <w:r>
        <w:rPr>
          <w:bCs/>
          <w:b/>
        </w:rPr>
        <w:t xml:space="preserve">).</w:t>
      </w:r>
    </w:p>
    <w:p>
      <w:pPr>
        <w:numPr>
          <w:ilvl w:val="0"/>
          <w:numId w:val="1008"/>
        </w:numPr>
      </w:pPr>
      <w:r>
        <w:rPr>
          <w:bCs/>
          <w:b/>
        </w:rPr>
        <w:t xml:space="preserve">The dynamic accumulation of information inherent to our model entails that biases toward perceptual history are stronger when the posterior decision certainty at the preceding trial is high</w:t>
      </w:r>
      <w:r>
        <w:rPr>
          <w:vertAlign w:val="superscript"/>
          <w:bCs/>
          <w:b/>
        </w:rPr>
        <w:t xml:space="preserve">30,31,51</w:t>
      </w:r>
      <w:r>
        <w:rPr>
          <w:bCs/>
          <w:b/>
        </w:rPr>
        <w:t xml:space="preserve">. Due to the link between posterior decision certainty and confidence, we reasoned that confident perceptual choices should be more likely to induce history-congruent perception at the subsequent trial</w:t>
      </w:r>
      <w:r>
        <w:rPr>
          <w:vertAlign w:val="superscript"/>
          <w:bCs/>
          <w:b/>
        </w:rPr>
        <w:t xml:space="preserve">30,31</w:t>
      </w:r>
      <w:r>
        <w:rPr>
          <w:bCs/>
          <w:b/>
        </w:rPr>
        <w:t xml:space="preserve">. Indeed, logistic regression indicated that history-congruence was predicted by the posterior decision certainty</w:t>
      </w:r>
      <w:r>
        <w:rPr>
          <w:bCs/>
          <w:b/>
        </w:rPr>
        <w:t xml:space="preserve"> </w:t>
      </w:r>
      <m:oMath>
        <m:d>
          <m:dPr>
            <m:begChr m:val="|"/>
            <m:endChr m:val="|"/>
            <m:sepChr m:val=""/>
            <m:grow/>
          </m:dPr>
          <m:e>
            <m:sSub>
              <m:e>
                <m:r>
                  <m:t>L</m:t>
                </m:r>
              </m:e>
              <m:sub>
                <m:r>
                  <m:t>t</m:t>
                </m:r>
                <m:r>
                  <m:rPr>
                    <m:sty m:val="p"/>
                  </m:rPr>
                  <m:t>−</m:t>
                </m:r>
                <m:r>
                  <m:t>1</m:t>
                </m:r>
              </m:sub>
            </m:sSub>
          </m:e>
        </m:d>
      </m:oMath>
      <w:r>
        <w:rPr>
          <w:bCs/>
          <w:b/>
        </w:rPr>
        <w:t xml:space="preserve"> </w:t>
      </w:r>
      <w:r>
        <w:rPr>
          <w:bCs/>
          <w:b/>
        </w:rPr>
        <w:t xml:space="preserve">(humans:</w:t>
      </w:r>
      <w:r>
        <w:rPr>
          <w:bCs/>
          <w:b/>
        </w:rPr>
        <w:t xml:space="preserve"> </w:t>
      </w:r>
      <m:oMath>
        <m:r>
          <m:t>β</m:t>
        </m:r>
      </m:oMath>
      <w:r>
        <w:rPr>
          <w:bCs/>
          <w:b/>
        </w:rPr>
        <w:t xml:space="preserve"> </w:t>
      </w:r>
      <w:r>
        <w:rPr>
          <w:bCs/>
          <w:b/>
        </w:rPr>
        <w:t xml:space="preserve">=</w:t>
      </w:r>
      <w:r>
        <w:rPr>
          <w:bCs/>
          <w:b/>
        </w:rPr>
        <w:t xml:space="preserve"> </w:t>
      </w:r>
      <m:oMath>
        <m:r>
          <m:t>8.22</m:t>
        </m:r>
        <m:r>
          <m:rPr>
            <m:sty m:val="p"/>
          </m:rPr>
          <m:t>×</m:t>
        </m:r>
        <m:sSup>
          <m:e>
            <m:r>
              <m:t>10</m:t>
            </m:r>
          </m:e>
          <m:sup>
            <m:r>
              <m:rPr>
                <m:sty m:val="p"/>
              </m:rPr>
              <m:t>−</m:t>
            </m:r>
            <m:r>
              <m:t>3</m:t>
            </m:r>
          </m:sup>
        </m:sSup>
      </m:oMath>
      <w:r>
        <w:rPr>
          <w:bCs/>
          <w:b/>
        </w:rPr>
        <w:t xml:space="preserve"> </w:t>
      </w:r>
      <w:r>
        <w:rPr>
          <w:bCs/>
          <w:b/>
        </w:rPr>
        <w:t xml:space="preserve">±</w:t>
      </w:r>
      <w:r>
        <w:rPr>
          <w:bCs/>
          <w:b/>
        </w:rPr>
        <w:t xml:space="preserve"> </w:t>
      </w:r>
      <m:oMath>
        <m:r>
          <m:t>1.94</m:t>
        </m:r>
        <m:r>
          <m:rPr>
            <m:sty m:val="p"/>
          </m:rPr>
          <m:t>×</m:t>
        </m:r>
        <m:sSup>
          <m:e>
            <m:r>
              <m:t>10</m:t>
            </m:r>
          </m:e>
          <m:sup>
            <m:r>
              <m:rPr>
                <m:sty m:val="p"/>
              </m:rPr>
              <m:t>−</m:t>
            </m:r>
            <m:r>
              <m:t>3</m:t>
            </m:r>
          </m:sup>
        </m:sSup>
      </m:oMath>
      <w:r>
        <w:rPr>
          <w:bCs/>
          <w:b/>
        </w:rPr>
        <w:t xml:space="preserve">, z =</w:t>
      </w:r>
      <w:r>
        <w:rPr>
          <w:bCs/>
          <w:b/>
        </w:rPr>
        <w:t xml:space="preserve"> </w:t>
      </w:r>
      <m:oMath>
        <m:r>
          <m:t>4.25</m:t>
        </m:r>
      </m:oMath>
      <w:r>
        <w:rPr>
          <w:bCs/>
          <w:b/>
        </w:rPr>
        <w:t xml:space="preserve">, p =</w:t>
      </w:r>
      <w:r>
        <w:rPr>
          <w:bCs/>
          <w:b/>
        </w:rPr>
        <w:t xml:space="preserve"> </w:t>
      </w:r>
      <m:oMath>
        <m:r>
          <m:t>2.17</m:t>
        </m:r>
        <m:r>
          <m:rPr>
            <m:sty m:val="p"/>
          </m:rPr>
          <m:t>×</m:t>
        </m:r>
        <m:sSup>
          <m:e>
            <m:r>
              <m:t>10</m:t>
            </m:r>
          </m:e>
          <m:sup>
            <m:r>
              <m:rPr>
                <m:sty m:val="p"/>
              </m:rPr>
              <m:t>−</m:t>
            </m:r>
            <m:r>
              <m:t>5</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3.72</m:t>
        </m:r>
        <m:r>
          <m:rPr>
            <m:sty m:val="p"/>
          </m:rPr>
          <m:t>×</m:t>
        </m:r>
        <m:sSup>
          <m:e>
            <m:r>
              <m:t>10</m:t>
            </m:r>
          </m:e>
          <m:sup>
            <m:r>
              <m:rPr>
                <m:sty m:val="p"/>
              </m:rPr>
              <m:t>−</m:t>
            </m:r>
            <m:r>
              <m:t>3</m:t>
            </m:r>
          </m:sup>
        </m:sSup>
      </m:oMath>
      <w:r>
        <w:rPr>
          <w:bCs/>
          <w:b/>
        </w:rPr>
        <w:t xml:space="preserve"> </w:t>
      </w:r>
      <w:r>
        <w:rPr>
          <w:bCs/>
          <w:b/>
        </w:rPr>
        <w:t xml:space="preserve">±</w:t>
      </w:r>
      <w:r>
        <w:rPr>
          <w:bCs/>
          <w:b/>
        </w:rPr>
        <w:t xml:space="preserve"> </w:t>
      </w:r>
      <m:oMath>
        <m:r>
          <m:t>1.83</m:t>
        </m:r>
        <m:r>
          <m:rPr>
            <m:sty m:val="p"/>
          </m:rPr>
          <m:t>×</m:t>
        </m:r>
        <m:sSup>
          <m:e>
            <m:r>
              <m:t>10</m:t>
            </m:r>
          </m:e>
          <m:sup>
            <m:r>
              <m:rPr>
                <m:sty m:val="p"/>
              </m:rPr>
              <m:t>−</m:t>
            </m:r>
            <m:r>
              <m:t>3</m:t>
            </m:r>
          </m:sup>
        </m:sSup>
      </m:oMath>
      <w:r>
        <w:rPr>
          <w:bCs/>
          <w:b/>
        </w:rPr>
        <w:t xml:space="preserve">, z =</w:t>
      </w:r>
      <w:r>
        <w:rPr>
          <w:bCs/>
          <w:b/>
        </w:rPr>
        <w:t xml:space="preserve"> </w:t>
      </w:r>
      <m:oMath>
        <m:r>
          <m:rPr>
            <m:sty m:val="p"/>
          </m:rPr>
          <m:t>−</m:t>
        </m:r>
        <m:r>
          <m:t>2.03</m:t>
        </m:r>
      </m:oMath>
      <w:r>
        <w:rPr>
          <w:bCs/>
          <w:b/>
        </w:rPr>
        <w:t xml:space="preserve">, p =</w:t>
      </w:r>
      <w:r>
        <w:rPr>
          <w:bCs/>
          <w:b/>
        </w:rPr>
        <w:t xml:space="preserve"> </w:t>
      </w:r>
      <m:oMath>
        <m:r>
          <m:t>0.04</m:t>
        </m:r>
      </m:oMath>
      <w:r>
        <w:rPr>
          <w:bCs/>
          <w:b/>
        </w:rPr>
        <w:t xml:space="preserve">) and subjective confidence (humans:</w:t>
      </w:r>
      <w:r>
        <w:rPr>
          <w:bCs/>
          <w:b/>
        </w:rPr>
        <w:t xml:space="preserve"> </w:t>
      </w:r>
      <m:oMath>
        <m:r>
          <m:t>β</m:t>
        </m:r>
      </m:oMath>
      <w:r>
        <w:rPr>
          <w:bCs/>
          <w:b/>
        </w:rPr>
        <w:t xml:space="preserve"> </w:t>
      </w:r>
      <w:r>
        <w:rPr>
          <w:bCs/>
          <w:b/>
        </w:rPr>
        <w:t xml:space="preserve">=</w:t>
      </w:r>
      <w:r>
        <w:rPr>
          <w:bCs/>
          <w:b/>
        </w:rPr>
        <w:t xml:space="preserve"> </w:t>
      </w:r>
      <m:oMath>
        <m:r>
          <m:t>0.04</m:t>
        </m:r>
      </m:oMath>
      <w:r>
        <w:rPr>
          <w:bCs/>
          <w:b/>
        </w:rPr>
        <w:t xml:space="preserve"> </w:t>
      </w:r>
      <w:r>
        <w:rPr>
          <w:bCs/>
          <w:b/>
        </w:rPr>
        <w:t xml:space="preserve">±</w:t>
      </w:r>
      <w:r>
        <w:rPr>
          <w:bCs/>
          <w:b/>
        </w:rPr>
        <w:t xml:space="preserve"> </w:t>
      </w:r>
      <m:oMath>
        <m:r>
          <m:t>1.62</m:t>
        </m:r>
        <m:r>
          <m:rPr>
            <m:sty m:val="p"/>
          </m:rPr>
          <m:t>×</m:t>
        </m:r>
        <m:sSup>
          <m:e>
            <m:r>
              <m:t>10</m:t>
            </m:r>
          </m:e>
          <m:sup>
            <m:r>
              <m:rPr>
                <m:sty m:val="p"/>
              </m:rPr>
              <m:t>−</m:t>
            </m:r>
            <m:r>
              <m:t>3</m:t>
            </m:r>
          </m:sup>
        </m:sSup>
      </m:oMath>
      <w:r>
        <w:rPr>
          <w:bCs/>
          <w:b/>
        </w:rPr>
        <w:t xml:space="preserve">, z =</w:t>
      </w:r>
      <w:r>
        <w:rPr>
          <w:bCs/>
          <w:b/>
        </w:rPr>
        <w:t xml:space="preserve"> </w:t>
      </w:r>
      <m:oMath>
        <m:r>
          <m:t>27.21</m:t>
        </m:r>
      </m:oMath>
      <w:r>
        <w:rPr>
          <w:bCs/>
          <w:b/>
        </w:rPr>
        <w:t xml:space="preserve">, p =</w:t>
      </w:r>
      <w:r>
        <w:rPr>
          <w:bCs/>
          <w:b/>
        </w:rPr>
        <w:t xml:space="preserve"> </w:t>
      </w:r>
      <m:oMath>
        <m:r>
          <m:t>4.56</m:t>
        </m:r>
        <m:r>
          <m:rPr>
            <m:sty m:val="p"/>
          </m:rPr>
          <m:t>×</m:t>
        </m:r>
        <m:sSup>
          <m:e>
            <m:r>
              <m:t>10</m:t>
            </m:r>
          </m:e>
          <m:sup>
            <m:r>
              <m:rPr>
                <m:sty m:val="p"/>
              </m:rPr>
              <m:t>−</m:t>
            </m:r>
            <m:r>
              <m:t>163</m:t>
            </m:r>
          </m:sup>
        </m:sSup>
      </m:oMath>
      <w:r>
        <w:rPr>
          <w:bCs/>
          <w:b/>
        </w:rPr>
        <w:t xml:space="preserve">) at the preceding trial.</w:t>
      </w:r>
    </w:p>
    <w:p>
      <w:pPr>
        <w:numPr>
          <w:ilvl w:val="0"/>
          <w:numId w:val="1008"/>
        </w:numPr>
      </w:pPr>
      <w:r>
        <w:rPr>
          <w:bCs/>
          <w:b/>
        </w:rPr>
        <w:t xml:space="preserve">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bCs/>
          <w:b/>
        </w:rPr>
        <w:t xml:space="preserve">28,30,44</w:t>
      </w:r>
      <w:r>
        <w:rPr>
          <w:bCs/>
          <w:b/>
        </w:rPr>
        <w:t xml:space="preserve"> </w:t>
      </w:r>
      <w:r>
        <w:rPr>
          <w:bCs/>
          <w:b/>
        </w:rPr>
        <w:t xml:space="preserve">(i.e., the absolute of the log posterior ratio</w:t>
      </w:r>
      <w:r>
        <w:rPr>
          <w:bCs/>
          <w:b/>
        </w:rPr>
        <w:t xml:space="preserve"> </w:t>
      </w:r>
      <m:oMath>
        <m:d>
          <m:dPr>
            <m:begChr m:val="|"/>
            <m:endChr m:val="|"/>
            <m:sepChr m:val=""/>
            <m:grow/>
          </m:dPr>
          <m:e>
            <m:sSub>
              <m:e>
                <m:r>
                  <m:t>L</m:t>
                </m:r>
              </m:e>
              <m:sub>
                <m:r>
                  <m:t>t</m:t>
                </m:r>
              </m:sub>
            </m:sSub>
          </m:e>
        </m:d>
      </m:oMath>
      <w:r>
        <w:rPr>
          <w:bCs/>
          <w:b/>
        </w:rP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 S10-13).</w:t>
      </w:r>
    </w:p>
    <w:p>
      <w:pPr>
        <w:numPr>
          <w:ilvl w:val="0"/>
          <w:numId w:val="1008"/>
        </w:numPr>
      </w:pPr>
      <w:r>
        <w:rPr>
          <w:bCs/>
          <w:b/>
        </w:rPr>
        <w:t xml:space="preserve">In sum, computational modeling suggested that between-mode fluctuations are best explained by two interlinked processes (Figure 1E): (i), the dynamic accumulation of information across successive trials mandated by normative Bayesians model of evidence accumulation and, (ii), ongoing anti-phase oscillations in the impact of external and internal information.</w:t>
      </w:r>
    </w:p>
    <w:p>
      <w:pPr>
        <w:pStyle w:val="FirstParagraph"/>
      </w:pPr>
      <w:r>
        <w:drawing>
          <wp:inline>
            <wp:extent cx="4620126" cy="3696101"/>
            <wp:effectExtent b="0" l="0" r="0" t="0"/>
            <wp:docPr descr="" title="" id="150" name="Picture"/>
            <a:graphic>
              <a:graphicData uri="http://schemas.openxmlformats.org/drawingml/2006/picture">
                <pic:pic>
                  <pic:nvPicPr>
                    <pic:cNvPr descr="modes_mouse_rev1b_files/figure-docx/Supplemental_Figure_S9_print-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rPr>
          <w:bCs/>
          <w:b/>
        </w:rPr>
        <w:t xml:space="preserve">Supplemental Figure S9. Comparison of the bimodal inference model against reduced control models.</w:t>
      </w:r>
    </w:p>
    <w:p>
      <w:pPr>
        <w:numPr>
          <w:ilvl w:val="0"/>
          <w:numId w:val="1009"/>
        </w:numPr>
      </w:pPr>
      <w:r>
        <w:rPr>
          <w:bCs/>
          <w:b/>
        </w:rPr>
        <w:t xml:space="preserve">A. Group-level AIC. The bimodal inference model (M1) achieved the lowest AIC across the full model space (</w:t>
      </w:r>
      <m:oMath>
        <m:r>
          <m:t>A</m:t>
        </m:r>
        <m:r>
          <m:t>I</m:t>
        </m:r>
        <m:sSub>
          <m:e>
            <m:r>
              <m:t>C</m:t>
            </m:r>
          </m:e>
          <m:sub>
            <m:r>
              <m:t>1</m:t>
            </m:r>
          </m:sub>
        </m:sSub>
      </m:oMath>
      <w:r>
        <w:rPr>
          <w:bCs/>
          <w:b/>
        </w:rPr>
        <w:t xml:space="preserve"> </w:t>
      </w:r>
      <w:r>
        <w:rPr>
          <w:bCs/>
          <w:b/>
        </w:rPr>
        <w:t xml:space="preserve">= 4.73</w:t>
      </w:r>
      <w:r>
        <w:rPr>
          <w:bCs/>
          <w:b/>
        </w:rPr>
        <w:t xml:space="preserve">^{4} in humans and 4.28</w:t>
      </w:r>
      <w:r>
        <w:rPr>
          <w:bCs/>
          <w:b/>
        </w:rPr>
        <w:t xml:space="preserve">^{4} in mice). 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w:t>
      </w:r>
    </w:p>
    <w:p>
      <w:pPr>
        <w:numPr>
          <w:ilvl w:val="0"/>
          <w:numId w:val="1009"/>
        </w:numPr>
      </w:pPr>
      <w:r>
        <w:rPr>
          <w:bCs/>
          <w:b/>
        </w:rPr>
        <w:t xml:space="preserve">B. Subject-level AIC. Here, we show the distribution of AIC values at the subject-level. AIC for the bimodal inference model tended to be smaller than AIC for the comparator models (statistical comparison to the second-best model M2 in humans:</w:t>
      </w:r>
      <w:r>
        <w:rPr>
          <w:bCs/>
          <w:b/>
        </w:rPr>
        <w:t xml:space="preserve"> </w:t>
      </w:r>
      <m:oMath>
        <m:r>
          <m:t>β</m:t>
        </m:r>
      </m:oMath>
      <w:r>
        <w:rPr>
          <w:bCs/>
          <w:b/>
        </w:rPr>
        <w:t xml:space="preserve"> </w:t>
      </w:r>
      <w:r>
        <w:rPr>
          <w:bCs/>
          <w:b/>
        </w:rPr>
        <w:t xml:space="preserve">=</w:t>
      </w:r>
      <w:r>
        <w:rPr>
          <w:bCs/>
          <w:b/>
        </w:rPr>
        <w:t xml:space="preserve"> </w:t>
      </w:r>
      <m:oMath>
        <m:r>
          <m:rPr>
            <m:sty m:val="p"/>
          </m:rPr>
          <m:t>−</m:t>
        </m:r>
        <m:r>
          <m:t>1.81</m:t>
        </m:r>
      </m:oMath>
      <w:r>
        <w:rPr>
          <w:bCs/>
          <w:b/>
        </w:rPr>
        <w:t xml:space="preserve"> </w:t>
      </w:r>
      <w:r>
        <w:rPr>
          <w:bCs/>
          <w:b/>
        </w:rPr>
        <w:t xml:space="preserve">±</w:t>
      </w:r>
      <w:r>
        <w:rPr>
          <w:bCs/>
          <w:b/>
        </w:rPr>
        <w:t xml:space="preserve"> </w:t>
      </w:r>
      <m:oMath>
        <m:r>
          <m:t>0.27</m:t>
        </m:r>
      </m:oMath>
      <w:r>
        <w:rPr>
          <w:bCs/>
          <w:b/>
        </w:rPr>
        <w:t xml:space="preserve">, T(</w:t>
      </w:r>
      <m:oMath>
        <m:r>
          <m:t>5.07</m:t>
        </m:r>
        <m:r>
          <m:rPr>
            <m:sty m:val="p"/>
          </m:rPr>
          <m:t>×</m:t>
        </m:r>
        <m:sSup>
          <m:e>
            <m:r>
              <m:t>10</m:t>
            </m:r>
          </m:e>
          <m:sup>
            <m:r>
              <m:t>3</m:t>
            </m:r>
          </m:sup>
        </m:sSup>
      </m:oMath>
      <w:r>
        <w:rPr>
          <w:bCs/>
          <w:b/>
        </w:rPr>
        <w:t xml:space="preserve">) =</w:t>
      </w:r>
      <w:r>
        <w:rPr>
          <w:bCs/>
          <w:b/>
        </w:rPr>
        <w:t xml:space="preserve"> </w:t>
      </w:r>
      <m:oMath>
        <m:r>
          <m:rPr>
            <m:sty m:val="p"/>
          </m:rPr>
          <m:t>−</m:t>
        </m:r>
        <m:r>
          <m:t>6.82</m:t>
        </m:r>
      </m:oMath>
      <w:r>
        <w:rPr>
          <w:bCs/>
          <w:b/>
        </w:rPr>
        <w:t xml:space="preserve">, p =</w:t>
      </w:r>
      <w:r>
        <w:rPr>
          <w:bCs/>
          <w:b/>
        </w:rPr>
        <w:t xml:space="preserve"> </w:t>
      </w:r>
      <m:oMath>
        <m:r>
          <m:t>1.02</m:t>
        </m:r>
        <m:r>
          <m:rPr>
            <m:sty m:val="p"/>
          </m:rPr>
          <m:t>×</m:t>
        </m:r>
        <m:sSup>
          <m:e>
            <m:r>
              <m:t>10</m:t>
            </m:r>
          </m:e>
          <m:sup>
            <m:r>
              <m:rPr>
                <m:sty m:val="p"/>
              </m:rPr>
              <m:t>−</m:t>
            </m:r>
            <m:r>
              <m:t>11</m:t>
            </m:r>
          </m:sup>
        </m:sSup>
      </m:oMath>
      <w:r>
        <w:rPr>
          <w:bCs/>
          <w:b/>
        </w:rPr>
        <w:t xml:space="preserve">; mice: T(1.5</w:t>
      </w:r>
      <w:r>
        <w:rPr>
          <w:bCs/>
          <w:b/>
        </w:rPr>
        <w:t xml:space="preserve">^{3}) = -6.28, p =</w:t>
      </w:r>
      <w:r>
        <w:rPr>
          <w:bCs/>
          <w:b/>
        </w:rPr>
        <w:t xml:space="preserve"> </w:t>
      </w:r>
      <m:oMath>
        <m:r>
          <m:t>4.38</m:t>
        </m:r>
        <m:r>
          <m:rPr>
            <m:sty m:val="p"/>
          </m:rPr>
          <m:t>×</m:t>
        </m:r>
        <m:sSup>
          <m:e>
            <m:r>
              <m:t>10</m:t>
            </m:r>
          </m:e>
          <m:sup>
            <m:r>
              <m:rPr>
                <m:sty m:val="p"/>
              </m:rPr>
              <m:t>−</m:t>
            </m:r>
            <m:r>
              <m:t>10</m:t>
            </m:r>
          </m:sup>
        </m:sSup>
      </m:oMath>
      <w:r>
        <w:rPr>
          <w:bCs/>
          <w:b/>
        </w:rPr>
        <w:t xml:space="preserve">).</w:t>
      </w:r>
    </w:p>
    <w:p>
      <w:pPr>
        <w:pStyle w:val="FirstParagraph"/>
      </w:pPr>
      <w:r>
        <w:t xml:space="preserve">In the light of our response to Comments 1 - 9 above,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w:t>
      </w:r>
      <w:r>
        <w:t xml:space="preserve"> </w:t>
      </w:r>
      <m:oMath>
        <m:r>
          <m:t>H</m:t>
        </m:r>
      </m:oMath>
      <w:r>
        <w:t xml:space="preserve"> </w:t>
      </w:r>
      <w:r>
        <w:t xml:space="preserve">and</w:t>
      </w:r>
      <w:r>
        <w:t xml:space="preserve"> </w:t>
      </w:r>
      <m:oMath>
        <m:r>
          <m:t>M</m:t>
        </m:r>
      </m:oMath>
      <w:r>
        <w:t xml:space="preserve">, testing for an influence of beliefs about</w:t>
      </w:r>
      <w:r>
        <w:t xml:space="preserve"> </w:t>
      </w:r>
      <m:oMath>
        <m:r>
          <m:t>M</m:t>
        </m:r>
      </m:oMath>
      <w:r>
        <w:t xml:space="preserve"> </w:t>
      </w:r>
      <w:r>
        <w:t xml:space="preserve">on learning about</w:t>
      </w:r>
      <w:r>
        <w:t xml:space="preserve"> </w:t>
      </w:r>
      <m:oMath>
        <m:r>
          <m:t>H</m:t>
        </m:r>
      </m:oMath>
      <w:r>
        <w:t xml:space="preserve"> </w:t>
      </w:r>
      <w:r>
        <w:t xml:space="preserve">etc.) would make the manuscript even longer. We are therefore happy to follow Prof. Fristons suggestions to omit section 5.8. We have changed the manuscript in the following ways:</w:t>
      </w:r>
    </w:p>
    <w:p>
      <w:pPr>
        <w:pStyle w:val="BodyText"/>
      </w:pPr>
      <w:r>
        <w:t xml:space="preserve">When introducing</w:t>
      </w:r>
      <w:r>
        <w:t xml:space="preserve"> </w:t>
      </w:r>
      <m:oMath>
        <m:sSub>
          <m:e>
            <m:r>
              <m:t>ω</m:t>
            </m:r>
          </m:e>
          <m:sub>
            <m:r>
              <m:t>L</m:t>
            </m:r>
            <m:r>
              <m:t>L</m:t>
            </m:r>
            <m:r>
              <m:t>R</m:t>
            </m:r>
          </m:sub>
        </m:sSub>
      </m:oMath>
      <w:r>
        <w:t xml:space="preserve">, we identify it as the precision afforded to the likelihood, referring to the Bayesian framework, and refer to fluctuations in mode as a hyperprior.</w:t>
      </w:r>
    </w:p>
    <w:p>
      <w:pPr>
        <w:numPr>
          <w:ilvl w:val="0"/>
          <w:numId w:val="1010"/>
        </w:numPr>
        <w:pStyle w:val="Compact"/>
      </w:pPr>
      <w:r>
        <w:rPr>
          <w:bCs/>
          <w:b/>
        </w:rPr>
        <w:t xml:space="preserve">To allow for</w:t>
      </w:r>
      <w:r>
        <w:rPr>
          <w:bCs/>
          <w:b/>
        </w:rPr>
        <w:t xml:space="preserve"> </w:t>
      </w:r>
      <w:r>
        <w:rPr>
          <w:iCs/>
          <w:i/>
          <w:bCs/>
          <w:b/>
        </w:rPr>
        <w:t xml:space="preserve">bimodal inference</w:t>
      </w:r>
      <w:r>
        <w:rPr>
          <w:bCs/>
          <w:b/>
        </w:rP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p>
    <w:p>
      <w:pPr>
        <w:pStyle w:val="FirstParagraph"/>
      </w:pPr>
      <w:r>
        <w:t xml:space="preserve">We have deleted the section 5.8 and added a summary of our modeling approach to the discussion, closely following the text recommended by Prof. Friston:</w:t>
      </w:r>
    </w:p>
    <w:p>
      <w:pPr>
        <w:numPr>
          <w:ilvl w:val="0"/>
          <w:numId w:val="1011"/>
        </w:numPr>
      </w:pPr>
      <w:r>
        <w:t xml:space="preserve">(…)</w:t>
      </w:r>
      <w:r>
        <w:t xml:space="preserve"> </w:t>
      </w:r>
      <w:r>
        <w:rPr>
          <w:bCs/>
          <w:b/>
        </w:rPr>
        <w:t xml:space="preserve">Yet relying too strongly on serial dependencies may come at a cost: When accumulating over time, internal predictions may eventually override external information, leading to circular and false inferences about the state of the environment</w:t>
      </w:r>
      <w:r>
        <w:rPr>
          <w:vertAlign w:val="superscript"/>
          <w:bCs/>
          <w:b/>
        </w:rPr>
        <w:t xml:space="preserve">57</w:t>
      </w:r>
      <w:r>
        <w:rPr>
          <w:bCs/>
          <w:b/>
        </w:rPr>
        <w:t xml:space="preserve">. Akin to the wake-sleep-algorithm in machine learning</w:t>
      </w:r>
      <w:r>
        <w:rPr>
          <w:vertAlign w:val="superscript"/>
          <w:bCs/>
          <w:b/>
        </w:rPr>
        <w:t xml:space="preserve">58</w:t>
      </w:r>
      <w:r>
        <w:rPr>
          <w:bCs/>
          <w:b/>
        </w:rP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bCs/>
          <w:b/>
        </w:rPr>
        <w:t xml:space="preserve">18</w:t>
      </w:r>
      <w:r>
        <w:rPr>
          <w:bCs/>
          <w:b/>
        </w:rPr>
        <w:t xml:space="preserve">. Between-mode fluctuations may thus generate an unambiguous error signal that aligns internal predictions with the current state of the environment in iterative test-update-cycles</w:t>
      </w:r>
      <w:r>
        <w:rPr>
          <w:vertAlign w:val="superscript"/>
          <w:bCs/>
          <w:b/>
        </w:rPr>
        <w:t xml:space="preserve">58</w:t>
      </w:r>
      <w:r>
        <w:rPr>
          <w:bCs/>
          <w:b/>
        </w:rPr>
        <w:t xml:space="preserve">. On a broader scale, between-mode fluctuations may thus regulate the balance between feedforward versus feedback contributions to perception and thereby play a adaptive role in metacognition and reality monitoring</w:t>
      </w:r>
      <w:r>
        <w:rPr>
          <w:vertAlign w:val="superscript"/>
          <w:bCs/>
          <w:b/>
        </w:rPr>
        <w:t xml:space="preserve">59</w:t>
      </w:r>
      <w:r>
        <w:rPr>
          <w:bCs/>
          <w:b/>
        </w:rPr>
        <w:t xml:space="preserve">.</w:t>
      </w:r>
    </w:p>
    <w:p>
      <w:pPr>
        <w:numPr>
          <w:ilvl w:val="0"/>
          <w:numId w:val="1011"/>
        </w:numPr>
      </w:pPr>
      <w:r>
        <w:rPr>
          <w:bCs/>
          <w:b/>
        </w:rPr>
        <w:t xml:space="preserve">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numPr>
          <w:ilvl w:val="0"/>
          <w:numId w:val="1011"/>
        </w:numPr>
      </w:pPr>
      <w:r>
        <w:rPr>
          <w:bCs/>
          <w:b/>
        </w:rP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bCs/>
          <w:b/>
        </w:rPr>
        <w:t xml:space="preserve">51</w:t>
      </w:r>
      <w:r>
        <w:rPr>
          <w:bCs/>
          <w:b/>
        </w:rPr>
        <w:t xml:space="preserve"> </w:t>
      </w:r>
      <w:r>
        <w:rPr>
          <w:bCs/>
          <w:b/>
        </w:rPr>
        <w:t xml:space="preserve">allowed us to quantify the dominant timescale of periodic fluctuations mode at approximately 0.11 1/</w:t>
      </w:r>
      <m:oMath>
        <m:sSub>
          <m:e>
            <m:r>
              <m:t>N</m:t>
            </m:r>
          </m:e>
          <m:sub>
            <m:r>
              <m:t>t</m:t>
            </m:r>
            <m:r>
              <m:t>r</m:t>
            </m:r>
            <m:r>
              <m:t>i</m:t>
            </m:r>
            <m:r>
              <m:t>a</m:t>
            </m:r>
            <m:r>
              <m:t>l</m:t>
            </m:r>
            <m:r>
              <m:t>s</m:t>
            </m:r>
          </m:sub>
        </m:sSub>
      </m:oMath>
      <w:r>
        <w:rPr>
          <w:bCs/>
          <w:b/>
        </w:rPr>
        <w:t xml:space="preserve"> </w:t>
      </w:r>
      <w:r>
        <w:rPr>
          <w:bCs/>
          <w:b/>
        </w:rPr>
        <w:t xml:space="preserve">in humans and mice that is appropriate for these kinds of paradigms.</w:t>
      </w:r>
    </w:p>
    <w:p>
      <w:pPr>
        <w:pStyle w:val="FirstParagraph"/>
      </w:pPr>
      <w:r>
        <w:t xml:space="preserve">Following our deletion of the section 5.8, we have adapted the last sentence of the abstract and the last paragraph of the introduction:</w:t>
      </w:r>
    </w:p>
    <w:p>
      <w:pPr>
        <w:numPr>
          <w:ilvl w:val="0"/>
          <w:numId w:val="1012"/>
        </w:numPr>
      </w:pPr>
      <w:r>
        <w:rPr>
          <w:bCs/>
          <w:b/>
        </w:rPr>
        <w:t xml:space="preserve">(…) We propose that between-mode fluctuations generate unambiguous error signals that enable optimal inference in volatile environments.</w:t>
      </w:r>
    </w:p>
    <w:p>
      <w:pPr>
        <w:numPr>
          <w:ilvl w:val="0"/>
          <w:numId w:val="1012"/>
        </w:numPr>
      </w:pPr>
      <w:r>
        <w:rPr>
          <w:bCs/>
          <w:b/>
        </w:rPr>
        <w:t xml:space="preserve">When less sensitive to external stimulus information, humans and mice did not behave more randomly, but showed stronger serial dependencies in their perceptual choices</w:t>
      </w:r>
      <w:r>
        <w:rPr>
          <w:vertAlign w:val="superscript"/>
          <w:bCs/>
          <w:b/>
        </w:rPr>
        <w:t xml:space="preserve">22–33</w:t>
      </w:r>
      <w:r>
        <w:rPr>
          <w:bCs/>
          <w:b/>
        </w:rPr>
        <w:t xml:space="preserve">.</w:t>
      </w:r>
      <w:r>
        <w:t xml:space="preserve"> </w:t>
      </w:r>
      <w:r>
        <w:t xml:space="preserve">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 modes of sensory analysis.</w:t>
      </w:r>
      <w:r>
        <w:t xml:space="preserve"> </w:t>
      </w:r>
      <w:r>
        <w:rPr>
          <w:bCs/>
          <w:b/>
        </w:rPr>
        <w:t xml:space="preserve">We suggest that such</w:t>
      </w:r>
      <w:r>
        <w:rPr>
          <w:bCs/>
          <w:b/>
        </w:rPr>
        <w:t xml:space="preserve"> </w:t>
      </w:r>
      <w:r>
        <w:rPr>
          <w:iCs/>
          <w:i/>
          <w:bCs/>
          <w:b/>
        </w:rPr>
        <w:t xml:space="preserve">bimodal inference</w:t>
      </w:r>
      <w:r>
        <w:rPr>
          <w:bCs/>
          <w:b/>
        </w:rPr>
        <w:t xml:space="preserve"> </w:t>
      </w:r>
      <w:r>
        <w:rPr>
          <w:bCs/>
          <w:b/>
        </w:rPr>
        <w:t xml:space="preserve">may help to build stable internal representations of the sensory environment despite an ongoing stream of sensory information.</w:t>
      </w:r>
      <w:r>
        <w:t xml:space="preserve">.</w:t>
      </w:r>
    </w:p>
    <w:bookmarkEnd w:id="152"/>
    <w:bookmarkStart w:id="153" w:name="comment-11"/>
    <w:p>
      <w:pPr>
        <w:pStyle w:val="Heading3"/>
      </w:pPr>
      <w:r>
        <w:t xml:space="preserve">Comment 11</w:t>
      </w:r>
    </w:p>
    <w:p>
      <w:pPr>
        <w:pStyle w:val="FirstParagraph"/>
      </w:pPr>
      <w:r>
        <w:rPr>
          <w:bCs/>
          <w:b/>
        </w:rPr>
        <w:t xml:space="preserve">This begs the question as to whether you want to pursue the 1/f story. You refer to this as</w:t>
      </w:r>
      <w:r>
        <w:rPr>
          <w:bCs/>
          <w:b/>
        </w:rPr>
        <w:t xml:space="preserve"> </w:t>
      </w:r>
      <w:r>
        <w:rPr>
          <w:bCs/>
          <w:b/>
        </w:rPr>
        <w:t xml:space="preserve">“</w:t>
      </w:r>
      <w:r>
        <w:rPr>
          <w:bCs/>
          <w:b/>
        </w:rPr>
        <w:t xml:space="preserve">noise</w:t>
      </w:r>
      <w:r>
        <w:rPr>
          <w:bCs/>
          <w:b/>
        </w:rPr>
        <w:t xml:space="preserve">”</w:t>
      </w:r>
      <w:r>
        <w:rPr>
          <w:bCs/>
          <w:b/>
        </w:rPr>
        <w:t xml:space="preserv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your estimated temporal scale implicit in f. This means you don’t have to hand wave about self-organized criticality in the discussion and focus upon your hypothesis.</w:t>
      </w:r>
    </w:p>
    <w:p>
      <w:pPr>
        <w:pStyle w:val="BodyText"/>
      </w:pPr>
      <w:r>
        <w:t xml:space="preserve">We would like to thank the reviewer for this suggestion. We agree that the discussion of self-organized criticality is far from the data. We have omitted this section from the discussion. With respect to</w:t>
      </w:r>
      <w:r>
        <w:t xml:space="preserve"> </w:t>
      </w:r>
      <m:oMath>
        <m:r>
          <m:t>f</m:t>
        </m:r>
      </m:oMath>
      <w:r>
        <w:t xml:space="preserve">, we have adapted the manuscript to make clear that it captures the dominant timescale of fluctuations in mode:</w:t>
      </w:r>
    </w:p>
    <w:p>
      <w:pPr>
        <w:numPr>
          <w:ilvl w:val="0"/>
          <w:numId w:val="1013"/>
        </w:numPr>
      </w:pPr>
      <w:r>
        <w:rPr>
          <w:bCs/>
          <w:b/>
        </w:rPr>
        <w:t xml:space="preserve">(…) This implements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rPr>
          <w:bCs/>
          <w:b/>
        </w:rPr>
        <w:t xml:space="preserve">: (…)</w:t>
      </w:r>
    </w:p>
    <w:p>
      <w:pPr>
        <w:numPr>
          <w:ilvl w:val="0"/>
          <w:numId w:val="1013"/>
        </w:numPr>
      </w:pPr>
      <w:r>
        <w:rPr>
          <w:bCs/>
          <w:b/>
        </w:rPr>
        <w:t xml:space="preserve">(…) The parameter</w:t>
      </w:r>
      <w:r>
        <w:rPr>
          <w:bCs/>
          <w:b/>
        </w:rPr>
        <w:t xml:space="preserve"> </w:t>
      </w:r>
      <m:oMath>
        <m:r>
          <m:t>f</m:t>
        </m:r>
      </m:oMath>
      <w:r>
        <w:rPr>
          <w:bCs/>
          <w:b/>
        </w:rPr>
        <w:t xml:space="preserve"> </w:t>
      </w:r>
      <w:r>
        <w:rPr>
          <w:bCs/>
          <w:b/>
        </w:rPr>
        <w:t xml:space="preserve">captured the dominant time scale at which likelihood and prior precision were shifted against each other and was estimated at 0.11 1/</w:t>
      </w:r>
      <m:oMath>
        <m:sSub>
          <m:e>
            <m:r>
              <m:t>N</m:t>
            </m:r>
          </m:e>
          <m:sub>
            <m:r>
              <m:t>t</m:t>
            </m:r>
            <m:r>
              <m:t>r</m:t>
            </m:r>
            <m:r>
              <m:t>i</m:t>
            </m:r>
            <m:r>
              <m:t>a</m:t>
            </m:r>
            <m:r>
              <m:t>l</m:t>
            </m:r>
            <m:r>
              <m:t>s</m:t>
            </m:r>
          </m:sub>
        </m:sSub>
      </m:oMath>
      <w:r>
        <w:rPr>
          <w:bCs/>
          <w:b/>
        </w:rPr>
        <w:t xml:space="preserve"> </w:t>
      </w:r>
      <w:r>
        <w:rPr>
          <w:bCs/>
          <w:b/>
        </w:rPr>
        <w:t xml:space="preserve">in both humans and mice.</w:t>
      </w:r>
    </w:p>
    <w:p>
      <w:pPr>
        <w:numPr>
          <w:ilvl w:val="0"/>
          <w:numId w:val="1013"/>
        </w:numPr>
      </w:pPr>
      <w:r>
        <w:rPr>
          <w:bCs/>
          <w:b/>
        </w:rPr>
        <w:t xml:space="preserve">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Pr>
          <w:vertAlign w:val="superscript"/>
          <w:bCs/>
          <w:b/>
        </w:rPr>
        <w:t xml:space="preserve">51</w:t>
      </w:r>
      <w:r>
        <w:rPr>
          <w:bCs/>
          <w:b/>
        </w:rPr>
        <w:t xml:space="preserve"> </w:t>
      </w:r>
      <w:r>
        <w:rPr>
          <w:bCs/>
          <w:b/>
        </w:rPr>
        <w:t xml:space="preserve">allowed us to quantify the dominant timescale of periodic fluctuations mode at approximately 0.11 1/</w:t>
      </w:r>
      <m:oMath>
        <m:sSub>
          <m:e>
            <m:r>
              <m:t>N</m:t>
            </m:r>
          </m:e>
          <m:sub>
            <m:r>
              <m:t>t</m:t>
            </m:r>
            <m:r>
              <m:t>r</m:t>
            </m:r>
            <m:r>
              <m:t>i</m:t>
            </m:r>
            <m:r>
              <m:t>a</m:t>
            </m:r>
            <m:r>
              <m:t>l</m:t>
            </m:r>
            <m:r>
              <m:t>s</m:t>
            </m:r>
          </m:sub>
        </m:sSub>
      </m:oMath>
      <w:r>
        <w:rPr>
          <w:bCs/>
          <w:b/>
        </w:rPr>
        <w:t xml:space="preserve"> </w:t>
      </w:r>
      <w:r>
        <w:rPr>
          <w:bCs/>
          <w:b/>
        </w:rPr>
        <w:t xml:space="preserve">in humans and mice that is appropriate for these kinds of paradigms.</w:t>
      </w:r>
    </w:p>
    <w:bookmarkEnd w:id="153"/>
    <w:bookmarkStart w:id="154" w:name="comment-12"/>
    <w:p>
      <w:pPr>
        <w:pStyle w:val="Heading3"/>
      </w:pPr>
      <w:r>
        <w:t xml:space="preserve">Comment 12</w:t>
      </w:r>
    </w:p>
    <w:p>
      <w:pPr>
        <w:pStyle w:val="FirstParagraph"/>
      </w:pPr>
      <w:r>
        <w:rPr>
          <w:bCs/>
          <w:b/>
        </w:rPr>
        <w:t xml:space="preserve">A final move—to make the paper more focused and digestible—would be to put a lot of your defensive analyses (e.g. about general arousal et cetera) in supplementary material. You have to be careful not to exhaust the reader by putting up a lot of auxiliary material before the important messages in your report.</w:t>
      </w:r>
    </w:p>
    <w:p>
      <w:pPr>
        <w:pStyle w:val="BodyText"/>
      </w:pPr>
      <w:r>
        <w:t xml:space="preserve">We have followed this suggestion and move the following sections to the supplement: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legends.</w:t>
      </w:r>
    </w:p>
    <w:p>
      <w:pPr>
        <w:pStyle w:val="BodyText"/>
      </w:pPr>
      <w:r>
        <w:rPr>
          <w:bCs/>
          <w:b/>
        </w:rPr>
        <w:t xml:space="preserve">Minor points</w:t>
      </w:r>
    </w:p>
    <w:bookmarkEnd w:id="154"/>
    <w:bookmarkStart w:id="155" w:name="comment-13"/>
    <w:p>
      <w:pPr>
        <w:pStyle w:val="Heading3"/>
      </w:pPr>
      <w:r>
        <w:t xml:space="preserve">Comment 13</w:t>
      </w:r>
    </w:p>
    <w:p>
      <w:pPr>
        <w:pStyle w:val="FirstParagraph"/>
      </w:pPr>
      <w:r>
        <w:rPr>
          <w:bCs/>
          <w:b/>
        </w:rPr>
        <w:t xml:space="preserve">I cannot resist suggesting that you change your title to</w:t>
      </w:r>
      <w:r>
        <w:rPr>
          <w:bCs/>
          <w:b/>
        </w:rPr>
        <w:t xml:space="preserve"> </w:t>
      </w:r>
      <w:r>
        <w:rPr>
          <w:bCs/>
          <w:b/>
        </w:rPr>
        <w:t xml:space="preserve">“</w:t>
      </w:r>
      <w:r>
        <w:rPr>
          <w:bCs/>
          <w:b/>
        </w:rPr>
        <w:t xml:space="preserve">Bimodal Inference in Mice and Men</w:t>
      </w:r>
      <w:r>
        <w:rPr>
          <w:bCs/>
          <w:b/>
        </w:rPr>
        <w:t xml:space="preserve">”</w:t>
      </w:r>
    </w:p>
    <w:p>
      <w:pPr>
        <w:pStyle w:val="BodyText"/>
      </w:pPr>
      <w:r>
        <w:t xml:space="preserve">We thank you for this suggestion and have changed the title accordingly.</w:t>
      </w:r>
    </w:p>
    <w:bookmarkEnd w:id="155"/>
    <w:bookmarkStart w:id="156" w:name="comment-14"/>
    <w:p>
      <w:pPr>
        <w:pStyle w:val="Heading3"/>
      </w:pPr>
      <w:r>
        <w:t xml:space="preserve">Comment 14</w:t>
      </w:r>
    </w:p>
    <w:p>
      <w:pPr>
        <w:pStyle w:val="FirstParagraph"/>
      </w:pPr>
      <w:r>
        <w:rPr>
          <w:bCs/>
          <w:b/>
        </w:rPr>
        <w:t xml:space="preserve">Please replace</w:t>
      </w:r>
      <w:r>
        <w:rPr>
          <w:bCs/>
          <w:b/>
        </w:rPr>
        <w:t xml:space="preserve"> </w:t>
      </w:r>
      <w:r>
        <w:rPr>
          <w:bCs/>
          <w:b/>
        </w:rPr>
        <w:t xml:space="preserve">“</w:t>
      </w:r>
      <w:r>
        <w:rPr>
          <w:bCs/>
          <w:b/>
        </w:rPr>
        <w:t xml:space="preserve">infra-slow fluctuations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slow fluctuations</w:t>
      </w:r>
      <w:r>
        <w:rPr>
          <w:bCs/>
          <w:b/>
        </w:rPr>
        <w:t xml:space="preserve">”</w:t>
      </w:r>
      <w:r>
        <w:rPr>
          <w:bCs/>
          <w:b/>
        </w:rPr>
        <w:t xml:space="preserve">. Slow has some colloquial meaning in fMRI studies but not in any scale free context.</w:t>
      </w:r>
    </w:p>
    <w:p>
      <w:pPr>
        <w:pStyle w:val="BodyText"/>
      </w:pPr>
      <w:r>
        <w:t xml:space="preserve">Done.</w:t>
      </w:r>
    </w:p>
    <w:bookmarkEnd w:id="156"/>
    <w:bookmarkStart w:id="157" w:name="comment-15"/>
    <w:p>
      <w:pPr>
        <w:pStyle w:val="Heading3"/>
      </w:pPr>
      <w:r>
        <w:t xml:space="preserve">Comment 15</w:t>
      </w:r>
    </w:p>
    <w:p>
      <w:pPr>
        <w:pStyle w:val="FirstParagraph"/>
      </w:pPr>
      <w:r>
        <w:rPr>
          <w:bCs/>
          <w:b/>
        </w:rPr>
        <w:t xml:space="preserve">Please replace</w:t>
      </w:r>
      <w:r>
        <w:rPr>
          <w:bCs/>
          <w:b/>
        </w:rPr>
        <w:t xml:space="preserve"> </w:t>
      </w:r>
      <w:r>
        <w:rPr>
          <w:bCs/>
          <w:b/>
        </w:rPr>
        <w:t xml:space="preserve">“</w:t>
      </w:r>
      <w:r>
        <w:rPr>
          <w:bCs/>
          <w:b/>
        </w:rPr>
        <w:t xml:space="preserve">simulated data</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simulations</w:t>
      </w:r>
      <w:r>
        <w:rPr>
          <w:bCs/>
          <w:b/>
        </w:rPr>
        <w:t xml:space="preserve">”</w:t>
      </w:r>
      <w:r>
        <w:rPr>
          <w:bCs/>
          <w:b/>
        </w:rPr>
        <w:t xml:space="preserve"> </w:t>
      </w:r>
      <w:r>
        <w:rPr>
          <w:bCs/>
          <w:b/>
        </w:rPr>
        <w:t xml:space="preserve">in the abstract. Finally, please replace</w:t>
      </w:r>
      <w:r>
        <w:rPr>
          <w:bCs/>
          <w:b/>
        </w:rPr>
        <w:t xml:space="preserve"> </w:t>
      </w:r>
      <w:r>
        <w:rPr>
          <w:bCs/>
          <w:b/>
        </w:rPr>
        <w:t xml:space="preserve">“</w:t>
      </w:r>
      <w:r>
        <w:rPr>
          <w:bCs/>
          <w:b/>
        </w:rPr>
        <w:t xml:space="preserve">robust learning and metacognition in volatile environments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enable optimal inference and learning in volatile environments.</w:t>
      </w:r>
      <w:r>
        <w:rPr>
          <w:bCs/>
          <w:b/>
        </w:rPr>
        <w:t xml:space="preserve">”</w:t>
      </w:r>
    </w:p>
    <w:p>
      <w:pPr>
        <w:pStyle w:val="BodyText"/>
      </w:pPr>
      <w:r>
        <w:t xml:space="preserve">Done. Since we have followed the suggestion to delete section 5.8, we have rephrased the last paragraph of the abstract into</w:t>
      </w:r>
      <w:r>
        <w:t xml:space="preserve"> </w:t>
      </w:r>
      <w:r>
        <w:rPr>
          <w:bCs/>
          <w:b/>
        </w:rPr>
        <w:t xml:space="preserve">(…) We propose that between-mode fluctuations generate unambiguous error signals that enable optimal inference in volatile environments.</w:t>
      </w:r>
    </w:p>
    <w:bookmarkEnd w:id="157"/>
    <w:bookmarkStart w:id="158" w:name="comment-16"/>
    <w:p>
      <w:pPr>
        <w:pStyle w:val="Heading3"/>
      </w:pPr>
      <w:r>
        <w:t xml:space="preserve">Comment 16</w:t>
      </w:r>
    </w:p>
    <w:p>
      <w:pPr>
        <w:pStyle w:val="FirstParagraph"/>
      </w:pPr>
      <w:r>
        <w:rPr>
          <w:bCs/>
          <w:b/>
        </w:rPr>
        <w:t xml:space="preserve">Line 50, please replace</w:t>
      </w:r>
      <w:r>
        <w:rPr>
          <w:bCs/>
          <w:b/>
        </w:rPr>
        <w:t xml:space="preserve"> </w:t>
      </w:r>
      <w:r>
        <w:rPr>
          <w:bCs/>
          <w:b/>
        </w:rPr>
        <w:t xml:space="preserve">“</w:t>
      </w:r>
      <w:r>
        <w:rPr>
          <w:bCs/>
          <w:b/>
        </w:rPr>
        <w:t xml:space="preserve">about the degree of noise inherent in encoding of sensory information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the precision of sensory information relative to prior (Bayesian) beliefs.</w:t>
      </w:r>
      <w:r>
        <w:rPr>
          <w:bCs/>
          <w:b/>
        </w:rPr>
        <w:t xml:space="preserve">”</w:t>
      </w:r>
    </w:p>
    <w:p>
      <w:pPr>
        <w:pStyle w:val="BodyText"/>
      </w:pPr>
      <w:r>
        <w:t xml:space="preserve">Done.</w:t>
      </w:r>
    </w:p>
    <w:bookmarkEnd w:id="158"/>
    <w:bookmarkStart w:id="159" w:name="comment-17"/>
    <w:p>
      <w:pPr>
        <w:pStyle w:val="Heading3"/>
      </w:pPr>
      <w:r>
        <w:t xml:space="preserve">Comment 17</w:t>
      </w:r>
    </w:p>
    <w:p>
      <w:pPr>
        <w:pStyle w:val="FirstParagraph"/>
      </w:pPr>
      <w:r>
        <w:rPr>
          <w:bCs/>
          <w:b/>
        </w:rPr>
        <w:t xml:space="preserve">Line 125: please replace</w:t>
      </w:r>
      <w:r>
        <w:rPr>
          <w:bCs/>
          <w:b/>
        </w:rPr>
        <w:t xml:space="preserve"> </w:t>
      </w:r>
      <w:r>
        <w:rPr>
          <w:bCs/>
          <w:b/>
        </w:rPr>
        <w:t xml:space="preserve">“</w:t>
      </w:r>
      <w:r>
        <w:rPr>
          <w:bCs/>
          <w:b/>
        </w:rPr>
        <w:t xml:space="preserve">a source of error</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a source of bias</w:t>
      </w:r>
      <w:r>
        <w:rPr>
          <w:bCs/>
          <w:b/>
        </w:rPr>
        <w:t xml:space="preserve">”</w:t>
      </w:r>
    </w:p>
    <w:p>
      <w:pPr>
        <w:pStyle w:val="BodyText"/>
      </w:pPr>
      <w:r>
        <w:t xml:space="preserve">Done.</w:t>
      </w:r>
    </w:p>
    <w:bookmarkEnd w:id="159"/>
    <w:bookmarkStart w:id="160" w:name="comment-18"/>
    <w:p>
      <w:pPr>
        <w:pStyle w:val="Heading3"/>
      </w:pPr>
      <w:r>
        <w:t xml:space="preserve">Comment 18</w:t>
      </w:r>
    </w:p>
    <w:p>
      <w:pPr>
        <w:pStyle w:val="FirstParagraph"/>
      </w:pPr>
      <w:r>
        <w:rPr>
          <w:bCs/>
          <w:b/>
        </w:rPr>
        <w:t xml:space="preserve">Line 141: please replace</w:t>
      </w:r>
      <w:r>
        <w:rPr>
          <w:bCs/>
          <w:b/>
        </w:rPr>
        <w:t xml:space="preserve"> </w:t>
      </w:r>
      <w:r>
        <w:rPr>
          <w:bCs/>
          <w:b/>
        </w:rPr>
        <w:t xml:space="preserve">“</w:t>
      </w:r>
      <w:r>
        <w:rPr>
          <w:bCs/>
          <w:b/>
        </w:rPr>
        <w:t xml:space="preserve">one 1/f noise</w:t>
      </w:r>
      <w:r>
        <w:rPr>
          <w:bCs/>
          <w:b/>
        </w:rPr>
        <w:t xml:space="preserve">”</w:t>
      </w:r>
      <w:r>
        <w:rPr>
          <w:bCs/>
          <w:b/>
        </w:rPr>
        <w:t xml:space="preserve"> </w:t>
      </w:r>
      <w:r>
        <w:rPr>
          <w:bCs/>
          <w:b/>
        </w:rPr>
        <w:t xml:space="preserve">with a scale-invariant process with a 1/f power law” (here and throughout) this is not</w:t>
      </w:r>
      <w:r>
        <w:rPr>
          <w:bCs/>
          <w:b/>
        </w:rPr>
        <w:t xml:space="preserve"> </w:t>
      </w:r>
      <w:r>
        <w:rPr>
          <w:bCs/>
          <w:b/>
        </w:rPr>
        <w:t xml:space="preserve">“</w:t>
      </w:r>
      <w:r>
        <w:rPr>
          <w:bCs/>
          <w:b/>
        </w:rPr>
        <w:t xml:space="preserve">noise</w:t>
      </w:r>
      <w:r>
        <w:rPr>
          <w:bCs/>
          <w:b/>
        </w:rPr>
        <w:t xml:space="preserve">”</w:t>
      </w:r>
      <w:r>
        <w:rPr>
          <w:bCs/>
          <w:b/>
        </w:rPr>
        <w:t xml:space="preserve"> </w:t>
      </w:r>
      <w:r>
        <w:rPr>
          <w:bCs/>
          <w:b/>
        </w:rPr>
        <w:t xml:space="preserve">it is a particular kind of fluctuation.</w:t>
      </w:r>
    </w:p>
    <w:p>
      <w:pPr>
        <w:pStyle w:val="BodyText"/>
      </w:pPr>
      <w:r>
        <w:t xml:space="preserve">Done.</w:t>
      </w:r>
    </w:p>
    <w:bookmarkEnd w:id="160"/>
    <w:bookmarkStart w:id="161" w:name="comment-19"/>
    <w:p>
      <w:pPr>
        <w:pStyle w:val="Heading3"/>
      </w:pPr>
      <w:r>
        <w:t xml:space="preserve">Comment 19</w:t>
      </w:r>
    </w:p>
    <w:p>
      <w:pPr>
        <w:pStyle w:val="FirstParagraph"/>
      </w:pPr>
      <w:r>
        <w:rPr>
          <w:bCs/>
          <w:b/>
        </w:rPr>
        <w:t xml:space="preserve">Line 178, when you say that the fluctuations may arise due to</w:t>
      </w:r>
      <w:r>
        <w:rPr>
          <w:bCs/>
          <w:b/>
        </w:rPr>
        <w:t xml:space="preserve"> </w:t>
      </w:r>
      <w:r>
        <w:rPr>
          <w:bCs/>
          <w:b/>
        </w:rPr>
        <w:t xml:space="preserve">“</w:t>
      </w:r>
      <w:r>
        <w:rPr>
          <w:bCs/>
          <w:b/>
        </w:rPr>
        <w:t xml:space="preserve">changes in level of tonic arousal or on-task attention</w:t>
      </w:r>
      <w:r>
        <w:rPr>
          <w:bCs/>
          <w:b/>
        </w:rPr>
        <w:t xml:space="preserve">”</w:t>
      </w:r>
      <w:r>
        <w:rPr>
          <w:bCs/>
          <w:b/>
        </w:rPr>
        <w:t xml:space="preserve">, I think you need to qualify this. In predictive processing, on-task attention is exactly the modulation of sensory precision, relative to prior precision that you are characterizing here. Tonic arousal may be another thing may or may not confound your current results.</w:t>
      </w:r>
    </w:p>
    <w:p>
      <w:pPr>
        <w:pStyle w:val="BodyText"/>
      </w:pPr>
      <w:r>
        <w:t xml:space="preserve">Thank you very much for pointing this out. We have adapted the discussion to make the distinction between attention in the predictive processing sense and the broader issue of task engagement (reflecting fluctuations in arousal, fatigue etc.) clearer (see also comments above):</w:t>
      </w:r>
    </w:p>
    <w:p>
      <w:pPr>
        <w:numPr>
          <w:ilvl w:val="0"/>
          <w:numId w:val="1014"/>
        </w:numPr>
      </w:pPr>
      <w:r>
        <w:rPr>
          <w:bCs/>
          <w:b/>
        </w:rP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bCs/>
          <w:b/>
        </w:rPr>
        <w:t xml:space="preserve">19,57</w:t>
      </w:r>
      <w:r>
        <w:rPr>
          <w:bCs/>
          <w:b/>
        </w:rPr>
        <w:t xml:space="preserve">).</w:t>
      </w:r>
      <w:r>
        <w:t xml:space="preserve"> </w:t>
      </w:r>
      <w:r>
        <w:t xml:space="preserve">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14"/>
        </w:numPr>
      </w:pPr>
      <w:r>
        <w:rPr>
          <w:bCs/>
          <w:b/>
        </w:rPr>
        <w:t xml:space="preserve">How does attention relate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As outlined above, between-mode fluctuations can be understood as ongoing shifts in the precision afforded to likelihood (</w:t>
      </w:r>
      <w:r>
        <w:rPr>
          <w:iCs/>
          <w:i/>
          <w:bCs/>
          <w:b/>
        </w:rPr>
        <w:t xml:space="preserve">external mode</w:t>
      </w:r>
      <w:r>
        <w:rPr>
          <w:bCs/>
          <w:b/>
        </w:rPr>
        <w:t xml:space="preserve">) and prior (</w:t>
      </w:r>
      <w:r>
        <w:rPr>
          <w:iCs/>
          <w:i/>
          <w:bCs/>
          <w:b/>
        </w:rPr>
        <w:t xml:space="preserve">internal mode</w:t>
      </w:r>
      <w:r>
        <w:rPr>
          <w:bCs/>
          <w:b/>
        </w:rP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bCs/>
          <w:b/>
        </w:rPr>
        <w:t xml:space="preserve">53</w:t>
      </w:r>
      <w:r>
        <w:rPr>
          <w:bCs/>
          <w:b/>
        </w:rPr>
        <w:t xml:space="preserve">, fluctuations in attention may thus provide a plausible explanation for the quadratic relationship between mode and RTs and confidence (Figure 2H and J; Figure 3I; Figure 3I)</w:t>
      </w:r>
      <w:r>
        <w:t xml:space="preserve">.</w:t>
      </w:r>
    </w:p>
    <w:p>
      <w:pPr>
        <w:numPr>
          <w:ilvl w:val="0"/>
          <w:numId w:val="1014"/>
        </w:numPr>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numPr>
          <w:ilvl w:val="0"/>
          <w:numId w:val="1014"/>
        </w:numPr>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numPr>
          <w:ilvl w:val="0"/>
          <w:numId w:val="1014"/>
        </w:numPr>
      </w:pPr>
      <w:r>
        <w:rPr>
          <w:bCs/>
          <w:b/>
        </w:rPr>
        <w:t xml:space="preserve">Of note, high phasic arousal has been shown to suppress multi-domain biases in decision-making in humans and mice</w:t>
      </w:r>
      <w:r>
        <w:rPr>
          <w:vertAlign w:val="superscript"/>
          <w:bCs/>
          <w:b/>
        </w:rPr>
        <w:t xml:space="preserve">66–68</w:t>
      </w:r>
      <w:r>
        <w:rPr>
          <w:bCs/>
          <w:b/>
        </w:rPr>
        <w:t xml:space="preserve">, including the biases toward perceptual history</w:t>
      </w:r>
      <w:r>
        <w:rPr>
          <w:vertAlign w:val="superscript"/>
          <w:bCs/>
          <w:b/>
        </w:rPr>
        <w:t xml:space="preserve">28</w:t>
      </w:r>
      <w:r>
        <w:rPr>
          <w:bCs/>
          <w:b/>
        </w:rPr>
        <w:t xml:space="preserve"> </w:t>
      </w:r>
      <w:r>
        <w:rPr>
          <w:bCs/>
          <w:b/>
        </w:rP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bookmarkEnd w:id="161"/>
    <w:bookmarkStart w:id="162" w:name="comment-20"/>
    <w:p>
      <w:pPr>
        <w:pStyle w:val="Heading3"/>
      </w:pPr>
      <w:r>
        <w:t xml:space="preserve">Comment 20</w:t>
      </w:r>
    </w:p>
    <w:p>
      <w:pPr>
        <w:pStyle w:val="FirstParagraph"/>
      </w:pPr>
      <w:r>
        <w:rPr>
          <w:bCs/>
          <w:b/>
        </w:rPr>
        <w:t xml:space="preserve">When introducing Equation 2, please make it clear that the omega terms stand in for the precisions afforded to the likelihood (omega_LLR) and prior (omega_ψ) that constitute the log posterior.</w:t>
      </w:r>
    </w:p>
    <w:p>
      <w:pPr>
        <w:pStyle w:val="BodyText"/>
      </w:pPr>
      <w:r>
        <w:t xml:space="preserve">We have modified the introduction of equation 2 as follows:</w:t>
      </w:r>
    </w:p>
    <w:p>
      <w:pPr>
        <w:numPr>
          <w:ilvl w:val="0"/>
          <w:numId w:val="1015"/>
        </w:numPr>
        <w:pStyle w:val="Compact"/>
      </w:pPr>
      <w:r>
        <w:t xml:space="preserve">Following Bayes’ theorem, we reasoned that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rPr>
          <w:bCs/>
          <w:b/>
        </w:rPr>
        <w:t xml:space="preserve">, 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FirstParagraph"/>
      </w:pPr>
    </w:p>
    <w:p>
      <w:pPr>
        <w:pStyle w:val="BodyText"/>
      </w:pPr>
      <w:r>
        <w:rPr>
          <w:bCs/>
          <w:b/>
        </w:rPr>
        <w:t xml:space="preserve">You can then motivate Equation 6 and 7 as implementing the hyperprior in which the sensory and prior precisions fluctuate at a particular time scale</w:t>
      </w:r>
      <w:r>
        <w:t xml:space="preserve">.</w:t>
      </w:r>
    </w:p>
    <w:p>
      <w:pPr>
        <w:pStyle w:val="BodyText"/>
      </w:pPr>
      <w:r>
        <w:t xml:space="preserve">We would like to thank the reviewer for this suggestion, which we have added to the introduction of equations (6) and (7):</w:t>
      </w:r>
    </w:p>
    <w:p>
      <w:pPr>
        <w:numPr>
          <w:ilvl w:val="0"/>
          <w:numId w:val="1016"/>
        </w:numPr>
        <w:pStyle w:val="Compact"/>
      </w:pPr>
      <w:r>
        <w:rPr>
          <w:bCs/>
          <w:b/>
        </w:rPr>
        <w:t xml:space="preserve">To allow for</w:t>
      </w:r>
      <w:r>
        <w:rPr>
          <w:bCs/>
          <w:b/>
        </w:rPr>
        <w:t xml:space="preserve"> </w:t>
      </w:r>
      <w:r>
        <w:rPr>
          <w:iCs/>
          <w:i/>
          <w:bCs/>
          <w:b/>
        </w:rPr>
        <w:t xml:space="preserve">bimodal inference</w:t>
      </w:r>
      <w:r>
        <w:rPr>
          <w:bCs/>
          <w:b/>
        </w:rP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rPr>
          <w:bCs/>
          <w:b/>
        </w:rPr>
        <w:t xml:space="preserve">:</w:t>
      </w:r>
    </w:p>
    <w:p>
      <w:pPr>
        <w:pStyle w:val="FirstParagraph"/>
      </w:pPr>
    </w:p>
    <w:p>
      <w:pPr>
        <w:pStyle w:val="BodyText"/>
      </w:pPr>
    </w:p>
    <w:bookmarkEnd w:id="162"/>
    <w:bookmarkStart w:id="163" w:name="comment-21"/>
    <w:p>
      <w:pPr>
        <w:pStyle w:val="Heading3"/>
      </w:pPr>
      <w:r>
        <w:t xml:space="preserve">Comment 21</w:t>
      </w:r>
    </w:p>
    <w:p>
      <w:pPr>
        <w:pStyle w:val="FirstParagraph"/>
      </w:pPr>
      <w:r>
        <w:rPr>
          <w:bCs/>
          <w:b/>
        </w:rPr>
        <w:t xml:space="preserve">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pPr>
        <w:pStyle w:val="BodyText"/>
      </w:pPr>
      <w:r>
        <w:t xml:space="preserve">We would like to thank the reviewer for this suggestion. We added this information to the description of our model in the Results section (see comment above).</w:t>
      </w:r>
    </w:p>
    <w:bookmarkEnd w:id="163"/>
    <w:bookmarkStart w:id="164" w:name="comment-22"/>
    <w:p>
      <w:pPr>
        <w:pStyle w:val="Heading3"/>
      </w:pPr>
      <w:r>
        <w:t xml:space="preserve">Comment 22</w:t>
      </w:r>
    </w:p>
    <w:p>
      <w:pPr>
        <w:pStyle w:val="FirstParagraph"/>
      </w:pPr>
      <w:r>
        <w:rPr>
          <w:bCs/>
          <w:b/>
        </w:rPr>
        <w:t xml:space="preserve">In your first model simulations, I would make it clear in the main text which parameters you are optimizing’s; namely (H, alpha, a_likelihood, a_prior f). Perhaps a little table with a brief description of the meaning of these hyper parameters would be useful?</w:t>
      </w:r>
    </w:p>
    <w:p>
      <w:pPr>
        <w:pStyle w:val="BodyText"/>
      </w:pPr>
      <w:r>
        <w:t xml:space="preserve">We now identify the optimized parameters at the outset of the modeling section:</w:t>
      </w:r>
    </w:p>
    <w:p>
      <w:pPr>
        <w:numPr>
          <w:ilvl w:val="0"/>
          <w:numId w:val="1017"/>
        </w:numPr>
        <w:pStyle w:val="Compact"/>
      </w:pPr>
      <w:r>
        <w:rPr>
          <w:bCs/>
          <w:b/>
        </w:rPr>
        <w:t xml:space="preserve">(…) 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t>
      </w:r>
      <w:r>
        <w:rPr>
          <w:bCs/>
          <w:b/>
        </w:rPr>
        <w:t xml:space="preserve">(see Methods for details and Supplemental Table T2 for a summary of the parameters of the bimodal inference model). We validated our model in three steps: (…).</w:t>
      </w:r>
    </w:p>
    <w:p>
      <w:pPr>
        <w:pStyle w:val="FirstParagraph"/>
      </w:pPr>
      <w:r>
        <w:t xml:space="preserve">We furthermore included a table summarizing the model parameters in the Supplement:</w:t>
      </w:r>
    </w:p>
    <w:bookmarkEnd w:id="164"/>
    <w:bookmarkStart w:id="165" w:name="comment-23"/>
    <w:p>
      <w:pPr>
        <w:pStyle w:val="Heading3"/>
      </w:pPr>
      <w:r>
        <w:t xml:space="preserve">Comment 23</w:t>
      </w:r>
    </w:p>
    <w:p>
      <w:pPr>
        <w:pStyle w:val="FirstParagraph"/>
      </w:pPr>
      <w:r>
        <w:rPr>
          <w:bCs/>
          <w:b/>
        </w:rPr>
        <w:t xml:space="preserve">Please remove Section 5.8. If you do not, you need to explain why — on line 586 - setting a = 0 is appropriate when a = 0, the log posterior in Equation 2 is zero because the precisions (omegas) are zero (by Equations 6 and 7).</w:t>
      </w:r>
    </w:p>
    <w:p>
      <w:pPr>
        <w:pStyle w:val="BodyText"/>
      </w:pPr>
      <w:r>
        <w:t xml:space="preserve">We have removed the section 5.8. When setting the amplitude parameters to zero,</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are constant at 1, creating a unimodal control model that corresponds to the normative Bayesian evidence accumulation model proposed by Glaze et al</w:t>
      </w:r>
      <w:r>
        <w:rPr>
          <w:vertAlign w:val="superscript"/>
        </w:rPr>
        <w:t xml:space="preserve">51</w:t>
      </w:r>
      <w:r>
        <w:t xml:space="preserve">.</w:t>
      </w:r>
    </w:p>
    <w:bookmarkEnd w:id="165"/>
    <w:bookmarkEnd w:id="166"/>
    <w:bookmarkStart w:id="168" w:name="reviewer-2"/>
    <w:p>
      <w:pPr>
        <w:pStyle w:val="Heading2"/>
      </w:pPr>
      <w:r>
        <w:t xml:space="preserve">Reviewer 2</w:t>
      </w:r>
    </w:p>
    <w:p>
      <w:pPr>
        <w:pStyle w:val="FirstParagraph"/>
      </w:pPr>
      <w:r>
        <w:rPr>
          <w:bCs/>
          <w:b/>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in a given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pPr>
        <w:pStyle w:val="BodyText"/>
      </w:pPr>
      <w:r>
        <w:rPr>
          <w:bCs/>
          <w:b/>
        </w:rPr>
        <w:t xml:space="preserve">Evaluation</w:t>
      </w:r>
    </w:p>
    <w:p>
      <w:pPr>
        <w:pStyle w:val="BodyText"/>
      </w:pPr>
      <w:r>
        <w:rPr>
          <w:bCs/>
          <w:b/>
        </w:rPr>
        <w:t xml:space="preserve">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pPr>
        <w:pStyle w:val="BodyText"/>
      </w:pPr>
      <w:r>
        <w:t xml:space="preserve">We would like to thank the reviewer for the evaluation of our manuscript. We have added the discussion of potential effects at the motor-level to our discussion.</w:t>
      </w:r>
    </w:p>
    <w:p>
      <w:pPr>
        <w:pStyle w:val="BodyText"/>
      </w:pPr>
      <w:r>
        <w:rPr>
          <w:bCs/>
          <w:b/>
        </w:rPr>
        <w:t xml:space="preserve">Minor questions</w:t>
      </w:r>
    </w:p>
    <w:bookmarkStart w:id="167" w:name="comment-1-1"/>
    <w:p>
      <w:pPr>
        <w:pStyle w:val="Heading3"/>
      </w:pPr>
      <w:r>
        <w:t xml:space="preserve">Comment 1</w:t>
      </w:r>
    </w:p>
    <w:p>
      <w:pPr>
        <w:pStyle w:val="FirstParagraph"/>
      </w:pPr>
      <w:r>
        <w:rPr>
          <w:bCs/>
          <w:b/>
        </w:rPr>
        <w:t xml:space="preserve">History congruent perception was defined on the basis of response repetitions. Are we really sure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 may the motor priming effects mentioned possibly explain faster RTs along with a stronger bias when in internal-mode.</w:t>
      </w:r>
    </w:p>
    <w:p>
      <w:pPr>
        <w:pStyle w:val="BodyText"/>
      </w:pPr>
      <w:r>
        <w:t xml:space="preserve">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pPr>
        <w:pStyle w:val="BodyText"/>
      </w:pPr>
      <w:r>
        <w:t xml:space="preserve">We realize that is very difficult to preclude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We found that confidence was, on average, elevated for history-congruent choices.</w:t>
      </w:r>
    </w:p>
    <w:p>
      <w:pPr>
        <w:pStyle w:val="BodyText"/>
      </w:pPr>
      <w:r>
        <w:t xml:space="preserve">That being said, behavioral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response wheel) and neuropixel recording across the whole brain, including premotor and motor cortex</w:t>
      </w:r>
      <w:r>
        <w:rPr>
          <w:vertAlign w:val="superscript"/>
        </w:rPr>
        <w:t xml:space="preserve">71</w:t>
      </w:r>
      <w:r>
        <w:t xml:space="preserve">.</w:t>
      </w:r>
    </w:p>
    <w:p>
      <w:pPr>
        <w:pStyle w:val="BodyText"/>
      </w:pPr>
      <w:r>
        <w:t xml:space="preserve">We have added these considerations to the discussion of potential confounds:</w:t>
      </w:r>
    </w:p>
    <w:p>
      <w:pPr>
        <w:numPr>
          <w:ilvl w:val="0"/>
          <w:numId w:val="1018"/>
        </w:numPr>
      </w:pPr>
      <w:r>
        <w:rPr>
          <w:bCs/>
          <w:b/>
        </w:rPr>
        <w:t xml:space="preserve">Residual activation of the motor system may provide another contribution to serial biases in perceptual choices</w:t>
      </w:r>
      <w:r>
        <w:rPr>
          <w:vertAlign w:val="superscript"/>
          <w:bCs/>
          <w:b/>
        </w:rPr>
        <w:t xml:space="preserve">72</w:t>
      </w:r>
      <w:r>
        <w:rPr>
          <w:bCs/>
          <w:b/>
        </w:rPr>
        <w:t xml:space="preserve">. Such motor-driven priming may lead to errors in randomized psychophysical designs, resembling the phenomenon that we identify as internally-biased processing</w:t>
      </w:r>
      <w:r>
        <w:rPr>
          <w:vertAlign w:val="superscript"/>
          <w:bCs/>
          <w:b/>
        </w:rPr>
        <w:t xml:space="preserve">73</w:t>
      </w:r>
      <w:r>
        <w:rPr>
          <w:bCs/>
          <w:b/>
        </w:rPr>
        <w:t xml:space="preserve">. Moreover, residual activation of the motor system may lead to faster responses, and thus constitutes an alternative explanation for the quadratic relationship of mode with RTs</w:t>
      </w:r>
      <w:r>
        <w:rPr>
          <w:vertAlign w:val="superscript"/>
          <w:bCs/>
          <w:b/>
        </w:rPr>
        <w:t xml:space="preserve">72</w:t>
      </w:r>
      <w:r>
        <w:rPr>
          <w:bCs/>
          <w:b/>
        </w:rP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bCs/>
          <w:b/>
        </w:rPr>
        <w:t xml:space="preserve">74</w:t>
      </w:r>
      <w:r>
        <w:rPr>
          <w:bCs/>
          <w:b/>
        </w:rPr>
        <w:t xml:space="preserve">. Likewise, perceptual history effects have repeatedly been replicated in experiments with counter-balanced stimulus-response mappings</w:t>
      </w:r>
      <w:r>
        <w:rPr>
          <w:vertAlign w:val="superscript"/>
          <w:bCs/>
          <w:b/>
        </w:rPr>
        <w:t xml:space="preserve">30: Feigin2021</w:t>
      </w:r>
      <w:r>
        <w:rPr>
          <w:bCs/>
          <w:b/>
        </w:rPr>
        <w:t xml:space="preserve">.</w:t>
      </w:r>
    </w:p>
    <w:p>
      <w:pPr>
        <w:numPr>
          <w:ilvl w:val="0"/>
          <w:numId w:val="1018"/>
        </w:numPr>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vertAlign w:val="superscript"/>
          <w:bCs/>
          <w:b/>
        </w:rPr>
        <w:t xml:space="preserve">71</w:t>
      </w:r>
      <w:r>
        <w:rPr>
          <w:bCs/>
          <w:b/>
        </w:rPr>
        <w:t xml:space="preserve">, may provide further insight into the relation of motor behavior to the perceptual phenomenon of between-mode fluctuations.</w:t>
      </w:r>
    </w:p>
    <w:bookmarkEnd w:id="167"/>
    <w:bookmarkEnd w:id="168"/>
    <w:bookmarkStart w:id="183" w:name="reviewer-3"/>
    <w:p>
      <w:pPr>
        <w:pStyle w:val="Heading2"/>
      </w:pPr>
      <w:r>
        <w:t xml:space="preserve">Reviewer 3</w:t>
      </w:r>
    </w:p>
    <w:p>
      <w:pPr>
        <w:pStyle w:val="FirstParagraph"/>
      </w:pPr>
      <w:r>
        <w:rPr>
          <w:bCs/>
          <w:b/>
        </w:rPr>
        <w:t xml:space="preserve">In this paper the authors propose that during perceptual decisions, humans and mice exhibit regular oscillatory fluctuations between an</w:t>
      </w:r>
      <w:r>
        <w:rPr>
          <w:bCs/>
          <w:b/>
        </w:rPr>
        <w:t xml:space="preserve"> </w:t>
      </w:r>
      <w:r>
        <w:rPr>
          <w:bCs/>
          <w:b/>
        </w:rPr>
        <w:t xml:space="preserve">“</w:t>
      </w:r>
      <w:r>
        <w:rPr>
          <w:bCs/>
          <w:b/>
        </w:rPr>
        <w:t xml:space="preserve">external</w:t>
      </w:r>
      <w:r>
        <w:rPr>
          <w:bCs/>
          <w:b/>
        </w:rPr>
        <w:t xml:space="preserve">”</w:t>
      </w:r>
      <w:r>
        <w:rPr>
          <w:bCs/>
          <w:b/>
        </w:rPr>
        <w:t xml:space="preserve"> </w:t>
      </w:r>
      <w:r>
        <w:rPr>
          <w:bCs/>
          <w:b/>
        </w:rPr>
        <w:t xml:space="preserve">(that places more weight on the perceptual evidence) and an</w:t>
      </w:r>
      <w:r>
        <w:rPr>
          <w:bCs/>
          <w:b/>
        </w:rPr>
        <w:t xml:space="preserve"> </w:t>
      </w:r>
      <w:r>
        <w:rPr>
          <w:bCs/>
          <w:b/>
        </w:rPr>
        <w:t xml:space="preserve">“</w:t>
      </w:r>
      <w:r>
        <w:rPr>
          <w:bCs/>
          <w:b/>
        </w:rPr>
        <w:t xml:space="preserve">internal</w:t>
      </w:r>
      <w:r>
        <w:rPr>
          <w:bCs/>
          <w:b/>
        </w:rPr>
        <w:t xml:space="preserve">”</w:t>
      </w:r>
      <w:r>
        <w:rPr>
          <w:bCs/>
          <w:b/>
        </w:rPr>
        <w:t xml:space="preserve"> </w:t>
      </w:r>
      <w:r>
        <w:rPr>
          <w:bCs/>
          <w:b/>
        </w:rPr>
        <w:t xml:space="preserve">(that places more weight on historical experiences) mode. In particular, the authors propose a computational scheme in which the influences of history and current stimulus on choice oscillate in anti phase, effectively implementing</w:t>
      </w:r>
      <w:r>
        <w:rPr>
          <w:bCs/>
          <w:b/>
        </w:rPr>
        <w:t xml:space="preserve"> </w:t>
      </w:r>
      <w:r>
        <w:rPr>
          <w:bCs/>
          <w:b/>
        </w:rPr>
        <w:t xml:space="preserve">“</w:t>
      </w:r>
      <w:r>
        <w:rPr>
          <w:bCs/>
          <w:b/>
        </w:rPr>
        <w:t xml:space="preserve">bimodal inference</w:t>
      </w:r>
      <w:r>
        <w:rPr>
          <w:bCs/>
          <w:b/>
        </w:rPr>
        <w:t xml:space="preserve">”</w:t>
      </w:r>
      <w:r>
        <w:rPr>
          <w:bCs/>
          <w:b/>
        </w:rPr>
        <w:t xml:space="preserve">. The computational advantages of these scheme as well as its relation to the underlying neurophysiology are discussed.</w:t>
      </w:r>
    </w:p>
    <w:p>
      <w:pPr>
        <w:pStyle w:val="BodyText"/>
      </w:pPr>
      <w:r>
        <w:rPr>
          <w:bCs/>
          <w:b/>
        </w:rPr>
        <w:t xml:space="preserve">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pPr>
        <w:pStyle w:val="BodyText"/>
      </w:pPr>
      <w:r>
        <w:rPr>
          <w:bCs/>
          <w:b/>
        </w:rPr>
        <w:t xml:space="preserve">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pPr>
        <w:pStyle w:val="BodyText"/>
      </w:pPr>
      <w:r>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a number of defensive analyses to the supplement.</w:t>
      </w:r>
    </w:p>
    <w:p>
      <w:pPr>
        <w:pStyle w:val="BodyText"/>
      </w:pPr>
      <w:r>
        <w:rPr>
          <w:bCs/>
          <w:b/>
        </w:rPr>
        <w:t xml:space="preserve">Major comments:</w:t>
      </w:r>
    </w:p>
    <w:bookmarkStart w:id="169" w:name="comment-1-2"/>
    <w:p>
      <w:pPr>
        <w:pStyle w:val="Heading3"/>
      </w:pPr>
      <w:r>
        <w:t xml:space="preserve">Comment 1</w:t>
      </w:r>
    </w:p>
    <w:p>
      <w:pPr>
        <w:pStyle w:val="FirstParagraph"/>
      </w:pPr>
      <w:r>
        <w:rPr>
          <w:bCs/>
          <w:b/>
        </w:rPr>
        <w:t xml:space="preserve">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w:t>
      </w:r>
      <w:r>
        <w:rPr>
          <w:bCs/>
          <w:b/>
        </w:rPr>
        <w:t xml:space="preserve"> </w:t>
      </w:r>
      <w:r>
        <w:rPr>
          <w:bCs/>
          <w:b/>
        </w:rPr>
        <w:t xml:space="preserve">“</w:t>
      </w:r>
      <w:r>
        <w:rPr>
          <w:bCs/>
          <w:b/>
        </w:rPr>
        <w:t xml:space="preserve">false alarms</w:t>
      </w:r>
      <w:r>
        <w:rPr>
          <w:bCs/>
          <w:b/>
        </w:rPr>
        <w:t xml:space="preserve">”</w:t>
      </w:r>
      <w:r>
        <w:rPr>
          <w:bCs/>
          <w:b/>
        </w:rPr>
        <w:t xml:space="preserve"> </w:t>
      </w:r>
      <w:r>
        <w:rPr>
          <w:bCs/>
          <w:b/>
        </w:rPr>
        <w:t xml:space="preserve">is mentioned, indicating a detection protocol. Other terms in the methods section (e.g.,</w:t>
      </w:r>
      <w:r>
        <w:rPr>
          <w:bCs/>
          <w:b/>
        </w:rPr>
        <w:t xml:space="preserve"> </w:t>
      </w:r>
      <w:r>
        <w:rPr>
          <w:bCs/>
          <w:b/>
        </w:rPr>
        <w:t xml:space="preserve">“</w:t>
      </w:r>
      <w:r>
        <w:rPr>
          <w:bCs/>
          <w:b/>
        </w:rPr>
        <w:t xml:space="preserve">set size</w:t>
      </w:r>
      <w:r>
        <w:rPr>
          <w:bCs/>
          <w:b/>
        </w:rPr>
        <w:t xml:space="preserve">”</w:t>
      </w:r>
      <w:r>
        <w:rPr>
          <w:bCs/>
          <w:b/>
        </w:rPr>
        <w:t xml:space="preserv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pPr>
        <w:pStyle w:val="BodyText"/>
      </w:pPr>
      <w:r>
        <w:t xml:space="preserve">We would like to thank the Reviewer for this important point. Regarding the rationale for collapsing across the studies in the Confidence database: Having found strong evidence of apparent between-mode fluctuations in a study on intermittent bistable perception</w:t>
      </w:r>
      <w:r>
        <w:rPr>
          <w:vertAlign w:val="superscript"/>
        </w:rPr>
        <w:t xml:space="preserve">19</w:t>
      </w:r>
      <w: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history effects and bimodal inference are present in a wide variety of tasks.</w:t>
      </w:r>
    </w:p>
    <w:p>
      <w:pPr>
        <w:pStyle w:val="BodyText"/>
      </w:pPr>
      <w:r>
        <w:t xml:space="preserve">At the same time, collapsing across diverse set of experiments means that the stimuli, the timing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Pr>
          <w:vertAlign w:val="superscript"/>
        </w:rPr>
        <w:t xml:space="preserve">21</w:t>
      </w:r>
      <w:r>
        <w:t xml:space="preserve">. We have added the rationale for collapsing across studies with its advantages and disadvantages to the</w:t>
      </w:r>
      <w:r>
        <w:t xml:space="preserve"> </w:t>
      </w:r>
      <w:r>
        <w:rPr>
          <w:iCs/>
          <w:i/>
        </w:rPr>
        <w:t xml:space="preserve">Open questions and limitations</w:t>
      </w:r>
      <w:r>
        <w:t xml:space="preserve"> </w:t>
      </w:r>
      <w:r>
        <w:t xml:space="preserve">subsection of the discussion:</w:t>
      </w:r>
    </w:p>
    <w:p>
      <w:pPr>
        <w:numPr>
          <w:ilvl w:val="0"/>
          <w:numId w:val="1019"/>
        </w:numPr>
        <w:pStyle w:val="Compact"/>
      </w:pPr>
      <w:r>
        <w:rPr>
          <w:bCs/>
          <w:b/>
        </w:rPr>
        <w:t xml:space="preserve">Our results suggest bimodal inference as a pervasive aspect in perceptual decision-making in humans and mice. However, a number of limitations and open questions have to be considered: First, this work sought to understand whether fluctuations between internal and external mode, which we initially observed in an experiment on bistable perception in humans</w:t>
      </w:r>
      <w:r>
        <w:rPr>
          <w:vertAlign w:val="superscript"/>
          <w:bCs/>
          <w:b/>
        </w:rPr>
        <w:t xml:space="preserve">19</w:t>
      </w:r>
      <w:r>
        <w:rPr>
          <w:bCs/>
          <w:b/>
        </w:rPr>
        <w:t xml:space="preserve">, are general phenomenon that occurs across a diverse set of perceptual decision-making tasks. Our analysis of the Confidence database</w:t>
      </w:r>
      <w:r>
        <w:rPr>
          <w:vertAlign w:val="superscript"/>
          <w:bCs/>
          <w:b/>
        </w:rPr>
        <w:t xml:space="preserve">20</w:t>
      </w:r>
      <w:r>
        <w:rPr>
          <w:bCs/>
          <w:b/>
        </w:rPr>
        <w:t xml:space="preserve"> </w:t>
      </w:r>
      <w:r>
        <w:rPr>
          <w:bCs/>
          <w:b/>
        </w:rP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numPr>
          <w:ilvl w:val="0"/>
          <w:numId w:val="1019"/>
        </w:numPr>
        <w:pStyle w:val="Compact"/>
      </w:pPr>
      <w:r>
        <w:rPr>
          <w:bCs/>
          <w:b/>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bCs/>
          <w:b/>
        </w:rPr>
        <w:t xml:space="preserve">21</w:t>
      </w:r>
      <w:r>
        <w:rPr>
          <w:bCs/>
          <w:b/>
        </w:rPr>
        <w:t xml:space="preserve">. It will be an important task for future research to validate our results on bimodal inference in a standardized dataset of comparable volume in humans, which is, to our knowledge, not yet available.</w:t>
      </w:r>
    </w:p>
    <w:p>
      <w:pPr>
        <w:pStyle w:val="FirstParagraph"/>
      </w:pPr>
      <w:r>
        <w:t xml:space="preserve">We apologize for the lack of clarity regarding the way we queried the Confidence database. To select a broad variety of experiments on 2AFC perceptual decision-making, we Confidence database for studies from the</w:t>
      </w:r>
      <w:r>
        <w:t xml:space="preserve"> </w:t>
      </w:r>
      <w:r>
        <w:rPr>
          <w:iCs/>
          <w:i/>
        </w:rPr>
        <w:t xml:space="preserve">perception</w:t>
      </w:r>
      <w:r>
        <w:t xml:space="preserve"> </w:t>
      </w:r>
      <w:r>
        <w:t xml:space="preserve">category (excluding studies from the categories</w:t>
      </w:r>
      <w:r>
        <w:t xml:space="preserve"> </w:t>
      </w:r>
      <w:r>
        <w:rPr>
          <w:iCs/>
          <w:i/>
        </w:rPr>
        <w:t xml:space="preserve">cognitive</w:t>
      </w:r>
      <w:r>
        <w:t xml:space="preserve">,</w:t>
      </w:r>
      <w:r>
        <w:t xml:space="preserve"> </w:t>
      </w:r>
      <w:r>
        <w:rPr>
          <w:iCs/>
          <w:i/>
        </w:rPr>
        <w:t xml:space="preserve">motor</w:t>
      </w:r>
      <w:r>
        <w:t xml:space="preserve">,</w:t>
      </w:r>
      <w:r>
        <w:t xml:space="preserve"> </w:t>
      </w:r>
      <w:r>
        <w:rPr>
          <w:iCs/>
          <w:i/>
        </w:rPr>
        <w:t xml:space="preserve">memory</w:t>
      </w:r>
      <w:r>
        <w:t xml:space="preserve"> </w:t>
      </w:r>
      <w:r>
        <w:t xml:space="preserve">and</w:t>
      </w:r>
      <w:r>
        <w:t xml:space="preserve"> </w:t>
      </w:r>
      <w:r>
        <w:rPr>
          <w:iCs/>
          <w:i/>
        </w:rPr>
        <w:t xml:space="preserve">mixed</w:t>
      </w:r>
      <w:r>
        <w:t xml:space="preserve">) and selected studies with 2AFC responses. Our previous version of the manuscript had mentioned the variable names given to the difficulty variable in the individual experiments (i.e., the name of the column in the individual</w:t>
      </w:r>
      <w:r>
        <w:t xml:space="preserve"> </w:t>
      </w:r>
      <w:r>
        <w:rPr>
          <w:iCs/>
          <w:i/>
        </w:rPr>
        <w:t xml:space="preserve">.txt</w:t>
      </w:r>
      <w:r>
        <w:t xml:space="preserve"> </w:t>
      </w:r>
      <w:r>
        <w:t xml:space="preserve">files provided for every experiment in Confidence database). The term</w:t>
      </w:r>
      <w:r>
        <w:t xml:space="preserve"> </w:t>
      </w:r>
      <w:r>
        <w:rPr>
          <w:iCs/>
          <w:i/>
        </w:rPr>
        <w:t xml:space="preserve">false alarm</w:t>
      </w:r>
      <w:r>
        <w:t xml:space="preserve"> </w:t>
      </w:r>
      <w:r>
        <w:t xml:space="preserve">turned up in the discussion of lapses of attention and arousal, which we have re-written in response to Comment 19 by Reviewer 1 and Comment 6 by Reviewer 3. We now provide more information on the experiments and variables selected in the Method section:</w:t>
      </w:r>
    </w:p>
    <w:p>
      <w:pPr>
        <w:numPr>
          <w:ilvl w:val="0"/>
          <w:numId w:val="1020"/>
        </w:numPr>
      </w:pPr>
      <w:r>
        <w:rPr>
          <w:bCs/>
          <w:b/>
        </w:rPr>
        <w:t xml:space="preserve">We downloaded the human data from the Confidence database</w:t>
      </w:r>
      <w:r>
        <w:rPr>
          <w:vertAlign w:val="superscript"/>
          <w:bCs/>
          <w:b/>
        </w:rPr>
        <w:t xml:space="preserve">20</w:t>
      </w:r>
      <w:r>
        <w:rPr>
          <w:bCs/>
          <w:b/>
        </w:rPr>
        <w:t xml:space="preserve"> </w:t>
      </w:r>
      <w:r>
        <w:rPr>
          <w:bCs/>
          <w:b/>
        </w:rPr>
        <w:t xml:space="preserve">on 10/21/2020, limiting our analyses to the category</w:t>
      </w:r>
      <w:r>
        <w:rPr>
          <w:bCs/>
          <w:b/>
        </w:rPr>
        <w:t xml:space="preserve"> </w:t>
      </w:r>
      <w:r>
        <w:rPr>
          <w:iCs/>
          <w:i/>
          <w:bCs/>
          <w:b/>
        </w:rPr>
        <w:t xml:space="preserve">perception</w:t>
      </w:r>
      <w:r>
        <w:rPr>
          <w:bCs/>
          <w:b/>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rPr>
          <w:bCs/>
          <w:b/>
        </w:rPr>
        <w:t xml:space="preserve"> </w:t>
      </w:r>
      <m:oMath>
        <m:r>
          <m:t>21.05</m:t>
        </m:r>
      </m:oMath>
      <w:r>
        <w:rPr>
          <w:bCs/>
          <w:b/>
        </w:rPr>
        <w:t xml:space="preserve"> </w:t>
      </w:r>
      <w:r>
        <w:rPr>
          <w:bCs/>
          <w:b/>
        </w:rP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pPr>
        <w:numPr>
          <w:ilvl w:val="0"/>
          <w:numId w:val="1020"/>
        </w:numPr>
      </w:pPr>
      <w:r>
        <w:rPr>
          <w:bCs/>
          <w:b/>
        </w:rPr>
        <w:t xml:space="preserve">Out of the 58 experiments that provide information on RTs, 46 cued the response by the onset of a response screen or an additional response cue, whereas 14 allowed participants to respond at any time after stimulus onset.</w:t>
      </w:r>
    </w:p>
    <w:p>
      <w:pPr>
        <w:numPr>
          <w:ilvl w:val="0"/>
          <w:numId w:val="1020"/>
        </w:numPr>
      </w:pPr>
      <w:r>
        <w:rPr>
          <w:bCs/>
          <w:b/>
        </w:rP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bookmarkEnd w:id="169"/>
    <w:bookmarkStart w:id="170" w:name="comment-2-1"/>
    <w:p>
      <w:pPr>
        <w:pStyle w:val="Heading3"/>
      </w:pPr>
      <w:r>
        <w:t xml:space="preserve">Comment 2</w:t>
      </w:r>
    </w:p>
    <w:p>
      <w:pPr>
        <w:pStyle w:val="FirstParagraph"/>
      </w:pPr>
      <w:r>
        <w:rPr>
          <w:bCs/>
          <w:b/>
        </w:rPr>
        <w:t xml:space="preserve">The key premise that when participants do not rely on the external stimulus they rely more on the previous trial needs to be more clearly (and statistically) contrasted against a null hypothesis. For instance, an null hypothesis could be that when participants place a lower weight on the stimulus they simply choose randomly. It is important to specify a null hypothesis such that the key premise does not appear self-evident or circular.</w:t>
      </w:r>
    </w:p>
    <w:p>
      <w:pPr>
        <w:pStyle w:val="BodyText"/>
      </w:pPr>
      <w:r>
        <w:t xml:space="preserve">We would like to thank the reviewer for highlighting this important point. Following this suggestion, we have explicitly tested our main hypothesis (</w:t>
      </w:r>
      <m:oMath>
        <m:r>
          <m:t>H</m:t>
        </m:r>
        <m:r>
          <m:t>1</m:t>
        </m:r>
      </m:oMath>
      <w:r>
        <w:t xml:space="preserve">: periods of reduced stimulus-congruence are periods of enhanced reliance on history-congruence) against the following null hypotheses:</w:t>
      </w:r>
    </w:p>
    <w:p>
      <w:pPr>
        <w:numPr>
          <w:ilvl w:val="0"/>
          <w:numId w:val="1021"/>
        </w:numPr>
        <w:pStyle w:val="Compact"/>
      </w:pPr>
      <m:oMath>
        <m:r>
          <m:t>H</m:t>
        </m:r>
        <m:sSub>
          <m:e>
            <m:r>
              <m:t>0</m:t>
            </m:r>
          </m:e>
          <m:sub>
            <m:r>
              <m:t>1</m:t>
            </m:r>
          </m:sub>
        </m:sSub>
      </m:oMath>
      <w:r>
        <w:t xml:space="preserve">: Periods of reduced stimulus-congruence are periods of enhanced random choices</w:t>
      </w:r>
    </w:p>
    <w:p>
      <w:pPr>
        <w:numPr>
          <w:ilvl w:val="0"/>
          <w:numId w:val="1021"/>
        </w:numPr>
        <w:pStyle w:val="Compact"/>
      </w:pPr>
      <m:oMath>
        <m:r>
          <m:t>H</m:t>
        </m:r>
        <m:sSub>
          <m:e>
            <m:r>
              <m:t>0</m:t>
            </m:r>
          </m:e>
          <m:sub>
            <m:r>
              <m:t>2</m:t>
            </m:r>
          </m:sub>
        </m:sSub>
      </m:oMath>
      <w:r>
        <w:t xml:space="preserve">: Periods of reduced stimulus-congruence are periods of enhanced general bias</w:t>
      </w:r>
    </w:p>
    <w:p>
      <w:pPr>
        <w:pStyle w:val="FirstParagraph"/>
      </w:pPr>
      <w:r>
        <w:t xml:space="preserve">We present three sets of statistical analyses to test H1 against</w:t>
      </w:r>
      <w:r>
        <w:t xml:space="preserve"> </w:t>
      </w:r>
      <m:oMath>
        <m:r>
          <m:t>H</m:t>
        </m:r>
        <m:sSub>
          <m:e>
            <m:r>
              <m:t>0</m:t>
            </m:r>
          </m:e>
          <m:sub>
            <m:r>
              <m:t>1</m:t>
            </m:r>
            <m:r>
              <m:rPr>
                <m:sty m:val="p"/>
              </m:rPr>
              <m:t>/</m:t>
            </m:r>
            <m:r>
              <m:t>2</m:t>
            </m:r>
          </m:sub>
        </m:sSub>
      </m:oMath>
      <w:r>
        <w:t xml:space="preserve">:</w:t>
      </w:r>
    </w:p>
    <w:p>
      <w:pPr>
        <w:pStyle w:val="BodyText"/>
      </w:pPr>
      <w:r>
        <w:t xml:space="preserve">First, we used logistic regression to predict individual choices. Under H1, one would expect a significant effect of perceptual history in a logistic regression model that predicts individual choices from the external stimulus, perceptual history and general response bias. At the model level, one would expect higher AIC in a model without perceptual history as a predictor of individual choices, indicating that perceptual history influences choices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effect of perceptual history on choices while controlling for bias. When eliminating perceptual history as a predictor of individual choices,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We complemented this analysis by computing AIC in individual observers (Supplemental Figure S4), and again found higher AIC in models from which perceptual history was eliminated. We have added the following analyses have been added to the main manuscript.</w:t>
      </w:r>
    </w:p>
    <w:p>
      <w:pPr>
        <w:pStyle w:val="BodyText"/>
      </w:pPr>
      <w:r>
        <w:t xml:space="preserve">Humans:</w:t>
      </w:r>
    </w:p>
    <w:p>
      <w:pPr>
        <w:numPr>
          <w:ilvl w:val="0"/>
          <w:numId w:val="1022"/>
        </w:numPr>
      </w:pPr>
      <w:r>
        <w:rPr>
          <w:bCs/>
          <w:b/>
        </w:rPr>
        <w:t xml:space="preserve">Subsection: Fluctuations between internal and external mode cannot be reduced to general response biases or random choices</w:t>
      </w:r>
    </w:p>
    <w:p>
      <w:pPr>
        <w:numPr>
          <w:ilvl w:val="0"/>
          <w:numId w:val="1022"/>
        </w:numPr>
      </w:pPr>
      <w:r>
        <w:rPr>
          <w:bCs/>
          <w:b/>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rPr>
          <w:bCs/>
          <w:b/>
        </w:rPr>
        <w:t xml:space="preserve"> </w:t>
      </w:r>
      <w:r>
        <w:rPr>
          <w:bCs/>
          <w:b/>
        </w:rPr>
        <w:t xml:space="preserve">=</w:t>
      </w:r>
      <w:r>
        <w:rPr>
          <w:bCs/>
          <w:b/>
        </w:rPr>
        <w:t xml:space="preserve"> </w:t>
      </w:r>
      <m:oMath>
        <m:r>
          <m:t>0.11</m:t>
        </m:r>
      </m:oMath>
      <w:r>
        <w:rPr>
          <w:bCs/>
          <w:b/>
        </w:rPr>
        <w:t xml:space="preserve"> </w:t>
      </w:r>
      <w:r>
        <w:rPr>
          <w:bCs/>
          <w:b/>
        </w:rPr>
        <w:t xml:space="preserve">±</w:t>
      </w:r>
      <w:r>
        <w:rPr>
          <w:bCs/>
          <w:b/>
        </w:rPr>
        <w:t xml:space="preserve"> </w:t>
      </w:r>
      <m:oMath>
        <m:r>
          <m:t>5.79</m:t>
        </m:r>
        <m:r>
          <m:rPr>
            <m:sty m:val="p"/>
          </m:rPr>
          <m:t>×</m:t>
        </m:r>
        <m:sSup>
          <m:e>
            <m:r>
              <m:t>10</m:t>
            </m:r>
          </m:e>
          <m:sup>
            <m:r>
              <m:rPr>
                <m:sty m:val="p"/>
              </m:rPr>
              <m:t>−</m:t>
            </m:r>
            <m:r>
              <m:t>3</m:t>
            </m:r>
          </m:sup>
        </m:sSup>
      </m:oMath>
      <w:r>
        <w:rPr>
          <w:bCs/>
          <w:b/>
        </w:rPr>
        <w:t xml:space="preserve">, z =</w:t>
      </w:r>
      <w:r>
        <w:rPr>
          <w:bCs/>
          <w:b/>
        </w:rPr>
        <w:t xml:space="preserve"> </w:t>
      </w:r>
      <m:oMath>
        <m:r>
          <m:t>18.53</m:t>
        </m:r>
      </m:oMath>
      <w:r>
        <w:rPr>
          <w:bCs/>
          <w:b/>
        </w:rPr>
        <w:t xml:space="preserve">, p =</w:t>
      </w:r>
      <w:r>
        <w:rPr>
          <w:bCs/>
          <w:b/>
        </w:rPr>
        <w:t xml:space="preserve"> </w:t>
      </w:r>
      <m:oMath>
        <m:r>
          <m:t>1.1</m:t>
        </m:r>
        <m:r>
          <m:rPr>
            <m:sty m:val="p"/>
          </m:rPr>
          <m:t>×</m:t>
        </m:r>
        <m:sSup>
          <m:e>
            <m:r>
              <m:t>10</m:t>
            </m:r>
          </m:e>
          <m:sup>
            <m:r>
              <m:rPr>
                <m:sty m:val="p"/>
              </m:rPr>
              <m:t>−</m:t>
            </m:r>
            <m:r>
              <m:t>76</m:t>
            </m:r>
          </m:sup>
        </m:sSup>
      </m:oMath>
      <w:r>
        <w:rPr>
          <w:bCs/>
          <w:b/>
        </w:rPr>
        <w:t xml:space="preserve">) over and above the ongoing stream of external sensory information (</w:t>
      </w:r>
      <m:oMath>
        <m:r>
          <m:t>β</m:t>
        </m:r>
      </m:oMath>
      <w:r>
        <w:rPr>
          <w:bCs/>
          <w:b/>
        </w:rPr>
        <w:t xml:space="preserve"> </w:t>
      </w:r>
      <w:r>
        <w:rPr>
          <w:bCs/>
          <w:b/>
        </w:rPr>
        <w:t xml:space="preserve">=</w:t>
      </w:r>
      <w:r>
        <w:rPr>
          <w:bCs/>
          <w:b/>
        </w:rPr>
        <w:t xml:space="preserve"> </w:t>
      </w:r>
      <m:oMath>
        <m:r>
          <m:t>2.2</m:t>
        </m:r>
      </m:oMath>
      <w:r>
        <w:rPr>
          <w:bCs/>
          <w:b/>
        </w:rPr>
        <w:t xml:space="preserve"> </w:t>
      </w:r>
      <w:r>
        <w:rPr>
          <w:bCs/>
          <w:b/>
        </w:rPr>
        <w:t xml:space="preserve">±</w:t>
      </w:r>
      <w:r>
        <w:rPr>
          <w:bCs/>
          <w:b/>
        </w:rPr>
        <w:t xml:space="preserve"> </w:t>
      </w:r>
      <m:oMath>
        <m:r>
          <m:t>5.87</m:t>
        </m:r>
        <m:r>
          <m:rPr>
            <m:sty m:val="p"/>
          </m:rPr>
          <m:t>×</m:t>
        </m:r>
        <m:sSup>
          <m:e>
            <m:r>
              <m:t>10</m:t>
            </m:r>
          </m:e>
          <m:sup>
            <m:r>
              <m:rPr>
                <m:sty m:val="p"/>
              </m:rPr>
              <m:t>−</m:t>
            </m:r>
            <m:r>
              <m:t>3</m:t>
            </m:r>
          </m:sup>
        </m:sSup>
      </m:oMath>
      <w:r>
        <w:rPr>
          <w:bCs/>
          <w:b/>
        </w:rPr>
        <w:t xml:space="preserve">, z =</w:t>
      </w:r>
      <w:r>
        <w:rPr>
          <w:bCs/>
          <w:b/>
        </w:rPr>
        <w:t xml:space="preserve"> </w:t>
      </w:r>
      <m:oMath>
        <m:r>
          <m:t>375.11</m:t>
        </m:r>
      </m:oMath>
      <w:r>
        <w:rPr>
          <w:bCs/>
          <w:b/>
        </w:rPr>
        <w:t xml:space="preserve">, p =</w:t>
      </w:r>
      <w:r>
        <w:rPr>
          <w:bCs/>
          <w:b/>
        </w:rPr>
        <w:t xml:space="preserve"> </w:t>
      </w:r>
      <m:oMath>
        <m:r>
          <m:t>0</m:t>
        </m:r>
      </m:oMath>
      <w:r>
        <w:rPr>
          <w:bCs/>
          <w:b/>
        </w:rPr>
        <w:t xml:space="preserve">) and general response biases toward (</w:t>
      </w:r>
      <m:oMath>
        <m:r>
          <m:t>β</m:t>
        </m:r>
      </m:oMath>
      <w:r>
        <w:rPr>
          <w:bCs/>
          <w:b/>
        </w:rPr>
        <w:t xml:space="preserve"> </w:t>
      </w:r>
      <w:r>
        <w:rPr>
          <w:bCs/>
          <w:b/>
        </w:rPr>
        <w:t xml:space="preserve">=</w:t>
      </w:r>
      <w:r>
        <w:rPr>
          <w:bCs/>
          <w:b/>
        </w:rPr>
        <w:t xml:space="preserve"> </w:t>
      </w:r>
      <m:oMath>
        <m:r>
          <m:t>15.19</m:t>
        </m:r>
      </m:oMath>
      <w:r>
        <w:rPr>
          <w:bCs/>
          <w:b/>
        </w:rPr>
        <w:t xml:space="preserve"> </w:t>
      </w:r>
      <w:r>
        <w:rPr>
          <w:bCs/>
          <w:b/>
        </w:rPr>
        <w:t xml:space="preserve">±</w:t>
      </w:r>
      <w:r>
        <w:rPr>
          <w:bCs/>
          <w:b/>
        </w:rPr>
        <w:t xml:space="preserve"> </w:t>
      </w:r>
      <m:oMath>
        <m:r>
          <m:t>0.08</m:t>
        </m:r>
      </m:oMath>
      <w:r>
        <w:rPr>
          <w:bCs/>
          <w:b/>
        </w:rPr>
        <w:t xml:space="preserve">, z =</w:t>
      </w:r>
      <w:r>
        <w:rPr>
          <w:bCs/>
          <w:b/>
        </w:rPr>
        <w:t xml:space="preserve"> </w:t>
      </w:r>
      <m:oMath>
        <m:r>
          <m:t>184.98</m:t>
        </m:r>
      </m:oMath>
      <w:r>
        <w:rPr>
          <w:bCs/>
          <w:b/>
        </w:rPr>
        <w:t xml:space="preserve">, p =</w:t>
      </w:r>
      <w:r>
        <w:rPr>
          <w:bCs/>
          <w:b/>
        </w:rPr>
        <w:t xml:space="preserve"> </w:t>
      </w:r>
      <m:oMath>
        <m:r>
          <m:t>0</m:t>
        </m:r>
      </m:oMath>
      <w:r>
        <w:rPr>
          <w:bCs/>
          <w:b/>
        </w:rPr>
        <w:t xml:space="preserve">). When eliminating perceptual history as a predictor of individual choices at individual trials, AIC increased by</w:t>
      </w:r>
      <w:r>
        <w:rPr>
          <w:bCs/>
          <w:b/>
        </w:rPr>
        <w:t xml:space="preserve"> </w:t>
      </w:r>
      <m:oMath>
        <m:sSub>
          <m:e>
            <m:r>
              <m:t>δ</m:t>
            </m:r>
          </m:e>
          <m:sub>
            <m:r>
              <m:t>A</m:t>
            </m:r>
            <m:r>
              <m:t>I</m:t>
            </m:r>
            <m:r>
              <m:t>C</m:t>
            </m:r>
          </m:sub>
        </m:sSub>
      </m:oMath>
      <w:r>
        <w:rPr>
          <w:bCs/>
          <w:b/>
        </w:rPr>
        <w:t xml:space="preserve"> </w:t>
      </w:r>
      <w:r>
        <w:rPr>
          <w:bCs/>
          <w:b/>
        </w:rPr>
        <w:t xml:space="preserve">= 1.64</w:t>
      </w:r>
      <w:r>
        <w:rPr>
          <w:bCs/>
          <w:b/>
        </w:rPr>
        <w:t xml:space="preserve">^{3} (see Supplemental Figure S4A-B for parameter- and model-level inference at the level of individual observers).</w:t>
      </w:r>
    </w:p>
    <w:p>
      <w:pPr>
        <w:pStyle w:val="FirstParagraph"/>
      </w:pPr>
      <w:r>
        <w:t xml:space="preserve">Mice:</w:t>
      </w:r>
    </w:p>
    <w:p>
      <w:pPr>
        <w:numPr>
          <w:ilvl w:val="0"/>
          <w:numId w:val="1023"/>
        </w:numPr>
        <w:pStyle w:val="Compact"/>
      </w:pPr>
      <w:r>
        <w:rPr>
          <w:bCs/>
          <w:b/>
        </w:rPr>
        <w:t xml:space="preserve">In line with humans, mice were biased toward perceptual history in 54.03% ± 0.17% of trials (T(163) = -7.52, p =</w:t>
      </w:r>
      <w:r>
        <w:rPr>
          <w:bCs/>
          <w:b/>
        </w:rPr>
        <w:t xml:space="preserve"> </w:t>
      </w:r>
      <m:oMath>
        <m:r>
          <m:t>3.44</m:t>
        </m:r>
        <m:r>
          <m:rPr>
            <m:sty m:val="p"/>
          </m:rPr>
          <m:t>×</m:t>
        </m:r>
        <m:sSup>
          <m:e>
            <m:r>
              <m:t>10</m:t>
            </m:r>
          </m:e>
          <m:sup>
            <m:r>
              <m:rPr>
                <m:sty m:val="p"/>
              </m:rPr>
              <m:t>−</m:t>
            </m:r>
            <m:r>
              <m:t>12</m:t>
            </m:r>
          </m:sup>
        </m:sSup>
      </m:oMath>
      <w:r>
        <w:rPr>
          <w:bCs/>
          <w:b/>
        </w:rPr>
        <w:t xml:space="preserve">; Figure 4A and Supplemental Figure S1D). Perceptual history effects remained significant (</w:t>
      </w:r>
      <m:oMath>
        <m:r>
          <m:t>β</m:t>
        </m:r>
      </m:oMath>
      <w:r>
        <w:rPr>
          <w:bCs/>
          <w:b/>
        </w:rPr>
        <w:t xml:space="preserve"> </w:t>
      </w:r>
      <w:r>
        <w:rPr>
          <w:bCs/>
          <w:b/>
        </w:rPr>
        <w:t xml:space="preserve">=</w:t>
      </w:r>
      <w:r>
        <w:rPr>
          <w:bCs/>
          <w:b/>
        </w:rPr>
        <w:t xml:space="preserve"> </w:t>
      </w:r>
      <m:oMath>
        <m:r>
          <m:t>0.51</m:t>
        </m:r>
      </m:oMath>
      <w:r>
        <w:rPr>
          <w:bCs/>
          <w:b/>
        </w:rPr>
        <w:t xml:space="preserve"> </w:t>
      </w:r>
      <w:r>
        <w:rPr>
          <w:bCs/>
          <w:b/>
        </w:rPr>
        <w:t xml:space="preserve">±</w:t>
      </w:r>
      <w:r>
        <w:rPr>
          <w:bCs/>
          <w:b/>
        </w:rPr>
        <w:t xml:space="preserve"> </w:t>
      </w:r>
      <m:oMath>
        <m:r>
          <m:t>4.49</m:t>
        </m:r>
        <m:r>
          <m:rPr>
            <m:sty m:val="p"/>
          </m:rPr>
          <m:t>×</m:t>
        </m:r>
        <m:sSup>
          <m:e>
            <m:r>
              <m:t>10</m:t>
            </m:r>
          </m:e>
          <m:sup>
            <m:r>
              <m:rPr>
                <m:sty m:val="p"/>
              </m:rPr>
              <m:t>−</m:t>
            </m:r>
            <m:r>
              <m:t>3</m:t>
            </m:r>
          </m:sup>
        </m:sSup>
      </m:oMath>
      <w:r>
        <w:rPr>
          <w:bCs/>
          <w:b/>
        </w:rPr>
        <w:t xml:space="preserve">, z =</w:t>
      </w:r>
      <w:r>
        <w:rPr>
          <w:bCs/>
          <w:b/>
        </w:rPr>
        <w:t xml:space="preserve"> </w:t>
      </w:r>
      <m:oMath>
        <m:r>
          <m:t>112.84</m:t>
        </m:r>
      </m:oMath>
      <w:r>
        <w:rPr>
          <w:bCs/>
          <w:b/>
        </w:rPr>
        <w:t xml:space="preserve">, p =</w:t>
      </w:r>
      <w:r>
        <w:rPr>
          <w:bCs/>
          <w:b/>
        </w:rPr>
        <w:t xml:space="preserve"> </w:t>
      </w:r>
      <m:oMath>
        <m:r>
          <m:t>0</m:t>
        </m:r>
      </m:oMath>
      <w:r>
        <w:rPr>
          <w:bCs/>
          <w:b/>
        </w:rPr>
        <w:t xml:space="preserve">) when controlling for external sensory information (</w:t>
      </w:r>
      <m:oMath>
        <m:r>
          <m:t>β</m:t>
        </m:r>
      </m:oMath>
      <w:r>
        <w:rPr>
          <w:bCs/>
          <w:b/>
        </w:rPr>
        <w:t xml:space="preserve"> </w:t>
      </w:r>
      <w:r>
        <w:rPr>
          <w:bCs/>
          <w:b/>
        </w:rPr>
        <w:t xml:space="preserve">=</w:t>
      </w:r>
      <w:r>
        <w:rPr>
          <w:bCs/>
          <w:b/>
        </w:rPr>
        <w:t xml:space="preserve"> </w:t>
      </w:r>
      <m:oMath>
        <m:r>
          <m:t>2.96</m:t>
        </m:r>
      </m:oMath>
      <w:r>
        <w:rPr>
          <w:bCs/>
          <w:b/>
        </w:rPr>
        <w:t xml:space="preserve"> </w:t>
      </w:r>
      <w:r>
        <w:rPr>
          <w:bCs/>
          <w:b/>
        </w:rPr>
        <w:t xml:space="preserve">±</w:t>
      </w:r>
      <w:r>
        <w:rPr>
          <w:bCs/>
          <w:b/>
        </w:rPr>
        <w:t xml:space="preserve"> </w:t>
      </w:r>
      <m:oMath>
        <m:r>
          <m:t>4.58</m:t>
        </m:r>
        <m:r>
          <m:rPr>
            <m:sty m:val="p"/>
          </m:rPr>
          <m:t>×</m:t>
        </m:r>
        <m:sSup>
          <m:e>
            <m:r>
              <m:t>10</m:t>
            </m:r>
          </m:e>
          <m:sup>
            <m:r>
              <m:rPr>
                <m:sty m:val="p"/>
              </m:rPr>
              <m:t>−</m:t>
            </m:r>
            <m:r>
              <m:t>3</m:t>
            </m:r>
          </m:sup>
        </m:sSup>
      </m:oMath>
      <w:r>
        <w:rPr>
          <w:bCs/>
          <w:b/>
        </w:rPr>
        <w:t xml:space="preserve">, z =</w:t>
      </w:r>
      <w:r>
        <w:rPr>
          <w:bCs/>
          <w:b/>
        </w:rPr>
        <w:t xml:space="preserve"> </w:t>
      </w:r>
      <m:oMath>
        <m:r>
          <m:t>646.1</m:t>
        </m:r>
      </m:oMath>
      <w:r>
        <w:rPr>
          <w:bCs/>
          <w:b/>
        </w:rPr>
        <w:t xml:space="preserve">, p =</w:t>
      </w:r>
      <w:r>
        <w:rPr>
          <w:bCs/>
          <w:b/>
        </w:rPr>
        <w:t xml:space="preserve"> </w:t>
      </w:r>
      <m:oMath>
        <m:r>
          <m:t>0</m:t>
        </m:r>
      </m:oMath>
      <w:r>
        <w:rPr>
          <w:bCs/>
          <w:b/>
        </w:rPr>
        <w:t xml:space="preserve">) and general response biases toward one of the two potential outcomes (</w:t>
      </w:r>
      <m:oMath>
        <m:r>
          <m:t>β</m:t>
        </m:r>
      </m:oMath>
      <w:r>
        <w:rPr>
          <w:bCs/>
          <w:b/>
        </w:rPr>
        <w:t xml:space="preserve"> </w:t>
      </w:r>
      <w:r>
        <w:rPr>
          <w:bCs/>
          <w:b/>
        </w:rPr>
        <w:t xml:space="preserve">=</w:t>
      </w:r>
      <w:r>
        <w:rPr>
          <w:bCs/>
          <w:b/>
        </w:rPr>
        <w:t xml:space="preserve"> </w:t>
      </w:r>
      <m:oMath>
        <m:r>
          <m:rPr>
            <m:sty m:val="p"/>
          </m:rPr>
          <m:t>−</m:t>
        </m:r>
        <m:r>
          <m:t>1.78</m:t>
        </m:r>
      </m:oMath>
      <w:r>
        <w:rPr>
          <w:bCs/>
          <w:b/>
        </w:rPr>
        <w:t xml:space="preserve"> </w:t>
      </w:r>
      <w:r>
        <w:rPr>
          <w:bCs/>
          <w:b/>
        </w:rPr>
        <w:t xml:space="preserve">±</w:t>
      </w:r>
      <w:r>
        <w:rPr>
          <w:bCs/>
          <w:b/>
        </w:rPr>
        <w:t xml:space="preserve"> </w:t>
      </w:r>
      <m:oMath>
        <m:r>
          <m:t>0.02</m:t>
        </m:r>
      </m:oMath>
      <w:r>
        <w:rPr>
          <w:bCs/>
          <w:b/>
        </w:rPr>
        <w:t xml:space="preserve">, z =</w:t>
      </w:r>
      <w:r>
        <w:rPr>
          <w:bCs/>
          <w:b/>
        </w:rPr>
        <w:t xml:space="preserve"> </w:t>
      </w:r>
      <m:oMath>
        <m:r>
          <m:rPr>
            <m:sty m:val="p"/>
          </m:rPr>
          <m:t>−</m:t>
        </m:r>
        <m:r>
          <m:t>80.64</m:t>
        </m:r>
      </m:oMath>
      <w:r>
        <w:rPr>
          <w:bCs/>
          <w:b/>
        </w:rPr>
        <w:t xml:space="preserve">, p =</w:t>
      </w:r>
      <w:r>
        <w:rPr>
          <w:bCs/>
          <w:b/>
        </w:rPr>
        <w:t xml:space="preserve"> </w:t>
      </w:r>
      <m:oMath>
        <m:r>
          <m:t>0</m:t>
        </m:r>
      </m:oMath>
      <w:r>
        <w:rPr>
          <w:bCs/>
          <w:b/>
        </w:rPr>
        <w:t xml:space="preserve">). When eliminating perceptual history as a predictor of individual choices, AIC increased by</w:t>
      </w:r>
      <w:r>
        <w:rPr>
          <w:bCs/>
          <w:b/>
        </w:rPr>
        <w:t xml:space="preserve"> </w:t>
      </w:r>
      <m:oMath>
        <m:sSub>
          <m:e>
            <m:r>
              <m:t>δ</m:t>
            </m:r>
          </m:e>
          <m:sub>
            <m:r>
              <m:t>A</m:t>
            </m:r>
            <m:r>
              <m:t>I</m:t>
            </m:r>
            <m:r>
              <m:t>C</m:t>
            </m:r>
          </m:sub>
        </m:sSub>
      </m:oMath>
      <w:r>
        <w:rPr>
          <w:bCs/>
          <w:b/>
        </w:rPr>
        <w:t xml:space="preserve"> </w:t>
      </w:r>
      <w:r>
        <w:rPr>
          <w:bCs/>
          <w:b/>
        </w:rPr>
        <w:t xml:space="preserve">= 1.48</w:t>
      </w:r>
      <w:r>
        <w:rPr>
          <w:bCs/>
          <w:b/>
        </w:rPr>
        <w:t xml:space="preserve">^{4}, arguing against the notion that choice randomness and general response bias are the only determinants of perceptual performance (see Supplemental Figure S4C-D for parameter- and model-level inference within individual mice).</w:t>
      </w:r>
    </w:p>
    <w:p>
      <w:pPr>
        <w:pStyle w:val="FirstParagraph"/>
      </w:pPr>
      <w:r>
        <w:t xml:space="preserve">Second, we analyzed dynamic changes in history- and stimulus-congruence (i.e., smoothed probabilities for stimulus-congruence, history-congruence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The section 5.4 or our original manuscript (</w:t>
      </w:r>
      <w:r>
        <w:rPr>
          <w:iCs/>
          <w:i/>
        </w:rPr>
        <w:t xml:space="preserve">Fluctuations between internal and external mode modulate perceptual performance beyond the effect of general response biases</w:t>
      </w:r>
      <w:r>
        <w:t xml:space="preserve">) complements these control analyses and has been moved to the supplement to stream-line the manuscript (following the Comment 12 by Reviewer 1 and Comment 9 by Reviewer 3). We have modified the main manuscript in the following way:</w:t>
      </w:r>
    </w:p>
    <w:p>
      <w:pPr>
        <w:pStyle w:val="BodyText"/>
      </w:pPr>
      <w:r>
        <w:t xml:space="preserve">Humans:</w:t>
      </w:r>
    </w:p>
    <w:p>
      <w:pPr>
        <w:numPr>
          <w:ilvl w:val="0"/>
          <w:numId w:val="1024"/>
        </w:numPr>
      </w:pPr>
      <w:r>
        <w:rPr>
          <w:bCs/>
          <w:b/>
        </w:rP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w:t>
      </w:r>
      <w:r>
        <w:rPr>
          <w:bCs/>
          <w:b/>
        </w:rPr>
        <w:t xml:space="preserve"> </w:t>
      </w:r>
      <m:oMath>
        <m:r>
          <m:t>β</m:t>
        </m:r>
      </m:oMath>
      <w:r>
        <w:rPr>
          <w:bCs/>
          <w:b/>
        </w:rPr>
        <w:t xml:space="preserve"> </w:t>
      </w:r>
      <w:r>
        <w:rPr>
          <w:bCs/>
          <w:b/>
        </w:rPr>
        <w:t xml:space="preserve">=</w:t>
      </w:r>
      <w:r>
        <w:rPr>
          <w:bCs/>
          <w:b/>
        </w:rPr>
        <w:t xml:space="preserve"> </w:t>
      </w:r>
      <m:oMath>
        <m:r>
          <m:rPr>
            <m:sty m:val="p"/>
          </m:rPr>
          <m:t>−</m:t>
        </m:r>
        <m:r>
          <m:t>0.05</m:t>
        </m:r>
      </m:oMath>
      <w:r>
        <w:rPr>
          <w:bCs/>
          <w:b/>
        </w:rPr>
        <w:t xml:space="preserve"> </w:t>
      </w:r>
      <w:r>
        <w:rPr>
          <w:bCs/>
          <w:b/>
        </w:rPr>
        <w:t xml:space="preserve">±</w:t>
      </w:r>
      <w:r>
        <w:rPr>
          <w:bCs/>
          <w:b/>
        </w:rPr>
        <w:t xml:space="preserve"> </w:t>
      </w:r>
      <m:oMath>
        <m:r>
          <m:t>5.63</m:t>
        </m:r>
        <m:r>
          <m:rPr>
            <m:sty m:val="p"/>
          </m:rPr>
          <m:t>×</m:t>
        </m:r>
        <m:sSup>
          <m:e>
            <m:r>
              <m:t>10</m:t>
            </m:r>
          </m:e>
          <m:sup>
            <m:r>
              <m:rPr>
                <m:sty m:val="p"/>
              </m:rPr>
              <m:t>−</m:t>
            </m:r>
            <m:r>
              <m:t>4</m:t>
            </m:r>
          </m:sup>
        </m:sSup>
      </m:oMath>
      <w:r>
        <w:rPr>
          <w:bCs/>
          <w:b/>
        </w:rPr>
        <w:t xml:space="preserve">, T(</w:t>
      </w:r>
      <m:oMath>
        <m:r>
          <m:t>2.1</m:t>
        </m:r>
        <m:r>
          <m:rPr>
            <m:sty m:val="p"/>
          </m:rPr>
          <m:t>×</m:t>
        </m:r>
        <m:sSup>
          <m:e>
            <m:r>
              <m:t>10</m:t>
            </m:r>
          </m:e>
          <m:sup>
            <m:r>
              <m:t>6</m:t>
            </m:r>
          </m:sup>
        </m:sSup>
      </m:oMath>
      <w:r>
        <w:rPr>
          <w:bCs/>
          <w:b/>
        </w:rPr>
        <w:t xml:space="preserve">) =</w:t>
      </w:r>
      <w:r>
        <w:rPr>
          <w:bCs/>
          <w:b/>
        </w:rPr>
        <w:t xml:space="preserve"> </w:t>
      </w:r>
      <m:oMath>
        <m:r>
          <m:rPr>
            <m:sty m:val="p"/>
          </m:rPr>
          <m:t>−</m:t>
        </m:r>
        <m:r>
          <m:t>84.21</m:t>
        </m:r>
      </m:oMath>
      <w:r>
        <w:rPr>
          <w:bCs/>
          <w:b/>
        </w:rPr>
        <w:t xml:space="preserve">, p =</w:t>
      </w:r>
      <w:r>
        <w:rPr>
          <w:bCs/>
          <w:b/>
        </w:rPr>
        <w:t xml:space="preserve"> </w:t>
      </w:r>
      <m:oMath>
        <m:r>
          <m:t>0</m:t>
        </m:r>
      </m:oMath>
      <w:r>
        <w:rPr>
          <w:bCs/>
          <w:b/>
        </w:rPr>
        <w:t xml:space="preserve">), controlling for fluctuations in the strength of general response biases (</w:t>
      </w:r>
      <m:oMath>
        <m:r>
          <m:t>β</m:t>
        </m:r>
      </m:oMath>
      <w:r>
        <w:rPr>
          <w:bCs/>
          <w:b/>
        </w:rPr>
        <w:t xml:space="preserve"> </w:t>
      </w:r>
      <w:r>
        <w:rPr>
          <w:bCs/>
          <w:b/>
        </w:rPr>
        <w:t xml:space="preserve">=</w:t>
      </w:r>
      <w:r>
        <w:rPr>
          <w:bCs/>
          <w:b/>
        </w:rPr>
        <w:t xml:space="preserve"> </w:t>
      </w:r>
      <m:oMath>
        <m:r>
          <m:rPr>
            <m:sty m:val="p"/>
          </m:rPr>
          <m:t>−</m:t>
        </m:r>
        <m:r>
          <m:t>0.06</m:t>
        </m:r>
      </m:oMath>
      <w:r>
        <w:rPr>
          <w:bCs/>
          <w:b/>
        </w:rPr>
        <w:t xml:space="preserve"> </w:t>
      </w:r>
      <w:r>
        <w:rPr>
          <w:bCs/>
          <w:b/>
        </w:rPr>
        <w:t xml:space="preserve">±</w:t>
      </w:r>
      <w:r>
        <w:rPr>
          <w:bCs/>
          <w:b/>
        </w:rPr>
        <w:t xml:space="preserve"> </w:t>
      </w:r>
      <m:oMath>
        <m:r>
          <m:t>5.82</m:t>
        </m:r>
        <m:r>
          <m:rPr>
            <m:sty m:val="p"/>
          </m:rPr>
          <m:t>×</m:t>
        </m:r>
        <m:sSup>
          <m:e>
            <m:r>
              <m:t>10</m:t>
            </m:r>
          </m:e>
          <m:sup>
            <m:r>
              <m:rPr>
                <m:sty m:val="p"/>
              </m:rPr>
              <m:t>−</m:t>
            </m:r>
            <m:r>
              <m:t>4</m:t>
            </m:r>
          </m:sup>
        </m:sSup>
      </m:oMath>
      <w:r>
        <w:rPr>
          <w:bCs/>
          <w:b/>
        </w:rPr>
        <w:t xml:space="preserve">, T(</w:t>
      </w:r>
      <m:oMath>
        <m:r>
          <m:t>2.1</m:t>
        </m:r>
        <m:r>
          <m:rPr>
            <m:sty m:val="p"/>
          </m:rPr>
          <m:t>×</m:t>
        </m:r>
        <m:sSup>
          <m:e>
            <m:r>
              <m:t>10</m:t>
            </m:r>
          </m:e>
          <m:sup>
            <m:r>
              <m:t>6</m:t>
            </m:r>
          </m:sup>
        </m:sSup>
      </m:oMath>
      <w:r>
        <w:rPr>
          <w:bCs/>
          <w:b/>
        </w:rPr>
        <w:t xml:space="preserve">) =</w:t>
      </w:r>
      <w:r>
        <w:rPr>
          <w:bCs/>
          <w:b/>
        </w:rPr>
        <w:t xml:space="preserve"> </w:t>
      </w:r>
      <m:oMath>
        <m:r>
          <m:rPr>
            <m:sty m:val="p"/>
          </m:rPr>
          <m:t>−</m:t>
        </m:r>
        <m:r>
          <m:t>103.51</m:t>
        </m:r>
      </m:oMath>
      <w:r>
        <w:rPr>
          <w:bCs/>
          <w:b/>
        </w:rPr>
        <w:t xml:space="preserve">, p =</w:t>
      </w:r>
      <w:r>
        <w:rPr>
          <w:bCs/>
          <w:b/>
        </w:rPr>
        <w:t xml:space="preserve"> </w:t>
      </w:r>
      <m:oMath>
        <m:r>
          <m:t>0</m:t>
        </m:r>
      </m:oMath>
      <w:r>
        <w:rPr>
          <w:bCs/>
          <w:b/>
        </w:rPr>
        <w:t xml:space="preserve">).</w:t>
      </w:r>
    </w:p>
    <w:p>
      <w:pPr>
        <w:numPr>
          <w:ilvl w:val="0"/>
          <w:numId w:val="1024"/>
        </w:numPr>
      </w:pPr>
      <w:r>
        <w:t xml:space="preserve">**(…) Likewise, eliminating the dynamic fluctuations in history-congruence as a predictor of fluctuations in stimulus-congruence yielded an increase in AIC by</w:t>
      </w:r>
      <w:r>
        <w:t xml:space="preserve"> </w:t>
      </w:r>
      <w:r>
        <w:t xml:space="preserve">_{AIC} + 7.06</w:t>
      </w:r>
      <w:r>
        <w:t xml:space="preserve">^{3}. These results provided model-level evidence against the null hypotheses that fluctuations in stimulus-congruence are driven exclusively by choice randomness or general response bias (see Supplemental Section 9.2 for an in-depth assessment of general response bias).**</w:t>
      </w:r>
    </w:p>
    <w:p>
      <w:pPr>
        <w:pStyle w:val="FirstParagraph"/>
      </w:pPr>
      <w:r>
        <w:t xml:space="preserve">Mice:</w:t>
      </w:r>
    </w:p>
    <w:p>
      <w:pPr>
        <w:numPr>
          <w:ilvl w:val="0"/>
          <w:numId w:val="1025"/>
        </w:numPr>
        <w:pStyle w:val="Compact"/>
      </w:pPr>
      <w:r>
        <w:t xml:space="preserve">**As in humans,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Eliminating the dynamic fluctuations in history-congruence as a predictor of fluctuations in stimulus-congruence resulted in an increase in AIC by</w:t>
      </w:r>
      <w:r>
        <w:t xml:space="preserve"> </w:t>
      </w:r>
      <w:r>
        <w:t xml:space="preserve">_{AIC} + 2.8</w:t>
      </w:r>
      <w:r>
        <w:t xml:space="preserve">^{4}. This confirmed that, in both humans and mice, perceptual performance is modulated by systematic fluctuations between externally- and internally-oriented modes of sensory processing that exist beyond general response bias (see Supplemental Section 9.2 for an in-depth assessment of general response bias).**</w:t>
      </w:r>
    </w:p>
    <w:p>
      <w:pPr>
        <w:pStyle w:val="FirstParagraph"/>
      </w:pPr>
      <w:r>
        <w:t xml:space="preserve">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w:t>
      </w:r>
      <w:r>
        <w:t xml:space="preserve"> </w:t>
      </w:r>
      <m:oMath>
        <m:r>
          <m:t>H</m:t>
        </m:r>
        <m:sSub>
          <m:e>
            <m:r>
              <m:t>0</m:t>
            </m:r>
          </m:e>
          <m:sub>
            <m:r>
              <m:t>1</m:t>
            </m:r>
          </m:sub>
        </m:sSub>
      </m:oMath>
      <w:r>
        <w:t xml:space="preserve"> </w:t>
      </w:r>
      <w:r>
        <w:t xml:space="preserve">and</w:t>
      </w:r>
      <w:r>
        <w:t xml:space="preserve"> </w:t>
      </w:r>
      <m:oMath>
        <m:r>
          <m:t>H</m:t>
        </m:r>
        <m:r>
          <m:t>1</m:t>
        </m:r>
      </m:oMath>
      <w:r>
        <w:t xml:space="preserve"> </w:t>
      </w:r>
      <w:r>
        <w:t xml:space="preserve">more explicit:</w:t>
      </w:r>
    </w:p>
    <w:p>
      <w:pPr>
        <w:pStyle w:val="BodyText"/>
      </w:pPr>
      <w:r>
        <w:t xml:space="preserve">Humans:</w:t>
      </w:r>
    </w:p>
    <w:p>
      <w:pPr>
        <w:numPr>
          <w:ilvl w:val="0"/>
          <w:numId w:val="1026"/>
        </w:numPr>
        <w:pStyle w:val="Compact"/>
      </w:pPr>
      <w:r>
        <w:rPr>
          <w:bCs/>
          <w:b/>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pPr>
        <w:pStyle w:val="FirstParagraph"/>
      </w:pPr>
      <w:r>
        <w:t xml:space="preserve">Mice:</w:t>
      </w:r>
    </w:p>
    <w:p>
      <w:pPr>
        <w:numPr>
          <w:ilvl w:val="0"/>
          <w:numId w:val="1027"/>
        </w:numPr>
        <w:pStyle w:val="Compact"/>
      </w:pPr>
      <w:r>
        <w:rPr>
          <w:bCs/>
          <w:b/>
        </w:rPr>
        <w:t xml:space="preserve">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bookmarkEnd w:id="170"/>
    <w:bookmarkStart w:id="171" w:name="comment-3-1"/>
    <w:p>
      <w:pPr>
        <w:pStyle w:val="Heading3"/>
      </w:pPr>
      <w:r>
        <w:t xml:space="preserve">Comment 3</w:t>
      </w:r>
    </w:p>
    <w:p>
      <w:pPr>
        <w:pStyle w:val="FirstParagraph"/>
      </w:pPr>
      <w:r>
        <w:rPr>
          <w:bCs/>
          <w:b/>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describe,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external mechanism prior biases would be impossible to overcome, and this would misfit the data. However, it would be important to a) actually show that the results cannot be explained by a single mechanism in which the anti-phase relationship is emergent rather than ad-hoc, b) relate the current framework with previous mechanistic considerations of serial choice biases.</w:t>
      </w:r>
    </w:p>
    <w:p>
      <w:pPr>
        <w:pStyle w:val="BodyText"/>
      </w:pPr>
      <w:r>
        <w:t xml:space="preserve">We would like to thank the reviewer for pointing this out. We agree that both normative Bayesian and mechanistic drift diffusion are bound to lead to anti-correlated effects of sensory information and perceptual history</w:t>
      </w:r>
      <w:r>
        <w:t xml:space="preserve"> </w:t>
      </w:r>
      <w:r>
        <w:rPr>
          <w:iCs/>
          <w:i/>
        </w:rPr>
        <w:t xml:space="preserve">at the level of individual trials</w:t>
      </w:r>
      <w:r>
        <w:t xml:space="preserve">. This, however, does not necessarily entail slow fluctuations in the impact of sensory information and perceptual history that evolve</w:t>
      </w:r>
      <w:r>
        <w:t xml:space="preserve"> </w:t>
      </w:r>
      <w:r>
        <w:rPr>
          <w:iCs/>
          <w:i/>
        </w:rPr>
        <w:t xml:space="preserve">over many consecutive trials</w:t>
      </w:r>
      <w: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discuss the ad-hoc nature of the bimodal inference model in the subsection</w:t>
      </w:r>
      <w:r>
        <w:t xml:space="preserve"> </w:t>
      </w:r>
      <w:r>
        <w:rPr>
          <w:iCs/>
          <w:i/>
        </w:rPr>
        <w:t xml:space="preserve">Limitations and open questions</w:t>
      </w:r>
      <w:r>
        <w:t xml:space="preserve">.</w:t>
      </w:r>
    </w:p>
    <w:p>
      <w:pPr>
        <w:numPr>
          <w:ilvl w:val="0"/>
          <w:numId w:val="1028"/>
        </w:numPr>
      </w:pPr>
      <w:r>
        <w:rPr>
          <w:bCs/>
          <w:b/>
        </w:rPr>
        <w:t xml:space="preserve">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t>
      </w:r>
      <w:r>
        <w:rPr>
          <w:bCs/>
          <w:b/>
        </w:rP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28"/>
        </w:numPr>
      </w:pPr>
      <w:r>
        <w:rPr>
          <w:bCs/>
          <w:b/>
        </w:rPr>
        <w:t xml:space="preserve">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 (Figure 1G).</w:t>
      </w:r>
    </w:p>
    <w:p>
      <w:pPr>
        <w:numPr>
          <w:ilvl w:val="0"/>
          <w:numId w:val="1028"/>
        </w:numPr>
      </w:pPr>
      <w:r>
        <w:rPr>
          <w:bCs/>
          <w:b/>
        </w:rPr>
        <w:t xml:space="preserve">The bimodal inference model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and was clearly superior to the normative Bayesian model of evidence accumulation (</w:t>
      </w:r>
      <m:oMath>
        <m:sSub>
          <m:e>
            <m:r>
              <m:t>δ</m:t>
            </m:r>
          </m:e>
          <m:sub>
            <m:r>
              <m:t>A</m:t>
            </m:r>
            <m:r>
              <m:t>I</m:t>
            </m:r>
            <m:r>
              <m:t>C</m:t>
            </m:r>
          </m:sub>
        </m:sSub>
      </m:oMath>
      <w:r>
        <w:rPr>
          <w:bCs/>
          <w:b/>
        </w:rPr>
        <w:t xml:space="preserve"> </w:t>
      </w:r>
      <w:r>
        <w:rPr>
          <w:bCs/>
          <w:b/>
        </w:rPr>
        <w:t xml:space="preserve">=</w:t>
      </w:r>
      <w:r>
        <w:rPr>
          <w:bCs/>
          <w:b/>
        </w:rPr>
        <w:t xml:space="preserve"> </w:t>
      </w:r>
      <m:oMath>
        <m:r>
          <m:rPr>
            <m:sty m:val="p"/>
          </m:rPr>
          <m:t>−</m:t>
        </m:r>
        <m:r>
          <m:t>5.08</m:t>
        </m:r>
        <m:r>
          <m:rPr>
            <m:sty m:val="p"/>
          </m:rPr>
          <m:t>×</m:t>
        </m:r>
        <m:sSup>
          <m:e>
            <m:r>
              <m:t>10</m:t>
            </m:r>
          </m:e>
          <m:sup>
            <m:r>
              <m:t>4</m:t>
            </m:r>
          </m:sup>
        </m:sSup>
      </m:oMath>
      <w:r>
        <w:rPr>
          <w:bCs/>
          <w:b/>
        </w:rPr>
        <w:t xml:space="preserve"> </w:t>
      </w:r>
      <w:r>
        <w:rPr>
          <w:bCs/>
          <w:b/>
        </w:rPr>
        <w:t xml:space="preserve">in humans and</w:t>
      </w:r>
      <w:r>
        <w:rPr>
          <w:bCs/>
          <w:b/>
        </w:rPr>
        <w:t xml:space="preserve"> </w:t>
      </w:r>
      <m:oMath>
        <m:r>
          <m:rPr>
            <m:sty m:val="p"/>
          </m:rPr>
          <m:t>−</m:t>
        </m:r>
        <m:r>
          <m:t>4.91</m:t>
        </m:r>
        <m:r>
          <m:rPr>
            <m:sty m:val="p"/>
          </m:rPr>
          <m:t>×</m:t>
        </m:r>
        <m:sSup>
          <m:e>
            <m:r>
              <m:t>10</m:t>
            </m:r>
          </m:e>
          <m:sup>
            <m:r>
              <m:t>4</m:t>
            </m:r>
          </m:sup>
        </m:sSup>
      </m:oMath>
      <w:r>
        <w:rPr>
          <w:bCs/>
          <w:b/>
        </w:rPr>
        <w:t xml:space="preserve"> </w:t>
      </w:r>
      <w:r>
        <w:rPr>
          <w:bCs/>
          <w:b/>
        </w:rPr>
        <w:t xml:space="preserve">in mice; Supplemental Figure S9).</w:t>
      </w:r>
    </w:p>
    <w:p>
      <w:pPr>
        <w:numPr>
          <w:ilvl w:val="0"/>
          <w:numId w:val="1028"/>
        </w:numPr>
      </w:pPr>
      <w:r>
        <w:rPr>
          <w:bCs/>
          <w:b/>
        </w:rPr>
        <w:t xml:space="preserve">In sum, computational modeling suggested that between-mode fluctuations are best explained by two interlinked processes (Figure 1E): (i), the dynamic accumulation of information across successive trials mandated by normative Bayesian models of evidence accumulation and, (ii), ongoing anti-phase oscillations in the impact of external and internal information.</w:t>
      </w:r>
    </w:p>
    <w:p>
      <w:pPr>
        <w:numPr>
          <w:ilvl w:val="0"/>
          <w:numId w:val="1028"/>
        </w:numPr>
      </w:pPr>
      <w:r>
        <w:rPr>
          <w:bCs/>
          <w:b/>
        </w:rP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bCs/>
          <w:b/>
        </w:rPr>
        <w:t xml:space="preserve">51</w:t>
      </w:r>
      <w:r>
        <w:rPr>
          <w:bCs/>
          <w:b/>
        </w:rPr>
        <w:t xml:space="preserve"> </w:t>
      </w:r>
      <w:r>
        <w:rPr>
          <w:bCs/>
          <w:b/>
        </w:rPr>
        <w:t xml:space="preserve">or the drift rate of evidence accumulation</w:t>
      </w:r>
      <w:r>
        <w:rPr>
          <w:vertAlign w:val="superscript"/>
          <w:bCs/>
          <w:b/>
        </w:rPr>
        <w:t xml:space="preserve">32</w:t>
      </w:r>
      <w:r>
        <w:rPr>
          <w:bCs/>
          <w:b/>
        </w:rP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bCs/>
          <w:b/>
        </w:rPr>
        <w:t xml:space="preserve">60</w:t>
      </w:r>
      <w:r>
        <w:rPr>
          <w:bCs/>
          <w:b/>
        </w:rPr>
        <w:t xml:space="preserve">, where the inverse of likelihood precision determines the amount of noise in the accumulation of new evidence, and prior precision determines the absolute shift in its starting point</w:t>
      </w:r>
      <w:r>
        <w:rPr>
          <w:vertAlign w:val="superscript"/>
          <w:bCs/>
          <w:b/>
        </w:rPr>
        <w:t xml:space="preserve">60</w:t>
      </w:r>
      <w:r>
        <w:rPr>
          <w:bCs/>
          <w:b/>
        </w:rPr>
        <w:t xml:space="preserve">.</w:t>
      </w:r>
    </w:p>
    <w:p>
      <w:pPr>
        <w:numPr>
          <w:ilvl w:val="0"/>
          <w:numId w:val="1028"/>
        </w:numPr>
      </w:pPr>
      <w:r>
        <w:rPr>
          <w:bCs/>
          <w:b/>
        </w:rPr>
        <w:t xml:space="preserve">While it is thus clear that the impact of perceptual history and sensory evidence are anti-correlated</w:t>
      </w:r>
      <w:r>
        <w:rPr>
          <w:bCs/>
          <w:b/>
        </w:rPr>
        <w:t xml:space="preserve"> </w:t>
      </w:r>
      <w:r>
        <w:rPr>
          <w:iCs/>
          <w:i/>
          <w:bCs/>
          <w:b/>
        </w:rPr>
        <w:t xml:space="preserve">at each individual trial</w:t>
      </w:r>
      <w:r>
        <w:rPr>
          <w:bCs/>
          <w:b/>
        </w:rPr>
        <w:t xml:space="preserve">, we here introduce anti-phase oscillations as an ad-hoc modification to model slow fluctuations in prior and likelihood precision that evolve</w:t>
      </w:r>
      <w:r>
        <w:rPr>
          <w:bCs/>
          <w:b/>
        </w:rPr>
        <w:t xml:space="preserve"> </w:t>
      </w:r>
      <w:r>
        <w:rPr>
          <w:iCs/>
          <w:i/>
          <w:bCs/>
          <w:b/>
        </w:rPr>
        <w:t xml:space="preserve">over many consecutive trials</w:t>
      </w:r>
      <w:r>
        <w:rPr>
          <w:bCs/>
          <w:b/>
        </w:rPr>
        <w:t xml:space="preserve"> </w:t>
      </w:r>
      <w:r>
        <w:rPr>
          <w:bCs/>
          <w:b/>
        </w:rP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numPr>
          <w:ilvl w:val="0"/>
          <w:numId w:val="1028"/>
        </w:numPr>
      </w:pPr>
      <w:r>
        <w:rPr>
          <w:bCs/>
          <w:b/>
        </w:rPr>
        <w:t xml:space="preserve">Of note, similar non-stationarities have been observed in descriptive models that assume continuous</w:t>
      </w:r>
      <w:r>
        <w:rPr>
          <w:vertAlign w:val="superscript"/>
          <w:bCs/>
          <w:b/>
        </w:rPr>
        <w:t xml:space="preserve">61</w:t>
      </w:r>
      <w:r>
        <w:rPr>
          <w:bCs/>
          <w:b/>
        </w:rPr>
        <w:t xml:space="preserve"> </w:t>
      </w:r>
      <w:r>
        <w:rPr>
          <w:bCs/>
          <w:b/>
        </w:rPr>
        <w:t xml:space="preserve">or discrete</w:t>
      </w:r>
      <w:r>
        <w:rPr>
          <w:vertAlign w:val="superscript"/>
          <w:bCs/>
          <w:b/>
        </w:rPr>
        <w:t xml:space="preserve">12</w:t>
      </w:r>
      <w:r>
        <w:rPr>
          <w:bCs/>
          <w:b/>
        </w:rPr>
        <w:t xml:space="preserve"> </w:t>
      </w:r>
      <w:r>
        <w:rPr>
          <w:bCs/>
          <w:b/>
        </w:rPr>
        <w:t xml:space="preserve">changes in the latent states that modulate perceptual decision-making at slow timescales. A recent computational study</w:t>
      </w:r>
      <w:r>
        <w:rPr>
          <w:vertAlign w:val="superscript"/>
          <w:bCs/>
          <w:b/>
        </w:rPr>
        <w:t xml:space="preserve">62</w:t>
      </w:r>
      <w:r>
        <w:rPr>
          <w:bCs/>
          <w:b/>
        </w:rPr>
        <w:t xml:space="preserve"> </w:t>
      </w:r>
      <w:r>
        <w:rPr>
          <w:bCs/>
          <w:b/>
        </w:rPr>
        <w:t xml:space="preserve">has used a Hidden Markov model to investigate perceptual decision-making in the IBL database</w:t>
      </w:r>
      <w:r>
        <w:rPr>
          <w:vertAlign w:val="superscript"/>
          <w:bCs/>
          <w:b/>
        </w:rPr>
        <w:t xml:space="preserve">21</w:t>
      </w:r>
      <w:r>
        <w:rPr>
          <w:bCs/>
          <w:b/>
        </w:rPr>
        <w:t xml:space="preserve">. In analogy to our findings, the authors observed that mice switch between temporally extended</w:t>
      </w:r>
      <w:r>
        <w:rPr>
          <w:bCs/>
          <w:b/>
        </w:rPr>
        <w:t xml:space="preserve"> </w:t>
      </w:r>
      <w:r>
        <w:rPr>
          <w:iCs/>
          <w:i/>
          <w:bCs/>
          <w:b/>
        </w:rPr>
        <w:t xml:space="preserve">strategies</w:t>
      </w:r>
      <w:r>
        <w:rPr>
          <w:bCs/>
          <w:b/>
        </w:rPr>
        <w:t xml:space="preserve"> </w:t>
      </w:r>
      <w:r>
        <w:rPr>
          <w:bCs/>
          <w:b/>
        </w:rPr>
        <w:t xml:space="preserve">that last for more than 100 trials: During</w:t>
      </w:r>
      <w:r>
        <w:rPr>
          <w:bCs/>
          <w:b/>
        </w:rPr>
        <w:t xml:space="preserve"> </w:t>
      </w:r>
      <w:r>
        <w:rPr>
          <w:iCs/>
          <w:i/>
          <w:bCs/>
          <w:b/>
        </w:rPr>
        <w:t xml:space="preserve">engaged</w:t>
      </w:r>
      <w:r>
        <w:rPr>
          <w:bCs/>
          <w:b/>
        </w:rPr>
        <w:t xml:space="preserve"> </w:t>
      </w:r>
      <w:r>
        <w:rPr>
          <w:bCs/>
          <w:b/>
        </w:rPr>
        <w:t xml:space="preserve">states, perception was highly sensitive to external sensory information. During</w:t>
      </w:r>
      <w:r>
        <w:rPr>
          <w:bCs/>
          <w:b/>
        </w:rPr>
        <w:t xml:space="preserve"> </w:t>
      </w:r>
      <w:r>
        <w:rPr>
          <w:iCs/>
          <w:i/>
          <w:bCs/>
          <w:b/>
        </w:rPr>
        <w:t xml:space="preserve">disengaged</w:t>
      </w:r>
      <w:r>
        <w:rPr>
          <w:bCs/>
          <w:b/>
        </w:rPr>
        <w:t xml:space="preserve"> </w:t>
      </w:r>
      <w:r>
        <w:rPr>
          <w:bCs/>
          <w:b/>
        </w:rPr>
        <w:t xml:space="preserve">states, in turn, choice behavior was prone to errors due to enhanced biases toward one of the two perceptual outcomes</w:t>
      </w:r>
      <w:r>
        <w:rPr>
          <w:vertAlign w:val="superscript"/>
          <w:bCs/>
          <w:b/>
        </w:rPr>
        <w:t xml:space="preserve">62</w:t>
      </w:r>
      <w:r>
        <w:rPr>
          <w:bCs/>
          <w:b/>
        </w:rPr>
        <w:t xml:space="preserve">. Despite the conceptual differences to our approach (discrete states in a Hidden Markov model that correspond to switches between distinct decision-making strategies</w:t>
      </w:r>
      <w:r>
        <w:rPr>
          <w:vertAlign w:val="superscript"/>
          <w:bCs/>
          <w:b/>
        </w:rPr>
        <w:t xml:space="preserve">62</w:t>
      </w:r>
      <w:r>
        <w:rPr>
          <w:bCs/>
          <w:b/>
        </w:rPr>
        <w:t xml:space="preserve"> </w:t>
      </w:r>
      <w:r>
        <w:rPr>
          <w:bCs/>
          <w:b/>
        </w:rPr>
        <w:t xml:space="preserve">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pPr>
        <w:numPr>
          <w:ilvl w:val="0"/>
          <w:numId w:val="1028"/>
        </w:numPr>
      </w:pPr>
      <w:r>
        <w:rPr>
          <w:bCs/>
          <w:b/>
        </w:rP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bCs/>
          <w:b/>
        </w:rPr>
        <w:t xml:space="preserve">51</w:t>
      </w:r>
      <w:r>
        <w:rPr>
          <w:bCs/>
          <w:b/>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vertAlign w:val="superscript"/>
          <w:bCs/>
          <w:b/>
        </w:rPr>
        <w:t xml:space="preserve">19</w:t>
      </w:r>
      <w:r>
        <w:rPr>
          <w:bCs/>
          <w:b/>
        </w:rPr>
        <w:t xml:space="preserve"> </w:t>
      </w:r>
      <w:r>
        <w:rPr>
          <w:bCs/>
          <w:b/>
        </w:rPr>
        <w:t xml:space="preserve">or discrete</w:t>
      </w:r>
      <w:r>
        <w:rPr>
          <w:vertAlign w:val="superscript"/>
          <w:bCs/>
          <w:b/>
        </w:rPr>
        <w:t xml:space="preserve">62</w:t>
      </w:r>
      <w:r>
        <w:rPr>
          <w:bCs/>
          <w:b/>
        </w:rPr>
        <w:t xml:space="preserve">,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bookmarkEnd w:id="171"/>
    <w:bookmarkStart w:id="172" w:name="comment-4-1"/>
    <w:p>
      <w:pPr>
        <w:pStyle w:val="Heading3"/>
      </w:pPr>
      <w:r>
        <w:t xml:space="preserve">Comment 4</w:t>
      </w:r>
    </w:p>
    <w:p>
      <w:pPr>
        <w:pStyle w:val="FirstParagraph"/>
      </w:pPr>
      <w:r>
        <w:rPr>
          <w:bCs/>
          <w:b/>
        </w:rPr>
        <w:t xml:space="preserve">The authors need to unpack their definition of history biases since in previous work biases due to the response or the identity of the stimulus at the previous trial are treated differently. Here, the authors focus on response biases but it is not clear whether they could examine also stimulus-driven history biases (in paradigms where stimulus-response is remapped on each trial).</w:t>
      </w:r>
    </w:p>
    <w:p>
      <w:pPr>
        <w:pStyle w:val="BodyText"/>
      </w:pPr>
      <w:r>
        <w:t xml:space="preserve">We would like to thank the reviewer for raising this important point. We defined the history-biases reported in our main manuscript by comparing the</w:t>
      </w:r>
      <w:r>
        <w:t xml:space="preserve"> </w:t>
      </w:r>
      <w:r>
        <w:rPr>
          <w:iCs/>
          <w:i/>
        </w:rPr>
        <w:t xml:space="preserve">response about the perceived</w:t>
      </w:r>
      <w:r>
        <w:t xml:space="preserve"> </w:t>
      </w:r>
      <w:r>
        <w:t xml:space="preserve">stimulus category (A vs. B) at the current and at the preceding trial (choice history). An alternative would have been to define history biases by comparing the choice at the current trial to the stimulus category</w:t>
      </w:r>
      <w:r>
        <w:t xml:space="preserve"> </w:t>
      </w:r>
      <w:r>
        <w:rPr>
          <w:iCs/>
          <w:i/>
        </w:rPr>
        <w:t xml:space="preserve">presented</w:t>
      </w:r>
      <w:r>
        <w:t xml:space="preserve"> </w:t>
      </w:r>
      <w:r>
        <w:t xml:space="preserve">at the preceding trial (stimulus history). As we show below, perceptual responses tended to be biased not only toward choice history, but also (but to a lesser degree) to stimulus history. This is expected, as perception was</w:t>
      </w:r>
      <w:r>
        <w:t xml:space="preserve"> </w:t>
      </w:r>
      <w:r>
        <w:rPr>
          <w:iCs/>
          <w:i/>
        </w:rPr>
        <w:t xml:space="preserve">stimulus-congruent</w:t>
      </w:r>
      <w:r>
        <w:t xml:space="preserve"> </w:t>
      </w:r>
      <w:r>
        <w:t xml:space="preserve">on approximately 75% of trials, causing the effects of the preceding response and the preceding stimulus to be highly correlated. We therefore compared the effects on choice history and stimulus history induced by trials at which perception was</w:t>
      </w:r>
      <w:r>
        <w:t xml:space="preserve"> </w:t>
      </w:r>
      <w:r>
        <w:rPr>
          <w:iCs/>
          <w:i/>
        </w:rPr>
        <w:t xml:space="preserve">stimulus-incongruent</w:t>
      </w:r>
      <w:r>
        <w:t xml:space="preserve">, since those trials lead to opposite predictions regarding the perceptual choice at the subsequent trial.</w:t>
      </w:r>
    </w:p>
    <w:p>
      <w:pPr>
        <w:pStyle w:val="BodyText"/>
      </w:pPr>
      <w:r>
        <w:t xml:space="preserve">As expected, perceptual choices were attracted toward perceptual choices at preceding stimulus-incongruent trials (i.e., a positive effect of choice history). By contrast, perceptual choices tended to be repelled away from the stimulus presented the preceding trial. This repulsion of choices away from stimuli presented at stimulus-incongruent trials confirms that the choices at stimulus-incongruent trials were the primary driver of serial effects in perception in both humans and mice.</w:t>
      </w:r>
    </w:p>
    <w:p>
      <w:pPr>
        <w:pStyle w:val="BodyText"/>
      </w:pPr>
      <w:r>
        <w:t xml:space="preserve">We now refer to our analysis on stimulus history as an additional confound, which we present in detail in the Supplement 9.1 of our manuscript:</w:t>
      </w:r>
    </w:p>
    <w:p>
      <w:pPr>
        <w:numPr>
          <w:ilvl w:val="0"/>
          <w:numId w:val="1029"/>
        </w:numPr>
        <w:pStyle w:val="Compact"/>
      </w:pPr>
      <w:r>
        <w:rPr>
          <w:bCs/>
          <w:b/>
        </w:rPr>
        <w:t xml:space="preserve">(…) These serial biases were effects of choice history, i.e., driven by the experiences reported at the preceding trial, and could not be attributed to stimulus history, i.e., to effects of the stimuli presented at the preceding trial (Supplemental Section 9.1).</w:t>
      </w:r>
    </w:p>
    <w:p>
      <w:pPr>
        <w:pStyle w:val="FirstParagraph"/>
      </w:pPr>
      <w:r>
        <w:t xml:space="preserve">Supplement:</w:t>
      </w:r>
    </w:p>
    <w:p>
      <w:pPr>
        <w:numPr>
          <w:ilvl w:val="0"/>
          <w:numId w:val="1030"/>
        </w:numPr>
      </w:pPr>
      <w:r>
        <w:rPr>
          <w:bCs/>
          <w:b/>
        </w:rPr>
        <w:t xml:space="preserve">The main manuscript reports the effects of perceptual history, which we defined as the impact of the choice at the preceding trial on the choice at the current trial (henceforth</w:t>
      </w:r>
      <w:r>
        <w:rPr>
          <w:bCs/>
          <w:b/>
        </w:rPr>
        <w:t xml:space="preserve"> </w:t>
      </w:r>
      <w:r>
        <w:rPr>
          <w:iCs/>
          <w:i/>
          <w:bCs/>
          <w:b/>
        </w:rPr>
        <w:t xml:space="preserve">choice history</w:t>
      </w:r>
      <w:r>
        <w:rPr>
          <w:bCs/>
          <w:b/>
        </w:rPr>
        <w:t xml:space="preserve">).</w:t>
      </w:r>
      <w:r>
        <w:rPr>
          <w:bCs/>
          <w:b/>
        </w:rPr>
        <w:t xml:space="preserve"> </w:t>
      </w:r>
      <w:r>
        <w:rPr>
          <w:iCs/>
          <w:i/>
          <w:bCs/>
          <w:b/>
        </w:rPr>
        <w:t xml:space="preserve">Stimulus history</w:t>
      </w:r>
      <w:r>
        <w:rPr>
          <w:bCs/>
          <w:b/>
        </w:rPr>
        <w:t xml:space="preserve">, which is defined as the impact of the stimulus presented at the preceding trial on the choice at the present trial, represents an alternative approach to this. Here, we compare the effects of choice history to the effects of stimulus history.</w:t>
      </w:r>
    </w:p>
    <w:p>
      <w:pPr>
        <w:numPr>
          <w:ilvl w:val="0"/>
          <w:numId w:val="1030"/>
        </w:numPr>
      </w:pPr>
      <w:r>
        <w:rPr>
          <w:bCs/>
          <w:b/>
        </w:rPr>
        <w:t xml:space="preserve">We observed a significant bias toward stimulus history (humans: 49.76% ± 0.1% of trials,</w:t>
      </w:r>
      <w:r>
        <w:rPr>
          <w:bCs/>
          <w:b/>
        </w:rPr>
        <w:t xml:space="preserve"> </w:t>
      </w:r>
      <m:oMath>
        <m:r>
          <m:t>β</m:t>
        </m:r>
      </m:oMath>
      <w:r>
        <w:rPr>
          <w:bCs/>
          <w:b/>
        </w:rPr>
        <w:t xml:space="preserve"> </w:t>
      </w:r>
      <w:r>
        <w:rPr>
          <w:bCs/>
          <w:b/>
        </w:rPr>
        <w:t xml:space="preserve">=</w:t>
      </w:r>
      <w:r>
        <w:rPr>
          <w:bCs/>
          <w:b/>
        </w:rPr>
        <w:t xml:space="preserve"> </w:t>
      </w:r>
      <m:oMath>
        <m:r>
          <m:t>1.26</m:t>
        </m:r>
      </m:oMath>
      <w:r>
        <w:rPr>
          <w:bCs/>
          <w:b/>
        </w:rPr>
        <w:t xml:space="preserve"> </w:t>
      </w:r>
      <w:r>
        <w:rPr>
          <w:bCs/>
          <w:b/>
        </w:rPr>
        <w:t xml:space="preserve">±</w:t>
      </w:r>
      <w:r>
        <w:rPr>
          <w:bCs/>
          <w:b/>
        </w:rPr>
        <w:t xml:space="preserve"> </w:t>
      </w:r>
      <m:oMath>
        <m:r>
          <m:t>0.94</m:t>
        </m:r>
      </m:oMath>
      <w:r>
        <w:rPr>
          <w:bCs/>
          <w:b/>
        </w:rPr>
        <w:t xml:space="preserve">, T(</w:t>
      </w:r>
      <m:oMath>
        <m:r>
          <m:t>373.62</m:t>
        </m:r>
      </m:oMath>
      <w:r>
        <w:rPr>
          <w:bCs/>
          <w:b/>
        </w:rPr>
        <w:t xml:space="preserve">) =</w:t>
      </w:r>
      <w:r>
        <w:rPr>
          <w:bCs/>
          <w:b/>
        </w:rPr>
        <w:t xml:space="preserve"> </w:t>
      </w:r>
      <m:oMath>
        <m:r>
          <m:t>1.34</m:t>
        </m:r>
      </m:oMath>
      <w:r>
        <w:rPr>
          <w:bCs/>
          <w:b/>
        </w:rPr>
        <w:t xml:space="preserve">, p =</w:t>
      </w:r>
      <w:r>
        <w:rPr>
          <w:bCs/>
          <w:b/>
        </w:rPr>
        <w:t xml:space="preserve"> </w:t>
      </w:r>
      <m:oMath>
        <m:r>
          <m:t>0.18</m:t>
        </m:r>
      </m:oMath>
      <w:r>
        <w:rPr>
          <w:bCs/>
          <w:b/>
        </w:rPr>
        <w:t xml:space="preserve">; mice: 51.11% ± 0.08% of trials, T(164) = 13.4, p =</w:t>
      </w:r>
      <w:r>
        <w:rPr>
          <w:bCs/>
          <w:b/>
        </w:rPr>
        <w:t xml:space="preserve"> </w:t>
      </w:r>
      <m:oMath>
        <m:r>
          <m:t>3.86</m:t>
        </m:r>
        <m:r>
          <m:rPr>
            <m:sty m:val="p"/>
          </m:rPr>
          <m:t>×</m:t>
        </m:r>
        <m:sSup>
          <m:e>
            <m:r>
              <m:t>10</m:t>
            </m:r>
          </m:e>
          <m:sup>
            <m:r>
              <m:rPr>
                <m:sty m:val="p"/>
              </m:rPr>
              <m:t>−</m:t>
            </m:r>
            <m:r>
              <m:t>28</m:t>
            </m:r>
          </m:sup>
        </m:sSup>
      </m:oMath>
      <w:r>
        <w:rPr>
          <w:bCs/>
          <w:b/>
        </w:rPr>
        <w:t xml:space="preserve">). The bias toward stimulus history was smaller than the bias toward choice history (humans:</w:t>
      </w:r>
      <w:r>
        <w:rPr>
          <w:bCs/>
          <w:b/>
        </w:rPr>
        <w:t xml:space="preserve"> </w:t>
      </w:r>
      <m:oMath>
        <m:r>
          <m:t>β</m:t>
        </m:r>
      </m:oMath>
      <w:r>
        <w:rPr>
          <w:bCs/>
          <w:b/>
        </w:rPr>
        <w:t xml:space="preserve"> </w:t>
      </w:r>
      <w:r>
        <w:rPr>
          <w:bCs/>
          <w:b/>
        </w:rPr>
        <w:t xml:space="preserve">=</w:t>
      </w:r>
      <w:r>
        <w:rPr>
          <w:bCs/>
          <w:b/>
        </w:rPr>
        <w:t xml:space="preserve"> </w:t>
      </w:r>
      <m:oMath>
        <m:r>
          <m:rPr>
            <m:sty m:val="p"/>
          </m:rPr>
          <m:t>−</m:t>
        </m:r>
        <m:r>
          <m:t>3.53</m:t>
        </m:r>
      </m:oMath>
      <w:r>
        <w:rPr>
          <w:bCs/>
          <w:b/>
        </w:rPr>
        <w:t xml:space="preserve"> </w:t>
      </w:r>
      <w:r>
        <w:rPr>
          <w:bCs/>
          <w:b/>
        </w:rPr>
        <w:t xml:space="preserve">±</w:t>
      </w:r>
      <w:r>
        <w:rPr>
          <w:bCs/>
          <w:b/>
        </w:rPr>
        <w:t xml:space="preserve"> </w:t>
      </w:r>
      <m:oMath>
        <m:r>
          <m:t>0.5</m:t>
        </m:r>
      </m:oMath>
      <w:r>
        <w:rPr>
          <w:bCs/>
          <w:b/>
        </w:rPr>
        <w:t xml:space="preserve">, T(</w:t>
      </w:r>
      <m:oMath>
        <m:r>
          <m:t>66.53</m:t>
        </m:r>
      </m:oMath>
      <w:r>
        <w:rPr>
          <w:bCs/>
          <w:b/>
        </w:rPr>
        <w:t xml:space="preserve">) =</w:t>
      </w:r>
      <w:r>
        <w:rPr>
          <w:bCs/>
          <w:b/>
        </w:rPr>
        <w:t xml:space="preserve"> </w:t>
      </w:r>
      <m:oMath>
        <m:r>
          <m:rPr>
            <m:sty m:val="p"/>
          </m:rPr>
          <m:t>−</m:t>
        </m:r>
        <m:r>
          <m:t>7.01</m:t>
        </m:r>
      </m:oMath>
      <w:r>
        <w:rPr>
          <w:bCs/>
          <w:b/>
        </w:rPr>
        <w:t xml:space="preserve">, p =</w:t>
      </w:r>
      <w:r>
        <w:rPr>
          <w:bCs/>
          <w:b/>
        </w:rPr>
        <w:t xml:space="preserve"> </w:t>
      </w:r>
      <m:oMath>
        <m:r>
          <m:t>1.48</m:t>
        </m:r>
        <m:r>
          <m:rPr>
            <m:sty m:val="p"/>
          </m:rPr>
          <m:t>×</m:t>
        </m:r>
        <m:sSup>
          <m:e>
            <m:r>
              <m:t>10</m:t>
            </m:r>
          </m:e>
          <m:sup>
            <m:r>
              <m:rPr>
                <m:sty m:val="p"/>
              </m:rPr>
              <m:t>−</m:t>
            </m:r>
            <m:r>
              <m:t>9</m:t>
            </m:r>
          </m:sup>
        </m:sSup>
      </m:oMath>
      <w:r>
        <w:rPr>
          <w:bCs/>
          <w:b/>
        </w:rPr>
        <w:t xml:space="preserve">; mice: T(164) = -17.21, p =</w:t>
      </w:r>
      <w:r>
        <w:rPr>
          <w:bCs/>
          <w:b/>
        </w:rPr>
        <w:t xml:space="preserve"> </w:t>
      </w:r>
      <m:oMath>
        <m:r>
          <m:t>1.43</m:t>
        </m:r>
        <m:r>
          <m:rPr>
            <m:sty m:val="p"/>
          </m:rPr>
          <m:t>×</m:t>
        </m:r>
        <m:sSup>
          <m:e>
            <m:r>
              <m:t>10</m:t>
            </m:r>
          </m:e>
          <m:sup>
            <m:r>
              <m:rPr>
                <m:sty m:val="p"/>
              </m:rPr>
              <m:t>−</m:t>
            </m:r>
            <m:r>
              <m:t>38</m:t>
            </m:r>
          </m:sup>
        </m:sSup>
      </m:oMath>
      <w:r>
        <w:rPr>
          <w:bCs/>
          <w:b/>
        </w:rPr>
        <w:t xml:space="preserve">).</w:t>
      </w:r>
    </w:p>
    <w:p>
      <w:pPr>
        <w:numPr>
          <w:ilvl w:val="0"/>
          <w:numId w:val="1030"/>
        </w:numPr>
      </w:pPr>
      <w:r>
        <w:rPr>
          <w:bCs/>
          <w:b/>
        </w:rPr>
        <w:t xml:space="preserve">The attraction of choices toward both preceding choices and stimuli is expected, as perception was</w:t>
      </w:r>
      <w:r>
        <w:rPr>
          <w:bCs/>
          <w:b/>
        </w:rPr>
        <w:t xml:space="preserve"> </w:t>
      </w:r>
      <w:r>
        <w:rPr>
          <w:iCs/>
          <w:i/>
          <w:bCs/>
          <w:b/>
        </w:rPr>
        <w:t xml:space="preserve">stimulus-congruent</w:t>
      </w:r>
      <w:r>
        <w:rPr>
          <w:bCs/>
          <w:b/>
        </w:rPr>
        <w:t xml:space="preserve"> </w:t>
      </w:r>
      <w:r>
        <w:rPr>
          <w:bCs/>
          <w:b/>
        </w:rPr>
        <w:t xml:space="preserve">on approximately 75% of trials, causing choices and stimuli to be highly correlated. We therefore compared the effects of choice history and stimulus history after</w:t>
      </w:r>
      <w:r>
        <w:rPr>
          <w:bCs/>
          <w:b/>
        </w:rPr>
        <w:t xml:space="preserve"> </w:t>
      </w:r>
      <w:r>
        <w:rPr>
          <w:iCs/>
          <w:i/>
          <w:bCs/>
          <w:b/>
        </w:rPr>
        <w:t xml:space="preserve">stimulus-incongruent</w:t>
      </w:r>
      <w:r>
        <w:rPr>
          <w:bCs/>
          <w:b/>
        </w:rPr>
        <w:t xml:space="preserve"> </w:t>
      </w:r>
      <w:r>
        <w:rPr>
          <w:bCs/>
          <w:b/>
        </w:rPr>
        <w:t xml:space="preserve">(i.e.,</w:t>
      </w:r>
      <w:r>
        <w:rPr>
          <w:bCs/>
          <w:b/>
        </w:rPr>
        <w:t xml:space="preserve"> </w:t>
      </w:r>
      <w:r>
        <w:rPr>
          <w:iCs/>
          <w:i/>
          <w:bCs/>
          <w:b/>
        </w:rPr>
        <w:t xml:space="preserve">error</w:t>
      </w:r>
      <w:r>
        <w:rPr>
          <w:bCs/>
          <w:b/>
        </w:rPr>
        <w:t xml:space="preserve">) trials, since those trials lead to opposite predictions regarding the perceptual choice at the subsequent trial.</w:t>
      </w:r>
    </w:p>
    <w:p>
      <w:pPr>
        <w:numPr>
          <w:ilvl w:val="0"/>
          <w:numId w:val="1030"/>
        </w:numPr>
      </w:pPr>
      <w:r>
        <w:rPr>
          <w:bCs/>
          <w:b/>
        </w:rPr>
        <w:t xml:space="preserve">As expected from the findings presented in the main manuscript, perceptual choices were attracted toward perceptual choices when the inducing trial was stimulus-incongruent (i.e., a positive effect of choice history; humans:</w:t>
      </w:r>
      <w:r>
        <w:rPr>
          <w:bCs/>
          <w:b/>
        </w:rPr>
        <w:t xml:space="preserve"> </w:t>
      </w:r>
      <m:oMath>
        <m:r>
          <m:t>β</m:t>
        </m:r>
      </m:oMath>
      <w:r>
        <w:rPr>
          <w:bCs/>
          <w:b/>
        </w:rPr>
        <w:t xml:space="preserve"> </w:t>
      </w:r>
      <w:r>
        <w:rPr>
          <w:bCs/>
          <w:b/>
        </w:rPr>
        <w:t xml:space="preserve">=</w:t>
      </w:r>
      <w:r>
        <w:rPr>
          <w:bCs/>
          <w:b/>
        </w:rPr>
        <w:t xml:space="preserve"> </w:t>
      </w:r>
      <m:oMath>
        <m:r>
          <m:t>0.19</m:t>
        </m:r>
      </m:oMath>
      <w:r>
        <w:rPr>
          <w:bCs/>
          <w:b/>
        </w:rPr>
        <w:t xml:space="preserve"> </w:t>
      </w:r>
      <w:r>
        <w:rPr>
          <w:bCs/>
          <w:b/>
        </w:rPr>
        <w:t xml:space="preserve">±</w:t>
      </w:r>
      <w:r>
        <w:rPr>
          <w:bCs/>
          <w:b/>
        </w:rPr>
        <w:t xml:space="preserve"> </w:t>
      </w:r>
      <m:oMath>
        <m:r>
          <m:t>1.4</m:t>
        </m:r>
        <m:r>
          <m:rPr>
            <m:sty m:val="p"/>
          </m:rPr>
          <m:t>×</m:t>
        </m:r>
        <m:sSup>
          <m:e>
            <m:r>
              <m:t>10</m:t>
            </m:r>
          </m:e>
          <m:sup>
            <m:r>
              <m:rPr>
                <m:sty m:val="p"/>
              </m:rPr>
              <m:t>−</m:t>
            </m:r>
            <m:r>
              <m:t>4</m:t>
            </m:r>
          </m:sup>
        </m:sSup>
      </m:oMath>
      <w:r>
        <w:rPr>
          <w:bCs/>
          <w:b/>
        </w:rPr>
        <w:t xml:space="preserve">, z =</w:t>
      </w:r>
      <w:r>
        <w:rPr>
          <w:bCs/>
          <w:b/>
        </w:rPr>
        <w:t xml:space="preserve"> </w:t>
      </w:r>
      <m:oMath>
        <m:r>
          <m:t>1.36</m:t>
        </m:r>
        <m:r>
          <m:rPr>
            <m:sty m:val="p"/>
          </m:rPr>
          <m:t>×</m:t>
        </m:r>
        <m:sSup>
          <m:e>
            <m:r>
              <m:t>10</m:t>
            </m:r>
          </m:e>
          <m:sup>
            <m:r>
              <m:t>3</m:t>
            </m:r>
          </m:sup>
        </m:sSup>
      </m:oMath>
      <w:r>
        <w:rPr>
          <w:bCs/>
          <w:b/>
        </w:rPr>
        <w:t xml:space="preserve">, p =</w:t>
      </w:r>
      <w:r>
        <w:rPr>
          <w:bCs/>
          <w:b/>
        </w:rPr>
        <w:t xml:space="preserve"> </w:t>
      </w:r>
      <m:oMath>
        <m:r>
          <m:t>0</m:t>
        </m:r>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t>88.82</m:t>
        </m:r>
      </m:oMath>
      <w:r>
        <w:rPr>
          <w:bCs/>
          <w:b/>
        </w:rPr>
        <w:t xml:space="preserve">, p =</w:t>
      </w:r>
      <w:r>
        <w:rPr>
          <w:bCs/>
          <w:b/>
        </w:rPr>
        <w:t xml:space="preserve"> </w:t>
      </w:r>
      <m:oMath>
        <m:r>
          <m:t>0</m:t>
        </m:r>
      </m:oMath>
      <w:r>
        <w:rPr>
          <w:bCs/>
          <w:b/>
        </w:rPr>
        <w:t xml:space="preserve">). By contrast, perceptual choices tended to be repelled away from the stimulus presented at preceding stimulus-incongruent trial (i.e., a negative effect of stimulus history; humans:</w:t>
      </w:r>
      <w:r>
        <w:rPr>
          <w:bCs/>
          <w:b/>
        </w:rPr>
        <w:t xml:space="preserve"> </w:t>
      </w:r>
      <m:oMath>
        <m:r>
          <m:t>β</m:t>
        </m:r>
      </m:oMath>
      <w:r>
        <w:rPr>
          <w:bCs/>
          <w:b/>
        </w:rPr>
        <w:t xml:space="preserve"> </w:t>
      </w:r>
      <w:r>
        <w:rPr>
          <w:bCs/>
          <w:b/>
        </w:rPr>
        <w:t xml:space="preserve">=</w:t>
      </w:r>
      <w:r>
        <w:rPr>
          <w:bCs/>
          <w:b/>
        </w:rPr>
        <w:t xml:space="preserve"> </w:t>
      </w:r>
      <m:oMath>
        <m:r>
          <m:rPr>
            <m:sty m:val="p"/>
          </m:rPr>
          <m:t>−</m:t>
        </m:r>
        <m:r>
          <m:t>0.19</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16.47</m:t>
        </m:r>
      </m:oMath>
      <w:r>
        <w:rPr>
          <w:bCs/>
          <w:b/>
        </w:rPr>
        <w:t xml:space="preserve">, p =</w:t>
      </w:r>
      <w:r>
        <w:rPr>
          <w:bCs/>
          <w:b/>
        </w:rPr>
        <w:t xml:space="preserve"> </w:t>
      </w:r>
      <m:oMath>
        <m:r>
          <m:t>5.99</m:t>
        </m:r>
        <m:r>
          <m:rPr>
            <m:sty m:val="p"/>
          </m:rPr>
          <m:t>×</m:t>
        </m:r>
        <m:sSup>
          <m:e>
            <m:r>
              <m:t>10</m:t>
            </m:r>
          </m:e>
          <m:sup>
            <m:r>
              <m:rPr>
                <m:sty m:val="p"/>
              </m:rPr>
              <m:t>−</m:t>
            </m:r>
            <m:r>
              <m:t>61</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88.76</m:t>
        </m:r>
      </m:oMath>
      <w:r>
        <w:rPr>
          <w:bCs/>
          <w:b/>
        </w:rPr>
        <w:t xml:space="preserve">, p =</w:t>
      </w:r>
      <w:r>
        <w:rPr>
          <w:bCs/>
          <w:b/>
        </w:rPr>
        <w:t xml:space="preserve"> </w:t>
      </w:r>
      <m:oMath>
        <m:r>
          <m:t>0</m:t>
        </m:r>
      </m:oMath>
      <w:r>
        <w:rPr>
          <w:bCs/>
          <w:b/>
        </w:rPr>
        <w:t xml:space="preserve">). This repulsion of choices away from stimuli presented at stimulus-incongruent trials confirmed that choices (which are anti-correlated to stimuli at stimulus-incongruent trials) were the primary driver of attracting serial effects in perception.</w:t>
      </w:r>
    </w:p>
    <w:p>
      <w:pPr>
        <w:numPr>
          <w:ilvl w:val="0"/>
          <w:numId w:val="1030"/>
        </w:numPr>
      </w:pPr>
      <w:r>
        <w:rPr>
          <w:bCs/>
          <w:b/>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rPr>
          <w:bCs/>
          <w:b/>
        </w:rPr>
        <w:t xml:space="preserve"> </w:t>
      </w:r>
      <w:r>
        <w:rPr>
          <w:iCs/>
          <w:i/>
          <w:bCs/>
          <w:b/>
        </w:rPr>
        <w:t xml:space="preserve">action-kernel</w:t>
      </w:r>
      <w:r>
        <w:rPr>
          <w:bCs/>
          <w:b/>
        </w:rPr>
        <w:t xml:space="preserve"> </w:t>
      </w:r>
      <w:r>
        <w:rPr>
          <w:bCs/>
          <w:b/>
        </w:rPr>
        <w:t xml:space="preserve">as opposed to a</w:t>
      </w:r>
      <w:r>
        <w:rPr>
          <w:bCs/>
          <w:b/>
        </w:rPr>
        <w:t xml:space="preserve"> </w:t>
      </w:r>
      <w:r>
        <w:rPr>
          <w:iCs/>
          <w:i/>
          <w:bCs/>
          <w:b/>
        </w:rPr>
        <w:t xml:space="preserve">stimulus-kernel</w:t>
      </w:r>
      <w:r>
        <w:rPr>
          <w:bCs/>
          <w:b/>
        </w:rPr>
        <w:t xml:space="preserve"> </w:t>
      </w:r>
      <w:r>
        <w:rPr>
          <w:bCs/>
          <w:b/>
        </w:rPr>
        <w:t xml:space="preserve">model when integrating information across trials</w:t>
      </w:r>
      <w:r>
        <w:rPr>
          <w:vertAlign w:val="superscript"/>
          <w:bCs/>
          <w:b/>
        </w:rPr>
        <w:t xml:space="preserve">81</w:t>
      </w:r>
      <w:r>
        <w:rPr>
          <w:bCs/>
          <w:b/>
        </w:rPr>
        <w:t xml:space="preserve">.</w:t>
      </w:r>
    </w:p>
    <w:bookmarkEnd w:id="172"/>
    <w:bookmarkStart w:id="176" w:name="comment-5-1"/>
    <w:p>
      <w:pPr>
        <w:pStyle w:val="Heading3"/>
      </w:pPr>
      <w:r>
        <w:t xml:space="preserve">Comment 5</w:t>
      </w:r>
    </w:p>
    <w:p>
      <w:pPr>
        <w:pStyle w:val="FirstParagraph"/>
      </w:pPr>
      <w:r>
        <w:rPr>
          <w:bCs/>
          <w:b/>
        </w:rPr>
        <w:t xml:space="preserve">Previous work, which the authors acknowledges in their Discussion (6.5), distinguishes repetitive history biases from alternating biases. For instance, in Braun, Urai &amp; Donner (2018, JoN) participants are split into repetitive or alternating. Shouldn’t the authors define the history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pPr>
        <w:pStyle w:val="BodyText"/>
      </w:pPr>
      <w:r>
        <w:t xml:space="preserve">We would like to thank the reviewer for raising this important point. Our empirical results show that, on average, history biases tend to be repetitive (Figure 2A, Figure 3A, and the biases in the psychometric functions in the Supplemental Figure S6-7). In fact, only 2 of the 66 experiments we included from the Confidence database</w:t>
      </w:r>
      <w:r>
        <w:rPr>
          <w:vertAlign w:val="superscript"/>
        </w:rPr>
        <w:t xml:space="preserve">20</w:t>
      </w:r>
      <w:r>
        <w:t xml:space="preserve"> </w:t>
      </w:r>
      <w:r>
        <w:t xml:space="preserve">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pPr>
        <w:pStyle w:val="BodyText"/>
      </w:pPr>
      <w:r>
        <w:t xml:space="preserve">Importantly, our central finding of autocorrelation in history-congruence does not distinguish between alternating and repetitive history biases. In the plot below, we show autocorrelation curves for fluctuations history-congruence for both alternation (hazard = 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biases, but accommodates alternating biases as well (which seem to be, on average and in our data, less frequent). We therefore did not separate alternating from repeating biases in our analysis of mode.</w:t>
      </w:r>
    </w:p>
    <w:p>
      <w:pPr>
        <w:pStyle w:val="BodyText"/>
      </w:pPr>
      <w:r>
        <w:t xml:space="preserve">We apologize for not having recognized this aspect in the previous version of the discussion. We have rewritten the paragraph on alternating and repeating biases in the discussion, referring to the plot below, which we have added to the Supplemental Materials.</w:t>
      </w:r>
    </w:p>
    <w:p>
      <w:pPr>
        <w:numPr>
          <w:ilvl w:val="0"/>
          <w:numId w:val="1031"/>
        </w:numPr>
        <w:pStyle w:val="Compact"/>
      </w:pPr>
      <w:r>
        <w:rPr>
          <w:bCs/>
          <w:b/>
        </w:rP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bCs/>
          <w:b/>
        </w:rPr>
        <w:t xml:space="preserve">27,75,76</w:t>
      </w:r>
      <w:r>
        <w:rPr>
          <w:bCs/>
          <w:b/>
        </w:rPr>
        <w:t xml:space="preserve">: Short-term attraction may serve the decoding of noisy sensory inputs and increase the stability of perception, whereas long-term repulsion may enable efficient encoding and sensitivity to change</w:t>
      </w:r>
      <w:r>
        <w:rPr>
          <w:vertAlign w:val="superscript"/>
          <w:bCs/>
          <w:b/>
        </w:rPr>
        <w:t xml:space="preserve">27</w:t>
      </w:r>
      <w:r>
        <w:rPr>
          <w:bCs/>
          <w:b/>
        </w:rPr>
        <w:t xml:space="preserve">. In the data analyzed here, history biases tended to be repetitive (Figure 2A, Figure 3A, Supplemental Figure S6 and S7), as only 2 of the 66 experiments of the Confidence database</w:t>
      </w:r>
      <w:r>
        <w:rPr>
          <w:vertAlign w:val="superscript"/>
          <w:bCs/>
          <w:b/>
        </w:rPr>
        <w:t xml:space="preserve">20</w:t>
      </w:r>
      <w:r>
        <w:rPr>
          <w:bCs/>
          <w:b/>
        </w:rPr>
        <w:t xml:space="preserve"> </w:t>
      </w:r>
      <w:r>
        <w:rPr>
          <w:bCs/>
          <w:b/>
        </w:rP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bCs/>
          <w:b/>
        </w:rPr>
        <w:t xml:space="preserve">27</w:t>
      </w:r>
      <w:r>
        <w:rPr>
          <w:bCs/>
          <w:b/>
        </w:rPr>
        <w:t xml:space="preserve">.</w:t>
      </w:r>
    </w:p>
    <w:p>
      <w:pPr>
        <w:pStyle w:val="FirstParagraph"/>
      </w:pPr>
      <w:r>
        <w:rPr>
          <w:bCs/>
          <w:b/>
        </w:rPr>
        <w:t xml:space="preserve">Supplemental Figure S14</w:t>
      </w:r>
      <w:r>
        <w:t xml:space="preserve"> </w:t>
      </w:r>
      <w:r>
        <w:drawing>
          <wp:inline>
            <wp:extent cx="4620126" cy="3696101"/>
            <wp:effectExtent b="0" l="0" r="0" t="0"/>
            <wp:docPr descr="" title="" id="174" name="Picture"/>
            <a:graphic>
              <a:graphicData uri="http://schemas.openxmlformats.org/drawingml/2006/picture">
                <pic:pic>
                  <pic:nvPicPr>
                    <pic:cNvPr descr="modes_mouse_rev1b_files/figure-docx/Supplemental_Figure_S14_print-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2"/>
        </w:numPr>
        <w:pStyle w:val="Compact"/>
      </w:pPr>
      <w:r>
        <w:rPr>
          <w:bCs/>
          <w:b/>
        </w:rPr>
        <w:t xml:space="preserve">Supplemental Figure S14. Autocorrelation of history-congruence of alternating and repeating biases. Here, we simulate the autocorrelation of history-congruence in 10^{3}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bookmarkEnd w:id="176"/>
    <w:bookmarkStart w:id="178" w:name="comment-6-1"/>
    <w:p>
      <w:pPr>
        <w:pStyle w:val="Heading3"/>
      </w:pPr>
      <w:r>
        <w:t xml:space="preserve">Comment 6</w:t>
      </w:r>
    </w:p>
    <w:p>
      <w:pPr>
        <w:pStyle w:val="FirstParagraph"/>
      </w:pPr>
      <w:r>
        <w:rPr>
          <w:bCs/>
          <w:b/>
        </w:rPr>
        <w:t xml:space="preserve">The arousal hypothesis seems to be ruled out too easily, merely in the presence of a non-monotonic</w:t>
      </w:r>
      <w:r>
        <w:rPr>
          <w:bCs/>
          <w:b/>
        </w:rPr>
        <w:t xml:space="preserve"> </w:t>
      </w:r>
      <w:r>
        <w:rPr>
          <w:bCs/>
          <w:b/>
        </w:rPr>
        <w:t xml:space="preserve">“</w:t>
      </w:r>
      <w:r>
        <w:rPr>
          <w:bCs/>
          <w:b/>
        </w:rPr>
        <w:t xml:space="preserve">state</w:t>
      </w:r>
      <w:r>
        <w:rPr>
          <w:bCs/>
          <w:b/>
        </w:rPr>
        <w:t xml:space="preserve">”</w:t>
      </w:r>
      <w:r>
        <w:rPr>
          <w:bCs/>
          <w:b/>
        </w:rPr>
        <w:t xml:space="preserve"> </w:t>
      </w:r>
      <w:r>
        <w:rPr>
          <w:bCs/>
          <w:b/>
        </w:rPr>
        <w:t xml:space="preserve">vs. RT pattern. Arousal can have an inverted U-shaped effect on behavioral performance and recent paper has demonstrated a non-monotonic effect of tonic arousal (baseline pupil) on RTs and accuracy (</w:t>
      </w:r>
      <w:hyperlink r:id="rId177">
        <w:r>
          <w:rPr>
            <w:rStyle w:val="Hyperlink"/>
            <w:bCs/>
            <w:b/>
          </w:rPr>
          <w:t xml:space="preserve">https://www.biorxiv.org/content/10.1101/2023.07.28.550956.abstract</w:t>
        </w:r>
      </w:hyperlink>
      <w:r>
        <w:rPr>
          <w:bCs/>
          <w:b/>
        </w:rPr>
        <w:t xml:space="preserve">). More generally, the RT and confidence analyses need to be complemented, perhaps by computational modeling using sequential sampling models, as these behavioral metrics have multiple mechanistic mappings (e.g., a fast RT might correspond to high SNR or an impulsive decisions driven by a starting point bias).</w:t>
      </w:r>
    </w:p>
    <w:p>
      <w:pPr>
        <w:pStyle w:val="BodyText"/>
      </w:pPr>
      <w:r>
        <w:t xml:space="preserve">We would like to thank the reviewer for this important point. Considering this Comment and the Comment 3 by Reviewer 1, we realize that the quadratic relationships between mode and RTs/confidence do not represent a convincing defensive analysis against the potential 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pPr>
        <w:pStyle w:val="BodyText"/>
      </w:pPr>
      <w:r>
        <w:t xml:space="preserve">Therefore, as a first response to this comment, we have re-phrased our assessment of RT and confidence in the following way:</w:t>
      </w:r>
    </w:p>
    <w:p>
      <w:pPr>
        <w:pStyle w:val="BodyText"/>
      </w:pPr>
      <w:r>
        <w:t xml:space="preserve">Humans:</w:t>
      </w:r>
    </w:p>
    <w:p>
      <w:pPr>
        <w:numPr>
          <w:ilvl w:val="0"/>
          <w:numId w:val="1033"/>
        </w:numPr>
      </w:pPr>
      <w:r>
        <w:rPr>
          <w:bCs/>
          <w:b/>
        </w:rPr>
        <w:t xml:space="preserve">The above results point to systematic fluctuations in the</w:t>
      </w:r>
      <w:r>
        <w:rPr>
          <w:bCs/>
          <w:b/>
        </w:rPr>
        <w:t xml:space="preserve"> </w:t>
      </w:r>
      <w:r>
        <w:rPr>
          <w:iCs/>
          <w:i/>
          <w:bCs/>
          <w:b/>
        </w:rPr>
        <w:t xml:space="preserve">decision variable</w:t>
      </w:r>
      <w:r>
        <w:rPr>
          <w:vertAlign w:val="superscript"/>
          <w:bCs/>
          <w:b/>
        </w:rPr>
        <w:t xml:space="preserve">44</w:t>
      </w:r>
      <w:r>
        <w:rPr>
          <w:bCs/>
          <w:b/>
        </w:rPr>
        <w:t xml:space="preserve"> </w:t>
      </w:r>
      <w:r>
        <w:rPr>
          <w:bCs/>
          <w:b/>
        </w:rP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bCs/>
          <w:b/>
        </w:rPr>
        <w:t xml:space="preserve">44</w:t>
      </w:r>
      <w:r>
        <w:rPr>
          <w:bCs/>
          <w:b/>
        </w:rPr>
        <w:t xml:space="preserve">. To test this hypothesis with respect to motor behavior and metacognition, we asked how bimodal inference relates to response times (RTs) and confidence reports. (…).</w:t>
      </w:r>
      <w:r>
        <w:rPr>
          <w:bCs/>
          <w:b/>
        </w:rPr>
        <w:t xml:space="preserve"> </w:t>
      </w:r>
    </w:p>
    <w:p>
      <w:pPr>
        <w:numPr>
          <w:ilvl w:val="0"/>
          <w:numId w:val="1033"/>
        </w:numPr>
      </w:pPr>
      <w:r>
        <w:rPr>
          <w:bCs/>
          <w:b/>
        </w:rP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bCs/>
          <w:b/>
        </w:rPr>
        <w:t xml:space="preserve">46,47</w:t>
      </w:r>
      <w:r>
        <w:rPr>
          <w:bCs/>
          <w:b/>
        </w:rPr>
        <w:t xml:space="preserve">. Such low-level processing may thus integrate perceptual history with external inputs into a decision variable</w:t>
      </w:r>
      <w:r>
        <w:rPr>
          <w:vertAlign w:val="superscript"/>
          <w:bCs/>
          <w:b/>
        </w:rPr>
        <w:t xml:space="preserve">44</w:t>
      </w:r>
      <w:r>
        <w:rPr>
          <w:bCs/>
          <w:b/>
        </w:rPr>
        <w:t xml:space="preserve"> </w:t>
      </w:r>
      <w:r>
        <w:rPr>
          <w:bCs/>
          <w:b/>
        </w:rPr>
        <w:t xml:space="preserve">that influences not only perceptual choices, but also the speed and confidence at which they are made.</w:t>
      </w:r>
    </w:p>
    <w:p>
      <w:pPr>
        <w:numPr>
          <w:ilvl w:val="0"/>
          <w:numId w:val="1033"/>
        </w:numPr>
      </w:pPr>
      <w:r>
        <w:rPr>
          <w:bCs/>
          <w:b/>
        </w:rP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FirstParagraph"/>
      </w:pPr>
      <w:r>
        <w:t xml:space="preserve">Mice:</w:t>
      </w:r>
    </w:p>
    <w:p>
      <w:pPr>
        <w:numPr>
          <w:ilvl w:val="0"/>
          <w:numId w:val="1034"/>
        </w:numPr>
        <w:pStyle w:val="Compact"/>
      </w:pPr>
      <w:r>
        <w:rPr>
          <w:bCs/>
          <w:b/>
        </w:rPr>
        <w:t xml:space="preserve">The above results confirm that fluctuations between internally- and externally-biased modes generalize to perceptual decision-making in mice. As in humans, we hypothesized that bimodal inference modulates the decision variable</w:t>
      </w:r>
      <w:r>
        <w:rPr>
          <w:vertAlign w:val="superscript"/>
          <w:bCs/>
          <w:b/>
        </w:rPr>
        <w:t xml:space="preserve">44</w:t>
      </w:r>
      <w:r>
        <w:rPr>
          <w:bCs/>
          <w:b/>
        </w:rPr>
        <w:t xml:space="preserve"> </w:t>
      </w:r>
      <w:r>
        <w:rPr>
          <w:bCs/>
          <w:b/>
        </w:rPr>
        <w:t xml:space="preserve">that determines not only perceptual choices, but also downstream aspects of mouse behavior</w:t>
      </w:r>
      <w:r>
        <w:rPr>
          <w:vertAlign w:val="superscript"/>
          <w:bCs/>
          <w:b/>
        </w:rPr>
        <w:t xml:space="preserve">44</w:t>
      </w:r>
      <w:r>
        <w:rPr>
          <w:bCs/>
          <w:b/>
        </w:rPr>
        <w:t xml:space="preserve">.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pPr>
        <w:pStyle w:val="FirstParagraph"/>
      </w:pPr>
      <w:r>
        <w:t xml:space="preserve">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pPr>
        <w:numPr>
          <w:ilvl w:val="0"/>
          <w:numId w:val="1035"/>
        </w:numPr>
      </w:pPr>
      <w:r>
        <w:rPr>
          <w:bCs/>
          <w:b/>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rPr>
          <w:bCs/>
          <w:b/>
        </w:rPr>
        <w:t xml:space="preserve"> </w:t>
      </w:r>
      <w:r>
        <w:rPr>
          <w:bCs/>
          <w:b/>
        </w:rPr>
        <w:t xml:space="preserve">=</w:t>
      </w:r>
      <w:r>
        <w:rPr>
          <w:bCs/>
          <w:b/>
        </w:rPr>
        <w:t xml:space="preserve"> </w:t>
      </w:r>
      <m:oMath>
        <m:r>
          <m:t>0.11</m:t>
        </m:r>
      </m:oMath>
      <w:r>
        <w:rPr>
          <w:bCs/>
          <w:b/>
        </w:rPr>
        <w:t xml:space="preserve"> </w:t>
      </w:r>
      <w:r>
        <w:rPr>
          <w:bCs/>
          <w:b/>
        </w:rPr>
        <w:t xml:space="preserve">±</w:t>
      </w:r>
      <w:r>
        <w:rPr>
          <w:bCs/>
          <w:b/>
        </w:rPr>
        <w:t xml:space="preserve"> </w:t>
      </w:r>
      <m:oMath>
        <m:r>
          <m:t>5.79</m:t>
        </m:r>
        <m:r>
          <m:rPr>
            <m:sty m:val="p"/>
          </m:rPr>
          <m:t>×</m:t>
        </m:r>
        <m:sSup>
          <m:e>
            <m:r>
              <m:t>10</m:t>
            </m:r>
          </m:e>
          <m:sup>
            <m:r>
              <m:rPr>
                <m:sty m:val="p"/>
              </m:rPr>
              <m:t>−</m:t>
            </m:r>
            <m:r>
              <m:t>3</m:t>
            </m:r>
          </m:sup>
        </m:sSup>
      </m:oMath>
      <w:r>
        <w:rPr>
          <w:bCs/>
          <w:b/>
        </w:rPr>
        <w:t xml:space="preserve">, z =</w:t>
      </w:r>
      <w:r>
        <w:rPr>
          <w:bCs/>
          <w:b/>
        </w:rPr>
        <w:t xml:space="preserve"> </w:t>
      </w:r>
      <m:oMath>
        <m:r>
          <m:t>18.53</m:t>
        </m:r>
      </m:oMath>
      <w:r>
        <w:rPr>
          <w:bCs/>
          <w:b/>
        </w:rPr>
        <w:t xml:space="preserve">, p =</w:t>
      </w:r>
      <w:r>
        <w:rPr>
          <w:bCs/>
          <w:b/>
        </w:rPr>
        <w:t xml:space="preserve"> </w:t>
      </w:r>
      <m:oMath>
        <m:r>
          <m:t>1.1</m:t>
        </m:r>
        <m:r>
          <m:rPr>
            <m:sty m:val="p"/>
          </m:rPr>
          <m:t>×</m:t>
        </m:r>
        <m:sSup>
          <m:e>
            <m:r>
              <m:t>10</m:t>
            </m:r>
          </m:e>
          <m:sup>
            <m:r>
              <m:rPr>
                <m:sty m:val="p"/>
              </m:rPr>
              <m:t>−</m:t>
            </m:r>
            <m:r>
              <m:t>76</m:t>
            </m:r>
          </m:sup>
        </m:sSup>
      </m:oMath>
      <w:r>
        <w:rPr>
          <w:bCs/>
          <w:b/>
        </w:rPr>
        <w:t xml:space="preserve">) over and above the ongoing stream of external sensory information (</w:t>
      </w:r>
      <m:oMath>
        <m:r>
          <m:t>β</m:t>
        </m:r>
      </m:oMath>
      <w:r>
        <w:rPr>
          <w:bCs/>
          <w:b/>
        </w:rPr>
        <w:t xml:space="preserve"> </w:t>
      </w:r>
      <w:r>
        <w:rPr>
          <w:bCs/>
          <w:b/>
        </w:rPr>
        <w:t xml:space="preserve">=</w:t>
      </w:r>
      <w:r>
        <w:rPr>
          <w:bCs/>
          <w:b/>
        </w:rPr>
        <w:t xml:space="preserve"> </w:t>
      </w:r>
      <m:oMath>
        <m:r>
          <m:t>2.2</m:t>
        </m:r>
      </m:oMath>
      <w:r>
        <w:rPr>
          <w:bCs/>
          <w:b/>
        </w:rPr>
        <w:t xml:space="preserve"> </w:t>
      </w:r>
      <w:r>
        <w:rPr>
          <w:bCs/>
          <w:b/>
        </w:rPr>
        <w:t xml:space="preserve">±</w:t>
      </w:r>
      <w:r>
        <w:rPr>
          <w:bCs/>
          <w:b/>
        </w:rPr>
        <w:t xml:space="preserve"> </w:t>
      </w:r>
      <m:oMath>
        <m:r>
          <m:t>5.87</m:t>
        </m:r>
        <m:r>
          <m:rPr>
            <m:sty m:val="p"/>
          </m:rPr>
          <m:t>×</m:t>
        </m:r>
        <m:sSup>
          <m:e>
            <m:r>
              <m:t>10</m:t>
            </m:r>
          </m:e>
          <m:sup>
            <m:r>
              <m:rPr>
                <m:sty m:val="p"/>
              </m:rPr>
              <m:t>−</m:t>
            </m:r>
            <m:r>
              <m:t>3</m:t>
            </m:r>
          </m:sup>
        </m:sSup>
      </m:oMath>
      <w:r>
        <w:rPr>
          <w:bCs/>
          <w:b/>
        </w:rPr>
        <w:t xml:space="preserve">, z =</w:t>
      </w:r>
      <w:r>
        <w:rPr>
          <w:bCs/>
          <w:b/>
        </w:rPr>
        <w:t xml:space="preserve"> </w:t>
      </w:r>
      <m:oMath>
        <m:r>
          <m:t>375.11</m:t>
        </m:r>
      </m:oMath>
      <w:r>
        <w:rPr>
          <w:bCs/>
          <w:b/>
        </w:rPr>
        <w:t xml:space="preserve">, p =</w:t>
      </w:r>
      <w:r>
        <w:rPr>
          <w:bCs/>
          <w:b/>
        </w:rPr>
        <w:t xml:space="preserve"> </w:t>
      </w:r>
      <m:oMath>
        <m:r>
          <m:t>0</m:t>
        </m:r>
      </m:oMath>
      <w:r>
        <w:rPr>
          <w:bCs/>
          <w:b/>
        </w:rPr>
        <w:t xml:space="preserve">) and general response biases toward (</w:t>
      </w:r>
      <m:oMath>
        <m:r>
          <m:t>β</m:t>
        </m:r>
      </m:oMath>
      <w:r>
        <w:rPr>
          <w:bCs/>
          <w:b/>
        </w:rPr>
        <w:t xml:space="preserve"> </w:t>
      </w:r>
      <w:r>
        <w:rPr>
          <w:bCs/>
          <w:b/>
        </w:rPr>
        <w:t xml:space="preserve">=</w:t>
      </w:r>
      <w:r>
        <w:rPr>
          <w:bCs/>
          <w:b/>
        </w:rPr>
        <w:t xml:space="preserve"> </w:t>
      </w:r>
      <m:oMath>
        <m:r>
          <m:t>15.19</m:t>
        </m:r>
      </m:oMath>
      <w:r>
        <w:rPr>
          <w:bCs/>
          <w:b/>
        </w:rPr>
        <w:t xml:space="preserve"> </w:t>
      </w:r>
      <w:r>
        <w:rPr>
          <w:bCs/>
          <w:b/>
        </w:rPr>
        <w:t xml:space="preserve">±</w:t>
      </w:r>
      <w:r>
        <w:rPr>
          <w:bCs/>
          <w:b/>
        </w:rPr>
        <w:t xml:space="preserve"> </w:t>
      </w:r>
      <m:oMath>
        <m:r>
          <m:t>0.08</m:t>
        </m:r>
      </m:oMath>
      <w:r>
        <w:rPr>
          <w:bCs/>
          <w:b/>
        </w:rPr>
        <w:t xml:space="preserve">, z =</w:t>
      </w:r>
      <w:r>
        <w:rPr>
          <w:bCs/>
          <w:b/>
        </w:rPr>
        <w:t xml:space="preserve"> </w:t>
      </w:r>
      <m:oMath>
        <m:r>
          <m:t>184.98</m:t>
        </m:r>
      </m:oMath>
      <w:r>
        <w:rPr>
          <w:bCs/>
          <w:b/>
        </w:rPr>
        <w:t xml:space="preserve">, p =</w:t>
      </w:r>
      <w:r>
        <w:rPr>
          <w:bCs/>
          <w:b/>
        </w:rPr>
        <w:t xml:space="preserve"> </w:t>
      </w:r>
      <m:oMath>
        <m:r>
          <m:t>0</m:t>
        </m:r>
      </m:oMath>
      <w:r>
        <w:rPr>
          <w:bCs/>
          <w:b/>
        </w:rPr>
        <w:t xml:space="preserve">).</w:t>
      </w:r>
    </w:p>
    <w:p>
      <w:pPr>
        <w:numPr>
          <w:ilvl w:val="0"/>
          <w:numId w:val="1035"/>
        </w:numPr>
      </w:pPr>
      <w:r>
        <w:rPr>
          <w:bCs/>
          <w:b/>
        </w:rPr>
        <w:t xml:space="preserve">When eliminating perceptual history as a predictor of individual choices at individual trials, AIC increased by</w:t>
      </w:r>
      <w:r>
        <w:rPr>
          <w:bCs/>
          <w:b/>
        </w:rPr>
        <w:t xml:space="preserve"> </w:t>
      </w:r>
      <m:oMath>
        <m:sSub>
          <m:e>
            <m:r>
              <m:t>δ</m:t>
            </m:r>
          </m:e>
          <m:sub>
            <m:r>
              <m:t>A</m:t>
            </m:r>
            <m:r>
              <m:t>I</m:t>
            </m:r>
            <m:r>
              <m:t>C</m:t>
            </m:r>
          </m:sub>
        </m:sSub>
      </m:oMath>
      <w:r>
        <w:rPr>
          <w:bCs/>
          <w:b/>
        </w:rPr>
        <w:t xml:space="preserve"> </w:t>
      </w:r>
      <w:r>
        <w:rPr>
          <w:bCs/>
          <w:b/>
        </w:rPr>
        <w:t xml:space="preserve">= 1.64</w:t>
      </w:r>
      <w:r>
        <w:rPr>
          <w:bCs/>
          <w:b/>
        </w:rPr>
        <w:t xml:space="preserve">^{3} (see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rPr>
          <w:bCs/>
          <w:b/>
        </w:rPr>
        <w:t xml:space="preserve"> </w:t>
      </w:r>
      <m:oMath>
        <m:sSub>
          <m:e>
            <m:r>
              <m:t>δ</m:t>
            </m:r>
          </m:e>
          <m:sub>
            <m:r>
              <m:t>A</m:t>
            </m:r>
            <m:r>
              <m:t>I</m:t>
            </m:r>
            <m:r>
              <m:t>C</m:t>
            </m:r>
          </m:sub>
        </m:sSub>
      </m:oMath>
      <w:r>
        <w:rPr>
          <w:bCs/>
          <w:b/>
        </w:rPr>
        <w:t xml:space="preserve"> </w:t>
      </w:r>
      <w:r>
        <w:rPr>
          <w:bCs/>
          <w:b/>
        </w:rPr>
        <w:t xml:space="preserve">+ 7.06</w:t>
      </w:r>
      <w:r>
        <w:rPr>
          <w:bCs/>
          <w:b/>
        </w:rPr>
        <w:t xml:space="preserve">^{3}. These results provided model-level evidence against the null hypotheses that fluctuations in stimulus-congruence are driven exclusively by choice randomness or general response bias (see Supplemental Section 9.2 for an in-depth assessment of general response bias).</w:t>
      </w:r>
    </w:p>
    <w:p>
      <w:pPr>
        <w:numPr>
          <w:ilvl w:val="0"/>
          <w:numId w:val="1035"/>
        </w:numPr>
      </w:pPr>
      <w:r>
        <w:rPr>
          <w:bCs/>
          <w:b/>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pPr>
        <w:numPr>
          <w:ilvl w:val="0"/>
          <w:numId w:val="1035"/>
        </w:numPr>
      </w:pPr>
      <w:r>
        <w:rPr>
          <w:bCs/>
          <w:b/>
        </w:rPr>
        <w:t xml:space="preserve">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may stereotypically repeat preceding choices when not yet familiar with the experimental task (see Supplemental Section).</w:t>
      </w:r>
    </w:p>
    <w:p>
      <w:pPr>
        <w:numPr>
          <w:ilvl w:val="0"/>
          <w:numId w:val="1035"/>
        </w:numPr>
      </w:pPr>
      <w:r>
        <w:rPr>
          <w:bCs/>
          <w:b/>
        </w:rPr>
        <w:t xml:space="preserve">Taken together, our results thus argue against recurring intervals of low task engagement, which may be signaled by stereotypical or random responses, as an alternative explanation for the phenomenon that we identify as bimodal inference.</w:t>
      </w:r>
    </w:p>
    <w:p>
      <w:pPr>
        <w:pStyle w:val="FirstParagraph"/>
      </w:pPr>
      <w:r>
        <w:t xml:space="preserve">Third, in response the Comment 3 by Reviewer 1, we now interpret the quadratic relationship of mode to RTs/confidence in the context of predictive processing views on attention</w:t>
      </w:r>
      <w:r>
        <w:rPr>
          <w:vertAlign w:val="superscript"/>
        </w:rPr>
        <w:t xml:space="preserve">53</w:t>
      </w:r>
      <w:r>
        <w:t xml:space="preserve">. Based on the Bayesian formulation of drift diffusion</w:t>
      </w:r>
      <w:r>
        <w:rPr>
          <w:vertAlign w:val="superscript"/>
        </w:rPr>
        <w:t xml:space="preserve">60</w:t>
      </w:r>
      <w:r>
        <w:t xml:space="preserve">,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Pr>
          <w:vertAlign w:val="superscript"/>
        </w:rPr>
        <w:t xml:space="preserve">60</w:t>
      </w:r>
      <w:r>
        <w:t xml:space="preserve">. As a third response to this comment, we have re-written our discussion of the quadratic relationship of mode to RTs and Confidence, focusing on predictive coding models attention, which we relate to mechanistic drift diffusion models:</w:t>
      </w:r>
    </w:p>
    <w:p>
      <w:pPr>
        <w:numPr>
          <w:ilvl w:val="0"/>
          <w:numId w:val="1036"/>
        </w:numPr>
        <w:pStyle w:val="Compact"/>
      </w:pPr>
      <w:r>
        <w:rPr>
          <w:bCs/>
          <w:b/>
        </w:rPr>
        <w:t xml:space="preserve">How does attention relate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As outlined above, between-mode fluctuations can be understood as ongoing shifts in the precision afforded to likelihood (</w:t>
      </w:r>
      <w:r>
        <w:rPr>
          <w:iCs/>
          <w:i/>
          <w:bCs/>
          <w:b/>
        </w:rPr>
        <w:t xml:space="preserve">external mode</w:t>
      </w:r>
      <w:r>
        <w:rPr>
          <w:bCs/>
          <w:b/>
        </w:rPr>
        <w:t xml:space="preserve">) and prior (</w:t>
      </w:r>
      <w:r>
        <w:rPr>
          <w:iCs/>
          <w:i/>
          <w:bCs/>
          <w:b/>
        </w:rPr>
        <w:t xml:space="preserve">internal mode</w:t>
      </w:r>
      <w:r>
        <w:rPr>
          <w:bCs/>
          <w:b/>
        </w:rP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bCs/>
          <w:b/>
        </w:rPr>
        <w:t xml:space="preserve">53</w:t>
      </w:r>
      <w:r>
        <w:rPr>
          <w:bCs/>
          <w:b/>
        </w:rPr>
        <w:t xml:space="preserve">,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Pr>
          <w:vertAlign w:val="superscript"/>
          <w:bCs/>
          <w:b/>
        </w:rPr>
        <w:t xml:space="preserve">60</w:t>
      </w:r>
      <w:r>
        <w:rPr>
          <w:bCs/>
          <w:b/>
        </w:rPr>
        <w:t xml:space="preserve">, where both larger shifts in starting point (related to increased prior precision in internal mode) and lower noise in the accumulation of evidence (related to increased likelihood precision in external mode) may explain faster and more confident responses.</w:t>
      </w:r>
    </w:p>
    <w:p>
      <w:pPr>
        <w:pStyle w:val="FirstParagraph"/>
      </w:pPr>
      <w:r>
        <w:t xml:space="preserve">Given the correspondence between normative Bayesian and mechanistic drift diffusion model,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the bimodal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neuropixel recordings across the whole mouse brain</w:t>
      </w:r>
      <w:r>
        <w:rPr>
          <w:vertAlign w:val="superscript"/>
        </w:rPr>
        <w:t xml:space="preserve">71</w:t>
      </w:r>
      <w:r>
        <w:t xml:space="preserve">. As a fourth response to this comment, we have re-written our discussion of attention and arousal:</w:t>
      </w:r>
    </w:p>
    <w:p>
      <w:pPr>
        <w:numPr>
          <w:ilvl w:val="0"/>
          <w:numId w:val="1037"/>
        </w:numPr>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numPr>
          <w:ilvl w:val="0"/>
          <w:numId w:val="1037"/>
        </w:numPr>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numPr>
          <w:ilvl w:val="0"/>
          <w:numId w:val="1037"/>
        </w:numPr>
      </w:pPr>
      <w:r>
        <w:rPr>
          <w:bCs/>
          <w:b/>
        </w:rPr>
        <w:t xml:space="preserve">Of note, high phasic arousal has been shown to suppress multi-domain biases in decision-making in humans and mice</w:t>
      </w:r>
      <w:r>
        <w:rPr>
          <w:vertAlign w:val="superscript"/>
          <w:bCs/>
          <w:b/>
        </w:rPr>
        <w:t xml:space="preserve">66–68</w:t>
      </w:r>
      <w:r>
        <w:rPr>
          <w:bCs/>
          <w:b/>
        </w:rPr>
        <w:t xml:space="preserve">, including the biases toward perceptual history</w:t>
      </w:r>
      <w:r>
        <w:rPr>
          <w:vertAlign w:val="superscript"/>
          <w:bCs/>
          <w:b/>
        </w:rPr>
        <w:t xml:space="preserve">28</w:t>
      </w:r>
      <w:r>
        <w:rPr>
          <w:bCs/>
          <w:b/>
        </w:rPr>
        <w:t xml:space="preserve"> </w:t>
      </w:r>
      <w:r>
        <w:rPr>
          <w:bCs/>
          <w:b/>
        </w:rP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bookmarkEnd w:id="178"/>
    <w:bookmarkStart w:id="179" w:name="comment-7-1"/>
    <w:p>
      <w:pPr>
        <w:pStyle w:val="Heading3"/>
      </w:pPr>
      <w:r>
        <w:t xml:space="preserve">Comment 7</w:t>
      </w:r>
    </w:p>
    <w:p>
      <w:pPr>
        <w:pStyle w:val="FirstParagraph"/>
      </w:pPr>
      <w:r>
        <w:rPr>
          <w:bCs/>
          <w:b/>
        </w:rPr>
        <w:t xml:space="preserve">In several analysis the authors present an effect and then show that this effects persists when key variables/ design aspects are also taken into account (see an example at around line 70). It makes more sense to present only one single analysis in which these key variables are controlled for. Results cannot be interpreted if they are spurious factors driving them so it is not clear why some of the results are presented in two versions (</w:t>
      </w:r>
      <w:r>
        <w:rPr>
          <w:bCs/>
          <w:b/>
        </w:rPr>
        <w:t xml:space="preserve">“</w:t>
      </w:r>
      <w:r>
        <w:rPr>
          <w:bCs/>
          <w:b/>
        </w:rPr>
        <w:t xml:space="preserve">uncontrolled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controlled</w:t>
      </w:r>
      <w:r>
        <w:rPr>
          <w:bCs/>
          <w:b/>
        </w:rPr>
        <w:t xml:space="preserve">”</w:t>
      </w:r>
      <w:r>
        <w:rPr>
          <w:bCs/>
          <w:b/>
        </w:rPr>
        <w:t xml:space="preserve"> </w:t>
      </w:r>
      <w:r>
        <w:rPr>
          <w:bCs/>
          <w:b/>
        </w:rPr>
        <w:t xml:space="preserve">analyses).</w:t>
      </w:r>
    </w:p>
    <w:p>
      <w:pPr>
        <w:pStyle w:val="BodyText"/>
      </w:pPr>
      <w:r>
        <w:t xml:space="preserve">We apologize for this. We have updated our manuscript accordingly and have omitted, whenever possible, reports of uncontrolled analyses (highlighted in the main text). The most significant changes are summarized here:</w:t>
      </w:r>
    </w:p>
    <w:p>
      <w:pPr>
        <w:numPr>
          <w:ilvl w:val="0"/>
          <w:numId w:val="1038"/>
        </w:numPr>
      </w:pPr>
      <w:r>
        <w:t xml:space="preserve">Group-level autocorrelation curves in humans:</w:t>
      </w:r>
      <w:r>
        <w:t xml:space="preserve"> </w:t>
      </w:r>
      <w:r>
        <w:rPr>
          <w:bCs/>
          <w:b/>
        </w:rPr>
        <w:t xml:space="preserve">In line with previous work</w:t>
      </w:r>
      <w:r>
        <w:rPr>
          <w:vertAlign w:val="superscript"/>
          <w:bCs/>
          <w:b/>
        </w:rPr>
        <w:t xml:space="preserve">8</w:t>
      </w:r>
      <w:r>
        <w:rPr>
          <w:bCs/>
          <w:b/>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pPr>
        <w:numPr>
          <w:ilvl w:val="0"/>
          <w:numId w:val="1038"/>
        </w:numPr>
      </w:pPr>
      <w:r>
        <w:t xml:space="preserve">Group-level autocorrelation curves in mice:</w:t>
      </w:r>
      <w:r>
        <w:t xml:space="preserve"> </w:t>
      </w:r>
      <w:r>
        <w:rPr>
          <w:bCs/>
          <w:b/>
        </w:rPr>
        <w:t xml:space="preserve">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pPr>
        <w:numPr>
          <w:ilvl w:val="0"/>
          <w:numId w:val="1038"/>
        </w:numPr>
      </w:pPr>
      <w:r>
        <w:t xml:space="preserve">Correlation between stimulus- and history-congruence in humans:</w:t>
      </w:r>
      <w:r>
        <w:t xml:space="preserve"> </w:t>
      </w:r>
      <w:r>
        <w:rPr>
          <w:bCs/>
          <w:b/>
        </w:rPr>
        <w:t xml:space="preserve">When perceptual choices were less biased toward external information, participants relied more strongly on internal information acquired from perceptual history (and vice versa,</w:t>
      </w:r>
      <w:r>
        <w:rPr>
          <w:bCs/>
          <w:b/>
        </w:rPr>
        <w:t xml:space="preserve"> </w:t>
      </w:r>
      <m:oMath>
        <m:r>
          <m:t>β</m:t>
        </m:r>
      </m:oMath>
      <w:r>
        <w:rPr>
          <w:bCs/>
          <w:b/>
        </w:rPr>
        <w:t xml:space="preserve"> </w:t>
      </w:r>
      <w:r>
        <w:rPr>
          <w:bCs/>
          <w:b/>
        </w:rPr>
        <w:t xml:space="preserve">=</w:t>
      </w:r>
      <w:r>
        <w:rPr>
          <w:bCs/>
          <w:b/>
        </w:rPr>
        <w:t xml:space="preserve"> </w:t>
      </w:r>
      <m:oMath>
        <m:r>
          <m:rPr>
            <m:sty m:val="p"/>
          </m:rPr>
          <m:t>−</m:t>
        </m:r>
        <m:r>
          <m:t>0.05</m:t>
        </m:r>
      </m:oMath>
      <w:r>
        <w:rPr>
          <w:bCs/>
          <w:b/>
        </w:rPr>
        <w:t xml:space="preserve"> </w:t>
      </w:r>
      <w:r>
        <w:rPr>
          <w:bCs/>
          <w:b/>
        </w:rPr>
        <w:t xml:space="preserve">±</w:t>
      </w:r>
      <w:r>
        <w:rPr>
          <w:bCs/>
          <w:b/>
        </w:rPr>
        <w:t xml:space="preserve"> </w:t>
      </w:r>
      <m:oMath>
        <m:r>
          <m:t>5.63</m:t>
        </m:r>
        <m:r>
          <m:rPr>
            <m:sty m:val="p"/>
          </m:rPr>
          <m:t>×</m:t>
        </m:r>
        <m:sSup>
          <m:e>
            <m:r>
              <m:t>10</m:t>
            </m:r>
          </m:e>
          <m:sup>
            <m:r>
              <m:rPr>
                <m:sty m:val="p"/>
              </m:rPr>
              <m:t>−</m:t>
            </m:r>
            <m:r>
              <m:t>4</m:t>
            </m:r>
          </m:sup>
        </m:sSup>
      </m:oMath>
      <w:r>
        <w:rPr>
          <w:bCs/>
          <w:b/>
        </w:rPr>
        <w:t xml:space="preserve">, T(</w:t>
      </w:r>
      <m:oMath>
        <m:r>
          <m:t>2.1</m:t>
        </m:r>
        <m:r>
          <m:rPr>
            <m:sty m:val="p"/>
          </m:rPr>
          <m:t>×</m:t>
        </m:r>
        <m:sSup>
          <m:e>
            <m:r>
              <m:t>10</m:t>
            </m:r>
          </m:e>
          <m:sup>
            <m:r>
              <m:t>6</m:t>
            </m:r>
          </m:sup>
        </m:sSup>
      </m:oMath>
      <w:r>
        <w:rPr>
          <w:bCs/>
          <w:b/>
        </w:rPr>
        <w:t xml:space="preserve">) =</w:t>
      </w:r>
      <w:r>
        <w:rPr>
          <w:bCs/>
          <w:b/>
        </w:rPr>
        <w:t xml:space="preserve"> </w:t>
      </w:r>
      <m:oMath>
        <m:r>
          <m:rPr>
            <m:sty m:val="p"/>
          </m:rPr>
          <m:t>−</m:t>
        </m:r>
        <m:r>
          <m:t>84.21</m:t>
        </m:r>
      </m:oMath>
      <w:r>
        <w:rPr>
          <w:bCs/>
          <w:b/>
        </w:rPr>
        <w:t xml:space="preserve">, p =</w:t>
      </w:r>
      <w:r>
        <w:rPr>
          <w:bCs/>
          <w:b/>
        </w:rPr>
        <w:t xml:space="preserve"> </w:t>
      </w:r>
      <m:oMath>
        <m:r>
          <m:t>0</m:t>
        </m:r>
      </m:oMath>
      <w:r>
        <w:rPr>
          <w:bCs/>
          <w:b/>
        </w:rPr>
        <w:t xml:space="preserve">,</w:t>
      </w:r>
      <w:r>
        <w:rPr>
          <w:bCs/>
          <w:b/>
        </w:rPr>
        <w:t xml:space="preserve"> </w:t>
      </w:r>
      <w:r>
        <w:t xml:space="preserve">controlling for fluctuations in general response biases</w:t>
      </w:r>
      <w:r>
        <w:rPr>
          <w:bCs/>
          <w:b/>
        </w:rPr>
        <w:t xml:space="preserve">; Supplemental Section 9.2).</w:t>
      </w:r>
    </w:p>
    <w:p>
      <w:pPr>
        <w:numPr>
          <w:ilvl w:val="0"/>
          <w:numId w:val="1038"/>
        </w:numPr>
      </w:pPr>
      <w:r>
        <w:t xml:space="preserve">Correlation between stimulus- and history-congruence in mice:</w:t>
      </w:r>
      <w:r>
        <w:t xml:space="preserve"> </w:t>
      </w:r>
      <w:r>
        <w:rPr>
          <w:bCs/>
          <w:b/>
        </w:rPr>
        <w:t xml:space="preserve">Fluctuations in the strength of history-congruent biases had a significant effect on stimulus-congruence (</w:t>
      </w:r>
      <m:oMath>
        <m:sSub>
          <m:e>
            <m:r>
              <m:t>β</m:t>
            </m:r>
          </m:e>
          <m:sub>
            <m:r>
              <m:t>1</m:t>
            </m:r>
          </m:sub>
        </m:sSub>
      </m:oMath>
      <w:r>
        <w:rPr>
          <w:bCs/>
          <w:b/>
        </w:rPr>
        <w:t xml:space="preserve"> </w:t>
      </w:r>
      <w:r>
        <w:rPr>
          <w:bCs/>
          <w:b/>
        </w:rPr>
        <w:t xml:space="preserve">=</w:t>
      </w:r>
      <w:r>
        <w:rPr>
          <w:bCs/>
          <w:b/>
        </w:rPr>
        <w:t xml:space="preserve"> </w:t>
      </w:r>
      <m:oMath>
        <m:r>
          <m:rPr>
            <m:sty m:val="p"/>
          </m:rPr>
          <m:t>−</m:t>
        </m:r>
        <m:r>
          <m:t>0.12</m:t>
        </m:r>
      </m:oMath>
      <w:r>
        <w:rPr>
          <w:bCs/>
          <w:b/>
        </w:rPr>
        <w:t xml:space="preserve"> </w:t>
      </w:r>
      <w:r>
        <w:rPr>
          <w:bCs/>
          <w:b/>
        </w:rPr>
        <w:t xml:space="preserve">±</w:t>
      </w:r>
      <w:r>
        <w:rPr>
          <w:bCs/>
          <w:b/>
        </w:rPr>
        <w:t xml:space="preserve"> </w:t>
      </w:r>
      <m:oMath>
        <m:r>
          <m:t>7.17</m:t>
        </m:r>
        <m:r>
          <m:rPr>
            <m:sty m:val="p"/>
          </m:rPr>
          <m:t>×</m:t>
        </m:r>
        <m:sSup>
          <m:e>
            <m:r>
              <m:t>10</m:t>
            </m:r>
          </m:e>
          <m:sup>
            <m:r>
              <m:rPr>
                <m:sty m:val="p"/>
              </m:rPr>
              <m:t>−</m:t>
            </m:r>
            <m:r>
              <m:t>4</m:t>
            </m:r>
          </m:sup>
        </m:sSup>
      </m:oMath>
      <w:r>
        <w:rPr>
          <w:bCs/>
          <w:b/>
        </w:rPr>
        <w:t xml:space="preserve">, T(</w:t>
      </w:r>
      <m:oMath>
        <m:r>
          <m:t>1.34</m:t>
        </m:r>
        <m:r>
          <m:rPr>
            <m:sty m:val="p"/>
          </m:rPr>
          <m:t>×</m:t>
        </m:r>
        <m:sSup>
          <m:e>
            <m:r>
              <m:t>10</m:t>
            </m:r>
          </m:e>
          <m:sup>
            <m:r>
              <m:t>6</m:t>
            </m:r>
          </m:sup>
        </m:sSup>
      </m:oMath>
      <w:r>
        <w:rPr>
          <w:bCs/>
          <w:b/>
        </w:rPr>
        <w:t xml:space="preserve">) =</w:t>
      </w:r>
      <w:r>
        <w:rPr>
          <w:bCs/>
          <w:b/>
        </w:rPr>
        <w:t xml:space="preserve"> </w:t>
      </w:r>
      <m:oMath>
        <m:r>
          <m:rPr>
            <m:sty m:val="p"/>
          </m:rPr>
          <m:t>−</m:t>
        </m:r>
        <m:r>
          <m:t>168.39</m:t>
        </m:r>
      </m:oMath>
      <w:r>
        <w:rPr>
          <w:bCs/>
          <w:b/>
        </w:rPr>
        <w:t xml:space="preserve">, p =</w:t>
      </w:r>
      <w:r>
        <w:rPr>
          <w:bCs/>
          <w:b/>
        </w:rPr>
        <w:t xml:space="preserve"> </w:t>
      </w:r>
      <m:oMath>
        <m:r>
          <m:t>0</m:t>
        </m:r>
      </m:oMath>
      <w:r>
        <w:rPr>
          <w:bCs/>
          <w:b/>
        </w:rPr>
        <w:t xml:space="preserve">) beyond the effect of ongoing changes in general response biases (</w:t>
      </w:r>
      <m:oMath>
        <m:sSub>
          <m:e>
            <m:r>
              <m:t>β</m:t>
            </m:r>
          </m:e>
          <m:sub>
            <m:r>
              <m:t>2</m:t>
            </m:r>
          </m:sub>
        </m:sSub>
      </m:oMath>
      <w:r>
        <w:rPr>
          <w:bCs/>
          <w:b/>
        </w:rPr>
        <w:t xml:space="preserve"> </w:t>
      </w:r>
      <w:r>
        <w:rPr>
          <w:bCs/>
          <w:b/>
        </w:rPr>
        <w:t xml:space="preserve">=</w:t>
      </w:r>
      <w:r>
        <w:rPr>
          <w:bCs/>
          <w:b/>
        </w:rPr>
        <w:t xml:space="preserve"> </w:t>
      </w:r>
      <m:oMath>
        <m:r>
          <m:rPr>
            <m:sty m:val="p"/>
          </m:rPr>
          <m:t>−</m:t>
        </m:r>
        <m:r>
          <m:t>0.03</m:t>
        </m:r>
      </m:oMath>
      <w:r>
        <w:rPr>
          <w:bCs/>
          <w:b/>
        </w:rPr>
        <w:t xml:space="preserve"> </w:t>
      </w:r>
      <w:r>
        <w:rPr>
          <w:bCs/>
          <w:b/>
        </w:rPr>
        <w:t xml:space="preserve">±</w:t>
      </w:r>
      <w:r>
        <w:rPr>
          <w:bCs/>
          <w:b/>
        </w:rPr>
        <w:t xml:space="preserve"> </w:t>
      </w:r>
      <m:oMath>
        <m:r>
          <m:t>6.94</m:t>
        </m:r>
        <m:r>
          <m:rPr>
            <m:sty m:val="p"/>
          </m:rPr>
          <m:t>×</m:t>
        </m:r>
        <m:sSup>
          <m:e>
            <m:r>
              <m:t>10</m:t>
            </m:r>
          </m:e>
          <m:sup>
            <m:r>
              <m:rPr>
                <m:sty m:val="p"/>
              </m:rPr>
              <m:t>−</m:t>
            </m:r>
            <m:r>
              <m:t>4</m:t>
            </m:r>
          </m:sup>
        </m:sSup>
      </m:oMath>
      <w:r>
        <w:rPr>
          <w:bCs/>
          <w:b/>
        </w:rPr>
        <w:t xml:space="preserve">, T(</w:t>
      </w:r>
      <m:oMath>
        <m:r>
          <m:t>1.34</m:t>
        </m:r>
        <m:r>
          <m:rPr>
            <m:sty m:val="p"/>
          </m:rPr>
          <m:t>×</m:t>
        </m:r>
        <m:sSup>
          <m:e>
            <m:r>
              <m:t>10</m:t>
            </m:r>
          </m:e>
          <m:sup>
            <m:r>
              <m:t>6</m:t>
            </m:r>
          </m:sup>
        </m:sSup>
      </m:oMath>
      <w:r>
        <w:rPr>
          <w:bCs/>
          <w:b/>
        </w:rPr>
        <w:t xml:space="preserve">) =</w:t>
      </w:r>
      <w:r>
        <w:rPr>
          <w:bCs/>
          <w:b/>
        </w:rPr>
        <w:t xml:space="preserve"> </w:t>
      </w:r>
      <m:oMath>
        <m:r>
          <m:rPr>
            <m:sty m:val="p"/>
          </m:rPr>
          <m:t>−</m:t>
        </m:r>
        <m:r>
          <m:t>48.14</m:t>
        </m:r>
      </m:oMath>
      <w:r>
        <w:rPr>
          <w:bCs/>
          <w:b/>
        </w:rPr>
        <w:t xml:space="preserve">, p =</w:t>
      </w:r>
      <w:r>
        <w:rPr>
          <w:bCs/>
          <w:b/>
        </w:rPr>
        <w:t xml:space="preserve"> </w:t>
      </w:r>
      <m:oMath>
        <m:r>
          <m:t>0</m:t>
        </m:r>
      </m:oMath>
      <w:r>
        <w:rPr>
          <w:bCs/>
          <w:b/>
        </w:rPr>
        <w:t xml:space="preserve">).</w:t>
      </w:r>
    </w:p>
    <w:bookmarkEnd w:id="179"/>
    <w:bookmarkStart w:id="180" w:name="comment-8-1"/>
    <w:p>
      <w:pPr>
        <w:pStyle w:val="Heading3"/>
      </w:pPr>
      <w:r>
        <w:t xml:space="preserve">Comment 8</w:t>
      </w:r>
    </w:p>
    <w:p>
      <w:pPr>
        <w:pStyle w:val="FirstParagraph"/>
      </w:pPr>
      <w:r>
        <w:t xml:space="preserve">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pPr>
        <w:pStyle w:val="BodyText"/>
      </w:pPr>
      <w:r>
        <w:rPr>
          <w:bCs/>
          <w:b/>
        </w:rPr>
        <w:t xml:space="preserve">We agree with the Reviewer (see also a similar suggestion by Reviewer 1 in Comment 9). We have removed the section 5.8 and the associated subsection of the discussion from our manuscript. We will develop a model on the potential function of between-mode fluctuations in a separate publication.</w:t>
      </w:r>
    </w:p>
    <w:p>
      <w:pPr>
        <w:pStyle w:val="BodyText"/>
      </w:pPr>
      <w:r>
        <w:rPr>
          <w:bCs/>
          <w:b/>
        </w:rPr>
        <w:t xml:space="preserve">Minor comments:</w:t>
      </w:r>
    </w:p>
    <w:bookmarkEnd w:id="180"/>
    <w:bookmarkStart w:id="181" w:name="comment-9-1"/>
    <w:p>
      <w:pPr>
        <w:pStyle w:val="Heading3"/>
      </w:pPr>
      <w:r>
        <w:t xml:space="preserve">Comment 9</w:t>
      </w:r>
    </w:p>
    <w:p>
      <w:pPr>
        <w:pStyle w:val="FirstParagraph"/>
      </w:pPr>
      <w:r>
        <w:rPr>
          <w:bCs/>
          <w:b/>
        </w:rPr>
        <w:t xml:space="preserve">The amount of statistical analysis and results is often overwhelming. The authors could streamline the presentation better such that the main result is brought to the foreground. Currently the manuscript resembles a technical report.</w:t>
      </w:r>
    </w:p>
    <w:p>
      <w:pPr>
        <w:pStyle w:val="BodyText"/>
      </w:pPr>
      <w:r>
        <w:t xml:space="preserve">We apologize for this. From the Results, we have moved a number of sections to the Supplemental Materials to stream-line the manuscript (i.e., our analysis of general response biases [former section 5.4], the analysis of psychometric functions [former section 5.5], and the respective paragraphs on the IBL database). From the Discussion, we have removed the section on self-organized criticality (also following the suggestion of Reviewer 1). We have also moved more peripheral statistical results to the figure legends and the method section:</w:t>
      </w:r>
    </w:p>
    <w:p>
      <w:pPr>
        <w:numPr>
          <w:ilvl w:val="0"/>
          <w:numId w:val="1039"/>
        </w:numPr>
      </w:pPr>
      <w:r>
        <w:t xml:space="preserve">We have moved the statistics on exponential decay in the autocorrelation to the figure legends of Figure 2B and 3B.</w:t>
      </w:r>
    </w:p>
    <w:p>
      <w:pPr>
        <w:numPr>
          <w:ilvl w:val="0"/>
          <w:numId w:val="1039"/>
        </w:numPr>
      </w:pPr>
      <w:r>
        <w:t xml:space="preserve">We have shortened the description of logistic regression models that predict the stimulus- and history-congruence at the index trial from the stimulus- and history-congruence at the preceding trials.</w:t>
      </w:r>
    </w:p>
    <w:p>
      <w:pPr>
        <w:numPr>
          <w:ilvl w:val="0"/>
          <w:numId w:val="1039"/>
        </w:numPr>
      </w:pPr>
      <w:r>
        <w:t xml:space="preserve">The section on mouse behavior now matches the logic and presentation of results in the human section.</w:t>
      </w:r>
    </w:p>
    <w:p>
      <w:pPr>
        <w:pStyle w:val="FirstParagraph"/>
      </w:pPr>
      <w:r>
        <w:t xml:space="preserve">We hope that these changes will increase the readability of our manuscript.</w:t>
      </w:r>
    </w:p>
    <w:bookmarkEnd w:id="181"/>
    <w:bookmarkStart w:id="182" w:name="comment-10"/>
    <w:p>
      <w:pPr>
        <w:pStyle w:val="Heading3"/>
      </w:pPr>
      <w:r>
        <w:t xml:space="preserve">Comment 10</w:t>
      </w:r>
    </w:p>
    <w:p>
      <w:pPr>
        <w:pStyle w:val="FirstParagraph"/>
      </w:pPr>
      <w:r>
        <w:rPr>
          <w:bCs/>
          <w:b/>
        </w:rPr>
        <w:t xml:space="preserve">Some typos or omissions may alter the meaning in various places. Indicatively, in lines 273, 439, 649.</w:t>
      </w:r>
    </w:p>
    <w:p>
      <w:pPr>
        <w:pStyle w:val="BodyText"/>
      </w:pPr>
      <w:r>
        <w:t xml:space="preserve">Thanks a lot, we have corrected these typos.</w:t>
      </w:r>
    </w:p>
    <w:p>
      <w:r>
        <w:br w:type="page"/>
      </w:r>
    </w:p>
    <w:bookmarkEnd w:id="182"/>
    <w:bookmarkEnd w:id="183"/>
    <w:bookmarkEnd w:id="184"/>
    <w:bookmarkStart w:id="347" w:name="references"/>
    <w:p>
      <w:pPr>
        <w:pStyle w:val="Heading1"/>
      </w:pPr>
      <w:r>
        <w:t xml:space="preserve">References</w:t>
      </w:r>
    </w:p>
    <w:bookmarkStart w:id="346" w:name="refs"/>
    <w:bookmarkStart w:id="186" w:name="ref-Schrodinger1944"/>
    <w:p>
      <w:pPr>
        <w:pStyle w:val="Bibliography"/>
      </w:pPr>
      <w:r>
        <w:t xml:space="preserve">1.</w:t>
      </w:r>
      <w:r>
        <w:t xml:space="preserve"> </w:t>
      </w:r>
      <w:r>
        <w:t xml:space="preserve">	</w:t>
      </w:r>
      <w:r>
        <w:t xml:space="preserve">Schrödinger, E.</w:t>
      </w:r>
      <w:r>
        <w:t xml:space="preserve"> </w:t>
      </w:r>
      <w:hyperlink r:id="rId185">
        <w:r>
          <w:rPr>
            <w:rStyle w:val="Hyperlink"/>
            <w:iCs/>
            <w:i/>
          </w:rPr>
          <w:t xml:space="preserve">What is life? The physical aspect of the living cell</w:t>
        </w:r>
      </w:hyperlink>
      <w:r>
        <w:t xml:space="preserve">. (Cambridge University Press, 1944).</w:t>
      </w:r>
    </w:p>
    <w:bookmarkEnd w:id="186"/>
    <w:bookmarkStart w:id="188" w:name="ref-Ashby1947"/>
    <w:p>
      <w:pPr>
        <w:pStyle w:val="Bibliography"/>
      </w:pPr>
      <w:r>
        <w:t xml:space="preserve">2.</w:t>
      </w:r>
      <w:r>
        <w:t xml:space="preserve"> </w:t>
      </w:r>
      <w:r>
        <w:t xml:space="preserve">	</w:t>
      </w:r>
      <w:r>
        <w:t xml:space="preserve">Ashby, W. R.</w:t>
      </w:r>
      <w:r>
        <w:t xml:space="preserve"> </w:t>
      </w:r>
      <w:hyperlink r:id="rId187">
        <w:r>
          <w:rPr>
            <w:rStyle w:val="Hyperlink"/>
          </w:rPr>
          <w:t xml:space="preserve">Principles of the self-organizing dynamic system</w:t>
        </w:r>
      </w:hyperlink>
      <w:r>
        <w:t xml:space="preserve">.</w:t>
      </w:r>
      <w:r>
        <w:t xml:space="preserve"> </w:t>
      </w:r>
      <w:r>
        <w:rPr>
          <w:iCs/>
          <w:i/>
        </w:rPr>
        <w:t xml:space="preserve">Journal of General Psychology</w:t>
      </w:r>
      <w:r>
        <w:t xml:space="preserve"> </w:t>
      </w:r>
      <w:r>
        <w:rPr>
          <w:bCs/>
          <w:b/>
        </w:rPr>
        <w:t xml:space="preserve">37</w:t>
      </w:r>
      <w:r>
        <w:t xml:space="preserve">, 125–128 (1947).</w:t>
      </w:r>
    </w:p>
    <w:bookmarkEnd w:id="188"/>
    <w:bookmarkStart w:id="190" w:name="ref-Friston2013"/>
    <w:p>
      <w:pPr>
        <w:pStyle w:val="Bibliography"/>
      </w:pPr>
      <w:r>
        <w:t xml:space="preserve">3.</w:t>
      </w:r>
      <w:r>
        <w:t xml:space="preserve"> </w:t>
      </w:r>
      <w:r>
        <w:t xml:space="preserve">	</w:t>
      </w:r>
      <w:r>
        <w:t xml:space="preserve">Friston, K.</w:t>
      </w:r>
      <w:r>
        <w:t xml:space="preserve"> </w:t>
      </w:r>
      <w:r>
        <w:rPr>
          <w:iCs/>
          <w:i/>
        </w:rPr>
        <w:t xml:space="preserve">et al.</w:t>
      </w:r>
      <w:r>
        <w:t xml:space="preserve"> </w:t>
      </w:r>
      <w:hyperlink r:id="rId189">
        <w:r>
          <w:rPr>
            <w:rStyle w:val="Hyperlink"/>
          </w:rPr>
          <w:t xml:space="preserve">The anatomy of choice: Active inference and agency.</w:t>
        </w:r>
      </w:hyperlink>
      <w:r>
        <w:t xml:space="preserve"> </w:t>
      </w:r>
      <w:r>
        <w:rPr>
          <w:iCs/>
          <w:i/>
        </w:rPr>
        <w:t xml:space="preserve">Frontiers in human neuroscience</w:t>
      </w:r>
      <w:r>
        <w:t xml:space="preserve"> </w:t>
      </w:r>
      <w:r>
        <w:rPr>
          <w:bCs/>
          <w:b/>
        </w:rPr>
        <w:t xml:space="preserve">7</w:t>
      </w:r>
      <w:r>
        <w:t xml:space="preserve">, 598 (2013).</w:t>
      </w:r>
    </w:p>
    <w:bookmarkEnd w:id="190"/>
    <w:bookmarkStart w:id="192" w:name="ref-Palva2011"/>
    <w:p>
      <w:pPr>
        <w:pStyle w:val="Bibliography"/>
      </w:pPr>
      <w:r>
        <w:t xml:space="preserve">4.</w:t>
      </w:r>
      <w:r>
        <w:t xml:space="preserve"> </w:t>
      </w:r>
      <w:r>
        <w:t xml:space="preserve">	</w:t>
      </w:r>
      <w:r>
        <w:t xml:space="preserve">Palva, J. M.</w:t>
      </w:r>
      <w:r>
        <w:t xml:space="preserve"> </w:t>
      </w:r>
      <w:r>
        <w:rPr>
          <w:iCs/>
          <w:i/>
        </w:rPr>
        <w:t xml:space="preserve">et al.</w:t>
      </w:r>
      <w:r>
        <w:t xml:space="preserve"> </w:t>
      </w:r>
      <w:hyperlink r:id="rId191">
        <w:r>
          <w:rPr>
            <w:rStyle w:val="Hyperlink"/>
          </w:rPr>
          <w:t xml:space="preserve">Roles of multiscale brain activity fluctuations in shaping the variability and dynamics of psychophysical performance</w:t>
        </w:r>
      </w:hyperlink>
      <w:r>
        <w:t xml:space="preserve">. in</w:t>
      </w:r>
      <w:r>
        <w:t xml:space="preserve"> </w:t>
      </w:r>
      <w:r>
        <w:rPr>
          <w:iCs/>
          <w:i/>
        </w:rPr>
        <w:t xml:space="preserve">Progress in Brain Research</w:t>
      </w:r>
      <w:r>
        <w:t xml:space="preserve"> </w:t>
      </w:r>
      <w:r>
        <w:t xml:space="preserve">vol. 193 335–350 (Elsevier B.V., 2011).</w:t>
      </w:r>
    </w:p>
    <w:bookmarkEnd w:id="192"/>
    <w:bookmarkStart w:id="194" w:name="ref-VanRullen2016"/>
    <w:p>
      <w:pPr>
        <w:pStyle w:val="Bibliography"/>
      </w:pPr>
      <w:r>
        <w:t xml:space="preserve">5.</w:t>
      </w:r>
      <w:r>
        <w:t xml:space="preserve"> </w:t>
      </w:r>
      <w:r>
        <w:t xml:space="preserve">	</w:t>
      </w:r>
      <w:r>
        <w:t xml:space="preserve">VanRullen, R.</w:t>
      </w:r>
      <w:r>
        <w:t xml:space="preserve"> </w:t>
      </w:r>
      <w:hyperlink r:id="rId193">
        <w:r>
          <w:rPr>
            <w:rStyle w:val="Hyperlink"/>
          </w:rPr>
          <w:t xml:space="preserve">Perceptual cycles</w:t>
        </w:r>
      </w:hyperlink>
      <w:r>
        <w:t xml:space="preserve">.</w:t>
      </w:r>
      <w:r>
        <w:t xml:space="preserve"> </w:t>
      </w:r>
      <w:r>
        <w:rPr>
          <w:iCs/>
          <w:i/>
        </w:rPr>
        <w:t xml:space="preserve">Trends in Cognitive Sciences</w:t>
      </w:r>
      <w:r>
        <w:t xml:space="preserve"> </w:t>
      </w:r>
      <w:r>
        <w:rPr>
          <w:bCs/>
          <w:b/>
        </w:rPr>
        <w:t xml:space="preserve">20</w:t>
      </w:r>
      <w:r>
        <w:t xml:space="preserve">, 723–735 (2016).</w:t>
      </w:r>
    </w:p>
    <w:bookmarkEnd w:id="194"/>
    <w:bookmarkStart w:id="196" w:name="ref-Verplanck1952"/>
    <w:p>
      <w:pPr>
        <w:pStyle w:val="Bibliography"/>
      </w:pPr>
      <w:r>
        <w:t xml:space="preserve">6.</w:t>
      </w:r>
      <w:r>
        <w:t xml:space="preserve"> </w:t>
      </w:r>
      <w:r>
        <w:t xml:space="preserve">	</w:t>
      </w:r>
      <w:r>
        <w:t xml:space="preserve">Verplanck, W.</w:t>
      </w:r>
      <w:r>
        <w:t xml:space="preserve"> </w:t>
      </w:r>
      <w:r>
        <w:rPr>
          <w:iCs/>
          <w:i/>
        </w:rPr>
        <w:t xml:space="preserve">et al.</w:t>
      </w:r>
      <w:r>
        <w:t xml:space="preserve"> </w:t>
      </w:r>
      <w:hyperlink r:id="rId195">
        <w:r>
          <w:rPr>
            <w:rStyle w:val="Hyperlink"/>
          </w:rPr>
          <w:t xml:space="preserve">Nonindependence of successive responses in measurements of the visual threshold.</w:t>
        </w:r>
      </w:hyperlink>
      <w:r>
        <w:t xml:space="preserve"> </w:t>
      </w:r>
      <w:r>
        <w:rPr>
          <w:iCs/>
          <w:i/>
        </w:rPr>
        <w:t xml:space="preserve">psycnet.apa.org</w:t>
      </w:r>
      <w:r>
        <w:t xml:space="preserve"> </w:t>
      </w:r>
      <w:r>
        <w:t xml:space="preserve">(1952).</w:t>
      </w:r>
    </w:p>
    <w:bookmarkEnd w:id="196"/>
    <w:bookmarkStart w:id="198" w:name="ref-Atkinson1963"/>
    <w:p>
      <w:pPr>
        <w:pStyle w:val="Bibliography"/>
      </w:pPr>
      <w:r>
        <w:t xml:space="preserve">7.</w:t>
      </w:r>
      <w:r>
        <w:t xml:space="preserve"> </w:t>
      </w:r>
      <w:r>
        <w:t xml:space="preserve">	</w:t>
      </w:r>
      <w:r>
        <w:t xml:space="preserve">Atkinson, R. C.</w:t>
      </w:r>
      <w:r>
        <w:t xml:space="preserve"> </w:t>
      </w:r>
      <w:hyperlink r:id="rId197">
        <w:r>
          <w:rPr>
            <w:rStyle w:val="Hyperlink"/>
          </w:rPr>
          <w:t xml:space="preserve">A variable sensitivity theory of signal detection</w:t>
        </w:r>
      </w:hyperlink>
      <w:r>
        <w:t xml:space="preserve">.</w:t>
      </w:r>
      <w:r>
        <w:t xml:space="preserve"> </w:t>
      </w:r>
      <w:r>
        <w:rPr>
          <w:iCs/>
          <w:i/>
        </w:rPr>
        <w:t xml:space="preserve">Psychological Review</w:t>
      </w:r>
      <w:r>
        <w:t xml:space="preserve"> </w:t>
      </w:r>
      <w:r>
        <w:rPr>
          <w:bCs/>
          <w:b/>
        </w:rPr>
        <w:t xml:space="preserve">70</w:t>
      </w:r>
      <w:r>
        <w:t xml:space="preserve">, 91–106 (1963).</w:t>
      </w:r>
    </w:p>
    <w:bookmarkEnd w:id="198"/>
    <w:bookmarkStart w:id="200" w:name="ref-Dehaene1993"/>
    <w:p>
      <w:pPr>
        <w:pStyle w:val="Bibliography"/>
      </w:pPr>
      <w:r>
        <w:t xml:space="preserve">8.</w:t>
      </w:r>
      <w:r>
        <w:t xml:space="preserve"> </w:t>
      </w:r>
      <w:r>
        <w:t xml:space="preserve">	</w:t>
      </w:r>
      <w:r>
        <w:t xml:space="preserve">Dehaene, S.</w:t>
      </w:r>
      <w:r>
        <w:t xml:space="preserve"> </w:t>
      </w:r>
      <w:hyperlink r:id="rId199">
        <w:r>
          <w:rPr>
            <w:rStyle w:val="Hyperlink"/>
          </w:rPr>
          <w:t xml:space="preserve">Temporal oscillations in human perception</w:t>
        </w:r>
      </w:hyperlink>
      <w:r>
        <w:t xml:space="preserve">.</w:t>
      </w:r>
      <w:r>
        <w:t xml:space="preserve"> </w:t>
      </w:r>
      <w:r>
        <w:rPr>
          <w:iCs/>
          <w:i/>
        </w:rPr>
        <w:t xml:space="preserve">Psychological Science</w:t>
      </w:r>
      <w:r>
        <w:t xml:space="preserve"> </w:t>
      </w:r>
      <w:r>
        <w:rPr>
          <w:bCs/>
          <w:b/>
        </w:rPr>
        <w:t xml:space="preserve">4</w:t>
      </w:r>
      <w:r>
        <w:t xml:space="preserve">, 264–270 (1993).</w:t>
      </w:r>
    </w:p>
    <w:bookmarkEnd w:id="200"/>
    <w:bookmarkStart w:id="202" w:name="ref-Gilden1995"/>
    <w:p>
      <w:pPr>
        <w:pStyle w:val="Bibliography"/>
      </w:pPr>
      <w:r>
        <w:t xml:space="preserve">9.</w:t>
      </w:r>
      <w:r>
        <w:t xml:space="preserve"> </w:t>
      </w:r>
      <w:r>
        <w:t xml:space="preserve">	</w:t>
      </w:r>
      <w:r>
        <w:t xml:space="preserve">Gilden, D. L.</w:t>
      </w:r>
      <w:r>
        <w:t xml:space="preserve"> </w:t>
      </w:r>
      <w:r>
        <w:rPr>
          <w:iCs/>
          <w:i/>
        </w:rPr>
        <w:t xml:space="preserve">et al.</w:t>
      </w:r>
      <w:r>
        <w:t xml:space="preserve"> </w:t>
      </w:r>
      <w:hyperlink r:id="rId201">
        <w:r>
          <w:rPr>
            <w:rStyle w:val="Hyperlink"/>
          </w:rPr>
          <w:t xml:space="preserve">On the nature of streaks in signal detection</w:t>
        </w:r>
      </w:hyperlink>
      <w:r>
        <w:t xml:space="preserve">.</w:t>
      </w:r>
      <w:r>
        <w:t xml:space="preserve"> </w:t>
      </w:r>
      <w:r>
        <w:rPr>
          <w:iCs/>
          <w:i/>
        </w:rPr>
        <w:t xml:space="preserve">Cognitive Psychology</w:t>
      </w:r>
      <w:r>
        <w:t xml:space="preserve"> </w:t>
      </w:r>
      <w:r>
        <w:rPr>
          <w:bCs/>
          <w:b/>
        </w:rPr>
        <w:t xml:space="preserve">28</w:t>
      </w:r>
      <w:r>
        <w:t xml:space="preserve">, 17–64 (1995).</w:t>
      </w:r>
    </w:p>
    <w:bookmarkEnd w:id="202"/>
    <w:bookmarkStart w:id="204" w:name="ref-Gilden1995a"/>
    <w:p>
      <w:pPr>
        <w:pStyle w:val="Bibliography"/>
      </w:pPr>
      <w:r>
        <w:t xml:space="preserve">10.</w:t>
      </w:r>
      <w:r>
        <w:t xml:space="preserve"> </w:t>
      </w:r>
      <w:r>
        <w:t xml:space="preserve">	</w:t>
      </w:r>
      <w:r>
        <w:t xml:space="preserve">Gilden, D. L.</w:t>
      </w:r>
      <w:r>
        <w:t xml:space="preserve"> </w:t>
      </w:r>
      <w:r>
        <w:rPr>
          <w:iCs/>
          <w:i/>
        </w:rPr>
        <w:t xml:space="preserve">et al.</w:t>
      </w:r>
      <w:r>
        <w:t xml:space="preserve"> </w:t>
      </w:r>
      <w:hyperlink r:id="rId203">
        <w:r>
          <w:rPr>
            <w:rStyle w:val="Hyperlink"/>
          </w:rPr>
          <w:t xml:space="preserve">1/f noise in human cognition</w:t>
        </w:r>
      </w:hyperlink>
      <w:r>
        <w:t xml:space="preserve">.</w:t>
      </w:r>
      <w:r>
        <w:t xml:space="preserve"> </w:t>
      </w:r>
      <w:r>
        <w:rPr>
          <w:iCs/>
          <w:i/>
        </w:rPr>
        <w:t xml:space="preserve">Science</w:t>
      </w:r>
      <w:r>
        <w:t xml:space="preserve"> </w:t>
      </w:r>
      <w:r>
        <w:rPr>
          <w:bCs/>
          <w:b/>
        </w:rPr>
        <w:t xml:space="preserve">67</w:t>
      </w:r>
      <w:r>
        <w:t xml:space="preserve">, 1837–1839 (1995).</w:t>
      </w:r>
    </w:p>
    <w:bookmarkEnd w:id="204"/>
    <w:bookmarkStart w:id="206" w:name="ref-Monto2008"/>
    <w:p>
      <w:pPr>
        <w:pStyle w:val="Bibliography"/>
      </w:pPr>
      <w:r>
        <w:t xml:space="preserve">11.</w:t>
      </w:r>
      <w:r>
        <w:t xml:space="preserve"> </w:t>
      </w:r>
      <w:r>
        <w:t xml:space="preserve">	</w:t>
      </w:r>
      <w:r>
        <w:t xml:space="preserve">Monto, S.</w:t>
      </w:r>
      <w:r>
        <w:t xml:space="preserve"> </w:t>
      </w:r>
      <w:r>
        <w:rPr>
          <w:iCs/>
          <w:i/>
        </w:rPr>
        <w:t xml:space="preserve">et al.</w:t>
      </w:r>
      <w:r>
        <w:t xml:space="preserve"> </w:t>
      </w:r>
      <w:hyperlink r:id="rId205">
        <w:r>
          <w:rPr>
            <w:rStyle w:val="Hyperlink"/>
          </w:rPr>
          <w:t xml:space="preserve">Very slow EEG fluctuations predict the dynamics of stimulus detection and oscillation amplitudes in humans</w:t>
        </w:r>
      </w:hyperlink>
      <w:r>
        <w:t xml:space="preserve">.</w:t>
      </w:r>
      <w:r>
        <w:t xml:space="preserve"> </w:t>
      </w:r>
      <w:r>
        <w:rPr>
          <w:iCs/>
          <w:i/>
        </w:rPr>
        <w:t xml:space="preserve">Journal of Neuroscience</w:t>
      </w:r>
      <w:r>
        <w:t xml:space="preserve"> </w:t>
      </w:r>
      <w:r>
        <w:rPr>
          <w:bCs/>
          <w:b/>
        </w:rPr>
        <w:t xml:space="preserve">28</w:t>
      </w:r>
      <w:r>
        <w:t xml:space="preserve">, 8268–8272 (2008).</w:t>
      </w:r>
    </w:p>
    <w:bookmarkEnd w:id="206"/>
    <w:bookmarkStart w:id="208" w:name="ref-Ashwood2022"/>
    <w:p>
      <w:pPr>
        <w:pStyle w:val="Bibliography"/>
      </w:pPr>
      <w:r>
        <w:t xml:space="preserve">12.</w:t>
      </w:r>
      <w:r>
        <w:t xml:space="preserve"> </w:t>
      </w:r>
      <w:r>
        <w:t xml:space="preserve">	</w:t>
      </w:r>
      <w:r>
        <w:t xml:space="preserve">Ashwood, Z. C.</w:t>
      </w:r>
      <w:r>
        <w:t xml:space="preserve"> </w:t>
      </w:r>
      <w:r>
        <w:rPr>
          <w:iCs/>
          <w:i/>
        </w:rPr>
        <w:t xml:space="preserve">et al.</w:t>
      </w:r>
      <w:r>
        <w:t xml:space="preserve"> </w:t>
      </w:r>
      <w:hyperlink r:id="rId207">
        <w:r>
          <w:rPr>
            <w:rStyle w:val="Hyperlink"/>
          </w:rPr>
          <w:t xml:space="preserve">Mice alternate between discrete strategies during perceptual decision-making</w:t>
        </w:r>
      </w:hyperlink>
      <w:r>
        <w:t xml:space="preserve">.</w:t>
      </w:r>
      <w:r>
        <w:t xml:space="preserve"> </w:t>
      </w:r>
      <w:r>
        <w:rPr>
          <w:iCs/>
          <w:i/>
        </w:rPr>
        <w:t xml:space="preserve">Nature Neuroscience</w:t>
      </w:r>
      <w:r>
        <w:t xml:space="preserve"> </w:t>
      </w:r>
      <w:r>
        <w:rPr>
          <w:bCs/>
          <w:b/>
        </w:rPr>
        <w:t xml:space="preserve">25</w:t>
      </w:r>
      <w:r>
        <w:t xml:space="preserve">, 201–212 (2022).</w:t>
      </w:r>
    </w:p>
    <w:bookmarkEnd w:id="208"/>
    <w:bookmarkStart w:id="210" w:name="ref-Gilden2001"/>
    <w:p>
      <w:pPr>
        <w:pStyle w:val="Bibliography"/>
      </w:pPr>
      <w:r>
        <w:t xml:space="preserve">13.</w:t>
      </w:r>
      <w:r>
        <w:t xml:space="preserve"> </w:t>
      </w:r>
      <w:r>
        <w:t xml:space="preserve">	</w:t>
      </w:r>
      <w:r>
        <w:t xml:space="preserve">Gilden, D. L.</w:t>
      </w:r>
      <w:r>
        <w:t xml:space="preserve"> </w:t>
      </w:r>
      <w:hyperlink r:id="rId209">
        <w:r>
          <w:rPr>
            <w:rStyle w:val="Hyperlink"/>
          </w:rPr>
          <w:t xml:space="preserve">Cognitive emissions of 1/f noise</w:t>
        </w:r>
      </w:hyperlink>
      <w:r>
        <w:t xml:space="preserve">.</w:t>
      </w:r>
      <w:r>
        <w:t xml:space="preserve"> </w:t>
      </w:r>
      <w:r>
        <w:rPr>
          <w:iCs/>
          <w:i/>
        </w:rPr>
        <w:t xml:space="preserve">Psychological Review</w:t>
      </w:r>
      <w:r>
        <w:t xml:space="preserve"> </w:t>
      </w:r>
      <w:r>
        <w:rPr>
          <w:bCs/>
          <w:b/>
        </w:rPr>
        <w:t xml:space="preserve">108</w:t>
      </w:r>
      <w:r>
        <w:t xml:space="preserve">, 33–56 (2001).</w:t>
      </w:r>
    </w:p>
    <w:bookmarkEnd w:id="210"/>
    <w:bookmarkStart w:id="212" w:name="ref-Duncan2012"/>
    <w:p>
      <w:pPr>
        <w:pStyle w:val="Bibliography"/>
      </w:pPr>
      <w:r>
        <w:t xml:space="preserve">14.</w:t>
      </w:r>
      <w:r>
        <w:t xml:space="preserve"> </w:t>
      </w:r>
      <w:r>
        <w:t xml:space="preserve">	</w:t>
      </w:r>
      <w:r>
        <w:t xml:space="preserve">Duncan, K.</w:t>
      </w:r>
      <w:r>
        <w:t xml:space="preserve"> </w:t>
      </w:r>
      <w:r>
        <w:rPr>
          <w:iCs/>
          <w:i/>
        </w:rPr>
        <w:t xml:space="preserve">et al.</w:t>
      </w:r>
      <w:r>
        <w:t xml:space="preserve"> </w:t>
      </w:r>
      <w:hyperlink r:id="rId211">
        <w:r>
          <w:rPr>
            <w:rStyle w:val="Hyperlink"/>
          </w:rPr>
          <w:t xml:space="preserve">Memory’s penumbra: Episodic memory decisions induce lingering mnemonic biases</w:t>
        </w:r>
      </w:hyperlink>
      <w:r>
        <w:t xml:space="preserve">.</w:t>
      </w:r>
      <w:r>
        <w:t xml:space="preserve"> </w:t>
      </w:r>
      <w:r>
        <w:rPr>
          <w:iCs/>
          <w:i/>
        </w:rPr>
        <w:t xml:space="preserve">Science</w:t>
      </w:r>
      <w:r>
        <w:t xml:space="preserve"> </w:t>
      </w:r>
      <w:r>
        <w:rPr>
          <w:bCs/>
          <w:b/>
        </w:rPr>
        <w:t xml:space="preserve">337</w:t>
      </w:r>
      <w:r>
        <w:t xml:space="preserve">, 485–487 (2012).</w:t>
      </w:r>
    </w:p>
    <w:bookmarkEnd w:id="212"/>
    <w:bookmarkStart w:id="214" w:name="ref-ClareKelly2008"/>
    <w:p>
      <w:pPr>
        <w:pStyle w:val="Bibliography"/>
      </w:pPr>
      <w:r>
        <w:t xml:space="preserve">15.</w:t>
      </w:r>
      <w:r>
        <w:t xml:space="preserve"> </w:t>
      </w:r>
      <w:r>
        <w:t xml:space="preserve">	</w:t>
      </w:r>
      <w:r>
        <w:t xml:space="preserve">Kelly, A. M. C.</w:t>
      </w:r>
      <w:r>
        <w:t xml:space="preserve"> </w:t>
      </w:r>
      <w:r>
        <w:rPr>
          <w:iCs/>
          <w:i/>
        </w:rPr>
        <w:t xml:space="preserve">et al.</w:t>
      </w:r>
      <w:r>
        <w:t xml:space="preserve"> </w:t>
      </w:r>
      <w:hyperlink r:id="rId213">
        <w:r>
          <w:rPr>
            <w:rStyle w:val="Hyperlink"/>
          </w:rPr>
          <w:t xml:space="preserve">Competition between functional brain networks mediates behavioral variability</w:t>
        </w:r>
      </w:hyperlink>
      <w:r>
        <w:t xml:space="preserve">.</w:t>
      </w:r>
      <w:r>
        <w:t xml:space="preserve"> </w:t>
      </w:r>
      <w:r>
        <w:rPr>
          <w:iCs/>
          <w:i/>
        </w:rPr>
        <w:t xml:space="preserve">NeuroImage</w:t>
      </w:r>
      <w:r>
        <w:t xml:space="preserve"> </w:t>
      </w:r>
      <w:r>
        <w:rPr>
          <w:bCs/>
          <w:b/>
        </w:rPr>
        <w:t xml:space="preserve">39</w:t>
      </w:r>
      <w:r>
        <w:t xml:space="preserve">, 527–537 (2008).</w:t>
      </w:r>
    </w:p>
    <w:bookmarkEnd w:id="214"/>
    <w:bookmarkStart w:id="216" w:name="ref-Hesselmann2008"/>
    <w:p>
      <w:pPr>
        <w:pStyle w:val="Bibliography"/>
      </w:pPr>
      <w:r>
        <w:t xml:space="preserve">16.</w:t>
      </w:r>
      <w:r>
        <w:t xml:space="preserve"> </w:t>
      </w:r>
      <w:r>
        <w:t xml:space="preserve">	</w:t>
      </w:r>
      <w:r>
        <w:t xml:space="preserve">Hesselmann, G.</w:t>
      </w:r>
      <w:r>
        <w:t xml:space="preserve"> </w:t>
      </w:r>
      <w:r>
        <w:rPr>
          <w:iCs/>
          <w:i/>
        </w:rPr>
        <w:t xml:space="preserve">et al.</w:t>
      </w:r>
      <w:r>
        <w:t xml:space="preserve"> </w:t>
      </w:r>
      <w:hyperlink r:id="rId215">
        <w:r>
          <w:rPr>
            <w:rStyle w:val="Hyperlink"/>
          </w:rPr>
          <w:t xml:space="preserve">Spontaneous local variations in ongoing neural activity bias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105</w:t>
      </w:r>
      <w:r>
        <w:t xml:space="preserve">, 10984–10989 (2008).</w:t>
      </w:r>
    </w:p>
    <w:bookmarkEnd w:id="216"/>
    <w:bookmarkStart w:id="218" w:name="ref-Schroeder2010a"/>
    <w:p>
      <w:pPr>
        <w:pStyle w:val="Bibliography"/>
      </w:pPr>
      <w:r>
        <w:t xml:space="preserve">17.</w:t>
      </w:r>
      <w:r>
        <w:t xml:space="preserve"> </w:t>
      </w:r>
      <w:r>
        <w:t xml:space="preserve">	</w:t>
      </w:r>
      <w:r>
        <w:t xml:space="preserve">Schroeder, C. E.</w:t>
      </w:r>
      <w:r>
        <w:t xml:space="preserve"> </w:t>
      </w:r>
      <w:r>
        <w:rPr>
          <w:iCs/>
          <w:i/>
        </w:rPr>
        <w:t xml:space="preserve">et al.</w:t>
      </w:r>
      <w:r>
        <w:t xml:space="preserve"> </w:t>
      </w:r>
      <w:hyperlink r:id="rId217">
        <w:r>
          <w:rPr>
            <w:rStyle w:val="Hyperlink"/>
          </w:rPr>
          <w:t xml:space="preserve">Dynamics of active sensing and perceptual selection</w:t>
        </w:r>
      </w:hyperlink>
      <w:r>
        <w:t xml:space="preserve">.</w:t>
      </w:r>
      <w:r>
        <w:t xml:space="preserve"> </w:t>
      </w:r>
      <w:r>
        <w:rPr>
          <w:iCs/>
          <w:i/>
        </w:rPr>
        <w:t xml:space="preserve">Current Opinion in Neurobiology</w:t>
      </w:r>
      <w:r>
        <w:t xml:space="preserve"> </w:t>
      </w:r>
      <w:r>
        <w:rPr>
          <w:bCs/>
          <w:b/>
        </w:rPr>
        <w:t xml:space="preserve">20</w:t>
      </w:r>
      <w:r>
        <w:t xml:space="preserve">, 172–176 (2010).</w:t>
      </w:r>
    </w:p>
    <w:bookmarkEnd w:id="218"/>
    <w:bookmarkStart w:id="220" w:name="ref-Honey2017"/>
    <w:p>
      <w:pPr>
        <w:pStyle w:val="Bibliography"/>
      </w:pPr>
      <w:r>
        <w:t xml:space="preserve">18.</w:t>
      </w:r>
      <w:r>
        <w:t xml:space="preserve"> </w:t>
      </w:r>
      <w:r>
        <w:t xml:space="preserve">	</w:t>
      </w:r>
      <w:r>
        <w:t xml:space="preserve">Honey, C. J.</w:t>
      </w:r>
      <w:r>
        <w:t xml:space="preserve"> </w:t>
      </w:r>
      <w:r>
        <w:rPr>
          <w:iCs/>
          <w:i/>
        </w:rPr>
        <w:t xml:space="preserve">et al.</w:t>
      </w:r>
      <w:r>
        <w:t xml:space="preserve"> </w:t>
      </w:r>
      <w:hyperlink r:id="rId219">
        <w:r>
          <w:rPr>
            <w:rStyle w:val="Hyperlink"/>
          </w:rPr>
          <w:t xml:space="preserve">Switching between internal and external modes: A multiscale learning principle</w:t>
        </w:r>
      </w:hyperlink>
      <w:r>
        <w:t xml:space="preserve">.</w:t>
      </w:r>
      <w:r>
        <w:t xml:space="preserve"> </w:t>
      </w:r>
      <w:r>
        <w:rPr>
          <w:iCs/>
          <w:i/>
        </w:rPr>
        <w:t xml:space="preserve">Network Neuroscience</w:t>
      </w:r>
      <w:r>
        <w:t xml:space="preserve"> </w:t>
      </w:r>
      <w:r>
        <w:rPr>
          <w:bCs/>
          <w:b/>
        </w:rPr>
        <w:t xml:space="preserve">1</w:t>
      </w:r>
      <w:r>
        <w:t xml:space="preserve">, 339–356 (2017).</w:t>
      </w:r>
    </w:p>
    <w:bookmarkEnd w:id="220"/>
    <w:bookmarkStart w:id="222" w:name="ref-Weilnhammer2021a"/>
    <w:p>
      <w:pPr>
        <w:pStyle w:val="Bibliography"/>
      </w:pPr>
      <w:r>
        <w:t xml:space="preserve">19.</w:t>
      </w:r>
      <w:r>
        <w:t xml:space="preserve"> </w:t>
      </w:r>
      <w:r>
        <w:t xml:space="preserve">	</w:t>
      </w:r>
      <w:r>
        <w:t xml:space="preserve">Weilnhammer, V.</w:t>
      </w:r>
      <w:r>
        <w:t xml:space="preserve"> </w:t>
      </w:r>
      <w:r>
        <w:rPr>
          <w:iCs/>
          <w:i/>
        </w:rPr>
        <w:t xml:space="preserve">et al.</w:t>
      </w:r>
      <w:r>
        <w:t xml:space="preserve"> </w:t>
      </w:r>
      <w:hyperlink r:id="rId221">
        <w:r>
          <w:rPr>
            <w:rStyle w:val="Hyperlink"/>
          </w:rPr>
          <w:t xml:space="preserve">Bistable perception alternates between internal and external modes of sensory processing</w:t>
        </w:r>
      </w:hyperlink>
      <w:r>
        <w:t xml:space="preserve">.</w:t>
      </w:r>
      <w:r>
        <w:t xml:space="preserve"> </w:t>
      </w:r>
      <w:r>
        <w:rPr>
          <w:iCs/>
          <w:i/>
        </w:rPr>
        <w:t xml:space="preserve">iScience</w:t>
      </w:r>
      <w:r>
        <w:t xml:space="preserve"> </w:t>
      </w:r>
      <w:r>
        <w:rPr>
          <w:bCs/>
          <w:b/>
        </w:rPr>
        <w:t xml:space="preserve">24</w:t>
      </w:r>
      <w:r>
        <w:t xml:space="preserve">, (2021).</w:t>
      </w:r>
    </w:p>
    <w:bookmarkEnd w:id="222"/>
    <w:bookmarkStart w:id="224" w:name="ref-Rahnev2020"/>
    <w:p>
      <w:pPr>
        <w:pStyle w:val="Bibliography"/>
      </w:pPr>
      <w:r>
        <w:t xml:space="preserve">20.</w:t>
      </w:r>
      <w:r>
        <w:t xml:space="preserve"> </w:t>
      </w:r>
      <w:r>
        <w:t xml:space="preserve">	</w:t>
      </w:r>
      <w:r>
        <w:t xml:space="preserve">Rahnev, D.</w:t>
      </w:r>
      <w:r>
        <w:t xml:space="preserve"> </w:t>
      </w:r>
      <w:r>
        <w:rPr>
          <w:iCs/>
          <w:i/>
        </w:rPr>
        <w:t xml:space="preserve">et al.</w:t>
      </w:r>
      <w:r>
        <w:t xml:space="preserve"> </w:t>
      </w:r>
      <w:hyperlink r:id="rId223">
        <w:r>
          <w:rPr>
            <w:rStyle w:val="Hyperlink"/>
          </w:rPr>
          <w:t xml:space="preserve">The confidence database</w:t>
        </w:r>
      </w:hyperlink>
      <w:r>
        <w:t xml:space="preserve">.</w:t>
      </w:r>
      <w:r>
        <w:t xml:space="preserve"> </w:t>
      </w:r>
      <w:r>
        <w:rPr>
          <w:iCs/>
          <w:i/>
        </w:rPr>
        <w:t xml:space="preserve">Nature Human Behaviour</w:t>
      </w:r>
      <w:r>
        <w:t xml:space="preserve"> </w:t>
      </w:r>
      <w:r>
        <w:rPr>
          <w:bCs/>
          <w:b/>
        </w:rPr>
        <w:t xml:space="preserve">4</w:t>
      </w:r>
      <w:r>
        <w:t xml:space="preserve">, 317–325 (2020).</w:t>
      </w:r>
    </w:p>
    <w:bookmarkEnd w:id="224"/>
    <w:bookmarkStart w:id="226" w:name="ref-IBL2021"/>
    <w:p>
      <w:pPr>
        <w:pStyle w:val="Bibliography"/>
      </w:pPr>
      <w:r>
        <w:t xml:space="preserve">21.</w:t>
      </w:r>
      <w:r>
        <w:t xml:space="preserve"> </w:t>
      </w:r>
      <w:r>
        <w:t xml:space="preserve">	</w:t>
      </w:r>
      <w:r>
        <w:t xml:space="preserve">Aguillon-Rodriguez, V.</w:t>
      </w:r>
      <w:r>
        <w:t xml:space="preserve"> </w:t>
      </w:r>
      <w:r>
        <w:rPr>
          <w:iCs/>
          <w:i/>
        </w:rPr>
        <w:t xml:space="preserve">et al.</w:t>
      </w:r>
      <w:r>
        <w:t xml:space="preserve"> </w:t>
      </w:r>
      <w:hyperlink r:id="rId225">
        <w:r>
          <w:rPr>
            <w:rStyle w:val="Hyperlink"/>
          </w:rPr>
          <w:t xml:space="preserve">Standardized and reproducible measurement of decision-making in mice</w:t>
        </w:r>
      </w:hyperlink>
      <w:r>
        <w:t xml:space="preserve">.</w:t>
      </w:r>
      <w:r>
        <w:t xml:space="preserve"> </w:t>
      </w:r>
      <w:r>
        <w:rPr>
          <w:iCs/>
          <w:i/>
        </w:rPr>
        <w:t xml:space="preserve">eLife</w:t>
      </w:r>
      <w:r>
        <w:t xml:space="preserve"> </w:t>
      </w:r>
      <w:r>
        <w:rPr>
          <w:bCs/>
          <w:b/>
        </w:rPr>
        <w:t xml:space="preserve">10</w:t>
      </w:r>
      <w:r>
        <w:t xml:space="preserve">, (2021).</w:t>
      </w:r>
    </w:p>
    <w:bookmarkEnd w:id="226"/>
    <w:bookmarkStart w:id="228" w:name="ref-fischer_serial_2014"/>
    <w:p>
      <w:pPr>
        <w:pStyle w:val="Bibliography"/>
      </w:pPr>
      <w:r>
        <w:t xml:space="preserve">22.</w:t>
      </w:r>
      <w:r>
        <w:t xml:space="preserve"> </w:t>
      </w:r>
      <w:r>
        <w:t xml:space="preserve">	</w:t>
      </w:r>
      <w:r>
        <w:t xml:space="preserve">Fischer, J.</w:t>
      </w:r>
      <w:r>
        <w:t xml:space="preserve"> </w:t>
      </w:r>
      <w:r>
        <w:rPr>
          <w:iCs/>
          <w:i/>
        </w:rPr>
        <w:t xml:space="preserve">et al.</w:t>
      </w:r>
      <w:r>
        <w:t xml:space="preserve"> </w:t>
      </w:r>
      <w:hyperlink r:id="rId227">
        <w:r>
          <w:rPr>
            <w:rStyle w:val="Hyperlink"/>
          </w:rPr>
          <w:t xml:space="preserve">Serial dependence in visual perception</w:t>
        </w:r>
      </w:hyperlink>
      <w:r>
        <w:t xml:space="preserve">.</w:t>
      </w:r>
      <w:r>
        <w:t xml:space="preserve"> </w:t>
      </w:r>
      <w:r>
        <w:rPr>
          <w:iCs/>
          <w:i/>
        </w:rPr>
        <w:t xml:space="preserve">Nat. Neurosci.</w:t>
      </w:r>
      <w:r>
        <w:t xml:space="preserve"> </w:t>
      </w:r>
      <w:r>
        <w:rPr>
          <w:bCs/>
          <w:b/>
        </w:rPr>
        <w:t xml:space="preserve">17</w:t>
      </w:r>
      <w:r>
        <w:t xml:space="preserve">, 738–743 (2014).</w:t>
      </w:r>
    </w:p>
    <w:bookmarkEnd w:id="228"/>
    <w:bookmarkStart w:id="230" w:name="ref-Liberman2014"/>
    <w:p>
      <w:pPr>
        <w:pStyle w:val="Bibliography"/>
      </w:pPr>
      <w:r>
        <w:t xml:space="preserve">23.</w:t>
      </w:r>
      <w:r>
        <w:t xml:space="preserve"> </w:t>
      </w:r>
      <w:r>
        <w:t xml:space="preserve">	</w:t>
      </w:r>
      <w:r>
        <w:t xml:space="preserve">Liberman, A.</w:t>
      </w:r>
      <w:r>
        <w:t xml:space="preserve"> </w:t>
      </w:r>
      <w:r>
        <w:rPr>
          <w:iCs/>
          <w:i/>
        </w:rPr>
        <w:t xml:space="preserve">et al.</w:t>
      </w:r>
      <w:r>
        <w:t xml:space="preserve"> </w:t>
      </w:r>
      <w:hyperlink r:id="rId229">
        <w:r>
          <w:rPr>
            <w:rStyle w:val="Hyperlink"/>
          </w:rPr>
          <w:t xml:space="preserve">Serial dependence in the perception of faces</w:t>
        </w:r>
      </w:hyperlink>
      <w:r>
        <w:t xml:space="preserve">.</w:t>
      </w:r>
      <w:r>
        <w:t xml:space="preserve"> </w:t>
      </w:r>
      <w:r>
        <w:rPr>
          <w:iCs/>
          <w:i/>
        </w:rPr>
        <w:t xml:space="preserve">Current Biology</w:t>
      </w:r>
      <w:r>
        <w:t xml:space="preserve"> </w:t>
      </w:r>
      <w:r>
        <w:rPr>
          <w:bCs/>
          <w:b/>
        </w:rPr>
        <w:t xml:space="preserve">24</w:t>
      </w:r>
      <w:r>
        <w:t xml:space="preserve">, 2569–2574 (2014).</w:t>
      </w:r>
    </w:p>
    <w:bookmarkEnd w:id="230"/>
    <w:bookmarkStart w:id="232" w:name="ref-Abrahamyan2016"/>
    <w:p>
      <w:pPr>
        <w:pStyle w:val="Bibliography"/>
      </w:pPr>
      <w:r>
        <w:t xml:space="preserve">24.</w:t>
      </w:r>
      <w:r>
        <w:t xml:space="preserve"> </w:t>
      </w:r>
      <w:r>
        <w:t xml:space="preserve">	</w:t>
      </w:r>
      <w:r>
        <w:t xml:space="preserve">Abrahamyan, A.</w:t>
      </w:r>
      <w:r>
        <w:t xml:space="preserve"> </w:t>
      </w:r>
      <w:r>
        <w:rPr>
          <w:iCs/>
          <w:i/>
        </w:rPr>
        <w:t xml:space="preserve">et al.</w:t>
      </w:r>
      <w:r>
        <w:t xml:space="preserve"> </w:t>
      </w:r>
      <w:hyperlink r:id="rId231">
        <w:r>
          <w:rPr>
            <w:rStyle w:val="Hyperlink"/>
          </w:rPr>
          <w:t xml:space="preserve">Adaptable history biases in human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113</w:t>
      </w:r>
      <w:r>
        <w:t xml:space="preserve">, E3548–E3557 (2016).</w:t>
      </w:r>
    </w:p>
    <w:bookmarkEnd w:id="232"/>
    <w:bookmarkStart w:id="234" w:name="ref-Cicchini2014"/>
    <w:p>
      <w:pPr>
        <w:pStyle w:val="Bibliography"/>
      </w:pPr>
      <w:r>
        <w:t xml:space="preserve">25.</w:t>
      </w:r>
      <w:r>
        <w:t xml:space="preserve"> </w:t>
      </w:r>
      <w:r>
        <w:t xml:space="preserve">	</w:t>
      </w:r>
      <w:r>
        <w:t xml:space="preserve">Cicchini, G. M.</w:t>
      </w:r>
      <w:r>
        <w:t xml:space="preserve"> </w:t>
      </w:r>
      <w:r>
        <w:rPr>
          <w:iCs/>
          <w:i/>
        </w:rPr>
        <w:t xml:space="preserve">et al.</w:t>
      </w:r>
      <w:r>
        <w:t xml:space="preserve"> </w:t>
      </w:r>
      <w:hyperlink r:id="rId233">
        <w:r>
          <w:rPr>
            <w:rStyle w:val="Hyperlink"/>
          </w:rPr>
          <w:t xml:space="preserve">Compressive mapping of number to space reflects dynamic encoding mechanisms, not static logarithmic transform</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7867–7872 (2014).</w:t>
      </w:r>
    </w:p>
    <w:bookmarkEnd w:id="234"/>
    <w:bookmarkStart w:id="236" w:name="ref-Cicchini2017"/>
    <w:p>
      <w:pPr>
        <w:pStyle w:val="Bibliography"/>
      </w:pPr>
      <w:r>
        <w:t xml:space="preserve">26.</w:t>
      </w:r>
      <w:r>
        <w:t xml:space="preserve"> </w:t>
      </w:r>
      <w:r>
        <w:t xml:space="preserve">	</w:t>
      </w:r>
      <w:r>
        <w:t xml:space="preserve">Cicchini, G. M.</w:t>
      </w:r>
      <w:r>
        <w:t xml:space="preserve"> </w:t>
      </w:r>
      <w:r>
        <w:rPr>
          <w:iCs/>
          <w:i/>
        </w:rPr>
        <w:t xml:space="preserve">et al.</w:t>
      </w:r>
      <w:r>
        <w:t xml:space="preserve"> </w:t>
      </w:r>
      <w:hyperlink r:id="rId235">
        <w:r>
          <w:rPr>
            <w:rStyle w:val="Hyperlink"/>
          </w:rPr>
          <w:t xml:space="preserve">Serial dependencies act directly on perception</w:t>
        </w:r>
      </w:hyperlink>
      <w:r>
        <w:t xml:space="preserve">.</w:t>
      </w:r>
      <w:r>
        <w:t xml:space="preserve"> </w:t>
      </w:r>
      <w:r>
        <w:rPr>
          <w:iCs/>
          <w:i/>
        </w:rPr>
        <w:t xml:space="preserve">Journal of Vision</w:t>
      </w:r>
      <w:r>
        <w:t xml:space="preserve"> </w:t>
      </w:r>
      <w:r>
        <w:rPr>
          <w:bCs/>
          <w:b/>
        </w:rPr>
        <w:t xml:space="preserve">17</w:t>
      </w:r>
      <w:r>
        <w:t xml:space="preserve">, (2017).</w:t>
      </w:r>
    </w:p>
    <w:bookmarkEnd w:id="236"/>
    <w:bookmarkStart w:id="238" w:name="ref-Fritsche2020"/>
    <w:p>
      <w:pPr>
        <w:pStyle w:val="Bibliography"/>
      </w:pPr>
      <w:r>
        <w:t xml:space="preserve">27.</w:t>
      </w:r>
      <w:r>
        <w:t xml:space="preserve"> </w:t>
      </w:r>
      <w:r>
        <w:t xml:space="preserve">	</w:t>
      </w:r>
      <w:r>
        <w:t xml:space="preserve">Fritsche, M.</w:t>
      </w:r>
      <w:r>
        <w:t xml:space="preserve"> </w:t>
      </w:r>
      <w:r>
        <w:rPr>
          <w:iCs/>
          <w:i/>
        </w:rPr>
        <w:t xml:space="preserve">et al.</w:t>
      </w:r>
      <w:r>
        <w:t xml:space="preserve"> </w:t>
      </w:r>
      <w:hyperlink r:id="rId237">
        <w:r>
          <w:rPr>
            <w:rStyle w:val="Hyperlink"/>
          </w:rPr>
          <w:t xml:space="preserve">A bayesian and efficient observer model explains concurrent attractive and repulsive history biases in visual perception</w:t>
        </w:r>
      </w:hyperlink>
      <w:r>
        <w:t xml:space="preserve">.</w:t>
      </w:r>
      <w:r>
        <w:t xml:space="preserve"> </w:t>
      </w:r>
      <w:r>
        <w:rPr>
          <w:iCs/>
          <w:i/>
        </w:rPr>
        <w:t xml:space="preserve">eLife</w:t>
      </w:r>
      <w:r>
        <w:t xml:space="preserve"> </w:t>
      </w:r>
      <w:r>
        <w:rPr>
          <w:bCs/>
          <w:b/>
        </w:rPr>
        <w:t xml:space="preserve">9</w:t>
      </w:r>
      <w:r>
        <w:t xml:space="preserve">, 1–32 (2020).</w:t>
      </w:r>
    </w:p>
    <w:bookmarkEnd w:id="238"/>
    <w:bookmarkStart w:id="240" w:name="ref-Urai2017"/>
    <w:p>
      <w:pPr>
        <w:pStyle w:val="Bibliography"/>
      </w:pPr>
      <w:r>
        <w:t xml:space="preserve">28.</w:t>
      </w:r>
      <w:r>
        <w:t xml:space="preserve"> </w:t>
      </w:r>
      <w:r>
        <w:t xml:space="preserve">	</w:t>
      </w:r>
      <w:r>
        <w:t xml:space="preserve">Urai, A. E.</w:t>
      </w:r>
      <w:r>
        <w:t xml:space="preserve"> </w:t>
      </w:r>
      <w:r>
        <w:rPr>
          <w:iCs/>
          <w:i/>
        </w:rPr>
        <w:t xml:space="preserve">et al.</w:t>
      </w:r>
      <w:r>
        <w:t xml:space="preserve"> </w:t>
      </w:r>
      <w:hyperlink r:id="rId239">
        <w:r>
          <w:rPr>
            <w:rStyle w:val="Hyperlink"/>
          </w:rPr>
          <w:t xml:space="preserve">Pupil-linked arousal is driven by decision uncertainty and alters serial choice bias</w:t>
        </w:r>
      </w:hyperlink>
      <w:r>
        <w:t xml:space="preserve">.</w:t>
      </w:r>
      <w:r>
        <w:t xml:space="preserve"> </w:t>
      </w:r>
      <w:r>
        <w:rPr>
          <w:iCs/>
          <w:i/>
        </w:rPr>
        <w:t xml:space="preserve">Nature Communications</w:t>
      </w:r>
      <w:r>
        <w:t xml:space="preserve"> </w:t>
      </w:r>
      <w:r>
        <w:rPr>
          <w:bCs/>
          <w:b/>
        </w:rPr>
        <w:t xml:space="preserve">8</w:t>
      </w:r>
      <w:r>
        <w:t xml:space="preserve">, (2017).</w:t>
      </w:r>
    </w:p>
    <w:bookmarkEnd w:id="240"/>
    <w:bookmarkStart w:id="242" w:name="ref-Akrami2018"/>
    <w:p>
      <w:pPr>
        <w:pStyle w:val="Bibliography"/>
      </w:pPr>
      <w:r>
        <w:t xml:space="preserve">29.</w:t>
      </w:r>
      <w:r>
        <w:t xml:space="preserve"> </w:t>
      </w:r>
      <w:r>
        <w:t xml:space="preserve">	</w:t>
      </w:r>
      <w:r>
        <w:t xml:space="preserve">Akrami, A.</w:t>
      </w:r>
      <w:r>
        <w:t xml:space="preserve"> </w:t>
      </w:r>
      <w:r>
        <w:rPr>
          <w:iCs/>
          <w:i/>
        </w:rPr>
        <w:t xml:space="preserve">et al.</w:t>
      </w:r>
      <w:r>
        <w:t xml:space="preserve"> </w:t>
      </w:r>
      <w:hyperlink r:id="rId241">
        <w:r>
          <w:rPr>
            <w:rStyle w:val="Hyperlink"/>
          </w:rPr>
          <w:t xml:space="preserve">Posterior parietal cortex represents sensory history and mediates its effects on behaviour</w:t>
        </w:r>
      </w:hyperlink>
      <w:r>
        <w:t xml:space="preserve">.</w:t>
      </w:r>
      <w:r>
        <w:t xml:space="preserve"> </w:t>
      </w:r>
      <w:r>
        <w:rPr>
          <w:iCs/>
          <w:i/>
        </w:rPr>
        <w:t xml:space="preserve">Nature</w:t>
      </w:r>
      <w:r>
        <w:t xml:space="preserve"> </w:t>
      </w:r>
      <w:r>
        <w:rPr>
          <w:bCs/>
          <w:b/>
        </w:rPr>
        <w:t xml:space="preserve">554</w:t>
      </w:r>
      <w:r>
        <w:t xml:space="preserve">, 368–372 (2018).</w:t>
      </w:r>
    </w:p>
    <w:bookmarkEnd w:id="242"/>
    <w:bookmarkStart w:id="244" w:name="ref-Braun2018"/>
    <w:p>
      <w:pPr>
        <w:pStyle w:val="Bibliography"/>
      </w:pPr>
      <w:r>
        <w:t xml:space="preserve">30.</w:t>
      </w:r>
      <w:r>
        <w:t xml:space="preserve"> </w:t>
      </w:r>
      <w:r>
        <w:t xml:space="preserve">	</w:t>
      </w:r>
      <w:r>
        <w:t xml:space="preserve">Braun, A.</w:t>
      </w:r>
      <w:r>
        <w:t xml:space="preserve"> </w:t>
      </w:r>
      <w:r>
        <w:rPr>
          <w:iCs/>
          <w:i/>
        </w:rPr>
        <w:t xml:space="preserve">et al.</w:t>
      </w:r>
      <w:r>
        <w:t xml:space="preserve"> </w:t>
      </w:r>
      <w:hyperlink r:id="rId243">
        <w:r>
          <w:rPr>
            <w:rStyle w:val="Hyperlink"/>
          </w:rPr>
          <w:t xml:space="preserve">Adaptive history biases result from confidence-weighted accumulation of past choices</w:t>
        </w:r>
      </w:hyperlink>
      <w:r>
        <w:t xml:space="preserve">.</w:t>
      </w:r>
      <w:r>
        <w:t xml:space="preserve"> </w:t>
      </w:r>
      <w:r>
        <w:rPr>
          <w:iCs/>
          <w:i/>
        </w:rPr>
        <w:t xml:space="preserve">Journal of Neuroscience</w:t>
      </w:r>
      <w:r>
        <w:t xml:space="preserve"> </w:t>
      </w:r>
      <w:r>
        <w:rPr>
          <w:bCs/>
          <w:b/>
        </w:rPr>
        <w:t xml:space="preserve">38</w:t>
      </w:r>
      <w:r>
        <w:t xml:space="preserve">, 2418–2429 (2018).</w:t>
      </w:r>
    </w:p>
    <w:bookmarkEnd w:id="244"/>
    <w:bookmarkStart w:id="246" w:name="ref-Bergen2019"/>
    <w:p>
      <w:pPr>
        <w:pStyle w:val="Bibliography"/>
      </w:pPr>
      <w:r>
        <w:t xml:space="preserve">31.</w:t>
      </w:r>
      <w:r>
        <w:t xml:space="preserve"> </w:t>
      </w:r>
      <w:r>
        <w:t xml:space="preserve">	</w:t>
      </w:r>
      <w:r>
        <w:t xml:space="preserve">Bergen, R. S. V.</w:t>
      </w:r>
      <w:r>
        <w:t xml:space="preserve"> </w:t>
      </w:r>
      <w:r>
        <w:rPr>
          <w:iCs/>
          <w:i/>
        </w:rPr>
        <w:t xml:space="preserve">et al.</w:t>
      </w:r>
      <w:r>
        <w:t xml:space="preserve"> </w:t>
      </w:r>
      <w:hyperlink r:id="rId245">
        <w:r>
          <w:rPr>
            <w:rStyle w:val="Hyperlink"/>
          </w:rPr>
          <w:t xml:space="preserve">Probabilistic representation in human visual cortex reflects uncertainty in serial decisions</w:t>
        </w:r>
      </w:hyperlink>
      <w:r>
        <w:t xml:space="preserve">.</w:t>
      </w:r>
      <w:r>
        <w:t xml:space="preserve"> </w:t>
      </w:r>
      <w:r>
        <w:rPr>
          <w:iCs/>
          <w:i/>
        </w:rPr>
        <w:t xml:space="preserve">Journal of Neuroscience</w:t>
      </w:r>
      <w:r>
        <w:t xml:space="preserve"> </w:t>
      </w:r>
      <w:r>
        <w:rPr>
          <w:bCs/>
          <w:b/>
        </w:rPr>
        <w:t xml:space="preserve">39</w:t>
      </w:r>
      <w:r>
        <w:t xml:space="preserve">, 8164–8176 (2019).</w:t>
      </w:r>
    </w:p>
    <w:bookmarkEnd w:id="246"/>
    <w:bookmarkStart w:id="248" w:name="ref-Urai2019"/>
    <w:p>
      <w:pPr>
        <w:pStyle w:val="Bibliography"/>
      </w:pPr>
      <w:r>
        <w:t xml:space="preserve">32.</w:t>
      </w:r>
      <w:r>
        <w:t xml:space="preserve"> </w:t>
      </w:r>
      <w:r>
        <w:t xml:space="preserve">	</w:t>
      </w:r>
      <w:r>
        <w:t xml:space="preserve">Urai, A. E.</w:t>
      </w:r>
      <w:r>
        <w:t xml:space="preserve"> </w:t>
      </w:r>
      <w:r>
        <w:rPr>
          <w:iCs/>
          <w:i/>
        </w:rPr>
        <w:t xml:space="preserve">et al.</w:t>
      </w:r>
      <w:r>
        <w:t xml:space="preserve"> </w:t>
      </w:r>
      <w:hyperlink r:id="rId247">
        <w:r>
          <w:rPr>
            <w:rStyle w:val="Hyperlink"/>
          </w:rPr>
          <w:t xml:space="preserve">Choice history biases subsequent evidence accumulation</w:t>
        </w:r>
      </w:hyperlink>
      <w:r>
        <w:t xml:space="preserve">.</w:t>
      </w:r>
      <w:r>
        <w:t xml:space="preserve"> </w:t>
      </w:r>
      <w:r>
        <w:rPr>
          <w:iCs/>
          <w:i/>
        </w:rPr>
        <w:t xml:space="preserve">eLife</w:t>
      </w:r>
      <w:r>
        <w:t xml:space="preserve"> </w:t>
      </w:r>
      <w:r>
        <w:rPr>
          <w:bCs/>
          <w:b/>
        </w:rPr>
        <w:t xml:space="preserve">8</w:t>
      </w:r>
      <w:r>
        <w:t xml:space="preserve">, (2019).</w:t>
      </w:r>
    </w:p>
    <w:bookmarkEnd w:id="248"/>
    <w:bookmarkStart w:id="250" w:name="ref-Hsu2020"/>
    <w:p>
      <w:pPr>
        <w:pStyle w:val="Bibliography"/>
      </w:pPr>
      <w:r>
        <w:t xml:space="preserve">33.</w:t>
      </w:r>
      <w:r>
        <w:t xml:space="preserve"> </w:t>
      </w:r>
      <w:r>
        <w:t xml:space="preserve">	</w:t>
      </w:r>
      <w:r>
        <w:t xml:space="preserve">Hsu, S. M.</w:t>
      </w:r>
      <w:r>
        <w:t xml:space="preserve"> </w:t>
      </w:r>
      <w:r>
        <w:rPr>
          <w:iCs/>
          <w:i/>
        </w:rPr>
        <w:t xml:space="preserve">et al.</w:t>
      </w:r>
      <w:r>
        <w:t xml:space="preserve"> </w:t>
      </w:r>
      <w:hyperlink r:id="rId249">
        <w:r>
          <w:rPr>
            <w:rStyle w:val="Hyperlink"/>
          </w:rPr>
          <w:t xml:space="preserve">The roles of preceding stimuli and preceding responses on assimilative and contrastive sequential effects during facial expression perception</w:t>
        </w:r>
      </w:hyperlink>
      <w:r>
        <w:t xml:space="preserve">.</w:t>
      </w:r>
      <w:r>
        <w:t xml:space="preserve"> </w:t>
      </w:r>
      <w:r>
        <w:rPr>
          <w:iCs/>
          <w:i/>
        </w:rPr>
        <w:t xml:space="preserve">Cognition and Emotion</w:t>
      </w:r>
      <w:r>
        <w:t xml:space="preserve"> </w:t>
      </w:r>
      <w:r>
        <w:rPr>
          <w:bCs/>
          <w:b/>
        </w:rPr>
        <w:t xml:space="preserve">34</w:t>
      </w:r>
      <w:r>
        <w:t xml:space="preserve">, 890–905 (2020).</w:t>
      </w:r>
    </w:p>
    <w:bookmarkEnd w:id="250"/>
    <w:bookmarkStart w:id="252" w:name="ref-Dong1995"/>
    <w:p>
      <w:pPr>
        <w:pStyle w:val="Bibliography"/>
      </w:pPr>
      <w:r>
        <w:t xml:space="preserve">34.</w:t>
      </w:r>
      <w:r>
        <w:t xml:space="preserve"> </w:t>
      </w:r>
      <w:r>
        <w:t xml:space="preserve">	</w:t>
      </w:r>
      <w:r>
        <w:t xml:space="preserve">Dong, D. W.</w:t>
      </w:r>
      <w:r>
        <w:t xml:space="preserve"> </w:t>
      </w:r>
      <w:r>
        <w:rPr>
          <w:iCs/>
          <w:i/>
        </w:rPr>
        <w:t xml:space="preserve">et al.</w:t>
      </w:r>
      <w:r>
        <w:t xml:space="preserve"> </w:t>
      </w:r>
      <w:hyperlink r:id="rId251">
        <w:r>
          <w:rPr>
            <w:rStyle w:val="Hyperlink"/>
          </w:rPr>
          <w:t xml:space="preserve">Statistics of natural time-varying images</w:t>
        </w:r>
      </w:hyperlink>
      <w:r>
        <w:t xml:space="preserve">.</w:t>
      </w:r>
      <w:r>
        <w:t xml:space="preserve"> </w:t>
      </w:r>
      <w:r>
        <w:rPr>
          <w:iCs/>
          <w:i/>
        </w:rPr>
        <w:t xml:space="preserve">Network: Computation in Neural Systems</w:t>
      </w:r>
      <w:r>
        <w:t xml:space="preserve"> </w:t>
      </w:r>
      <w:r>
        <w:rPr>
          <w:bCs/>
          <w:b/>
        </w:rPr>
        <w:t xml:space="preserve">6</w:t>
      </w:r>
      <w:r>
        <w:t xml:space="preserve">, 345–358 (1995).</w:t>
      </w:r>
    </w:p>
    <w:bookmarkEnd w:id="252"/>
    <w:bookmarkStart w:id="254" w:name="ref-Burr2014"/>
    <w:p>
      <w:pPr>
        <w:pStyle w:val="Bibliography"/>
      </w:pPr>
      <w:r>
        <w:t xml:space="preserve">35.</w:t>
      </w:r>
      <w:r>
        <w:t xml:space="preserve"> </w:t>
      </w:r>
      <w:r>
        <w:t xml:space="preserve">	</w:t>
      </w:r>
      <w:r>
        <w:t xml:space="preserve">Burr, D.</w:t>
      </w:r>
      <w:r>
        <w:t xml:space="preserve"> </w:t>
      </w:r>
      <w:r>
        <w:rPr>
          <w:iCs/>
          <w:i/>
        </w:rPr>
        <w:t xml:space="preserve">et al.</w:t>
      </w:r>
      <w:r>
        <w:t xml:space="preserve"> </w:t>
      </w:r>
      <w:hyperlink r:id="rId253">
        <w:r>
          <w:rPr>
            <w:rStyle w:val="Hyperlink"/>
          </w:rPr>
          <w:t xml:space="preserve">Vision: Efficient adaptive coding</w:t>
        </w:r>
      </w:hyperlink>
      <w:r>
        <w:t xml:space="preserve">.</w:t>
      </w:r>
      <w:r>
        <w:t xml:space="preserve"> </w:t>
      </w:r>
      <w:r>
        <w:rPr>
          <w:iCs/>
          <w:i/>
        </w:rPr>
        <w:t xml:space="preserve">Current Biology</w:t>
      </w:r>
      <w:r>
        <w:t xml:space="preserve"> </w:t>
      </w:r>
      <w:r>
        <w:t xml:space="preserve">vol. 24 R1096–R1098 (2014).</w:t>
      </w:r>
    </w:p>
    <w:bookmarkEnd w:id="254"/>
    <w:bookmarkStart w:id="256" w:name="ref-Montroll1982"/>
    <w:p>
      <w:pPr>
        <w:pStyle w:val="Bibliography"/>
      </w:pPr>
      <w:r>
        <w:t xml:space="preserve">36.</w:t>
      </w:r>
      <w:r>
        <w:t xml:space="preserve"> </w:t>
      </w:r>
      <w:r>
        <w:t xml:space="preserve">	</w:t>
      </w:r>
      <w:r>
        <w:t xml:space="preserve">Montroll, E. W.</w:t>
      </w:r>
      <w:r>
        <w:t xml:space="preserve"> </w:t>
      </w:r>
      <w:r>
        <w:rPr>
          <w:iCs/>
          <w:i/>
        </w:rPr>
        <w:t xml:space="preserve">et al.</w:t>
      </w:r>
      <w:r>
        <w:t xml:space="preserve"> </w:t>
      </w:r>
      <w:hyperlink r:id="rId255">
        <w:r>
          <w:rPr>
            <w:rStyle w:val="Hyperlink"/>
          </w:rPr>
          <w:t xml:space="preserve">On 1/f noise and other distributions with long tails</w:t>
        </w:r>
      </w:hyperlink>
      <w:r>
        <w:t xml:space="preserve">.</w:t>
      </w:r>
      <w:r>
        <w:t xml:space="preserve"> </w:t>
      </w:r>
      <w:r>
        <w:rPr>
          <w:iCs/>
          <w:i/>
        </w:rPr>
        <w:t xml:space="preserve">Proceedings of the National Academy of Sciences</w:t>
      </w:r>
      <w:r>
        <w:t xml:space="preserve"> </w:t>
      </w:r>
      <w:r>
        <w:rPr>
          <w:bCs/>
          <w:b/>
        </w:rPr>
        <w:t xml:space="preserve">79</w:t>
      </w:r>
      <w:r>
        <w:t xml:space="preserve">, 3380–3383 (1982).</w:t>
      </w:r>
    </w:p>
    <w:bookmarkEnd w:id="256"/>
    <w:bookmarkStart w:id="258" w:name="ref-Bak1987"/>
    <w:p>
      <w:pPr>
        <w:pStyle w:val="Bibliography"/>
      </w:pPr>
      <w:r>
        <w:t xml:space="preserve">37.</w:t>
      </w:r>
      <w:r>
        <w:t xml:space="preserve"> </w:t>
      </w:r>
      <w:r>
        <w:t xml:space="preserve">	</w:t>
      </w:r>
      <w:r>
        <w:t xml:space="preserve">Bak, P.</w:t>
      </w:r>
      <w:r>
        <w:t xml:space="preserve"> </w:t>
      </w:r>
      <w:r>
        <w:rPr>
          <w:iCs/>
          <w:i/>
        </w:rPr>
        <w:t xml:space="preserve">et al.</w:t>
      </w:r>
      <w:r>
        <w:t xml:space="preserve"> </w:t>
      </w:r>
      <w:hyperlink r:id="rId257">
        <w:r>
          <w:rPr>
            <w:rStyle w:val="Hyperlink"/>
          </w:rPr>
          <w:t xml:space="preserve">Self-organized criticality: An explanation of the 1/f noise</w:t>
        </w:r>
      </w:hyperlink>
      <w:r>
        <w:t xml:space="preserve">.</w:t>
      </w:r>
      <w:r>
        <w:t xml:space="preserve"> </w:t>
      </w:r>
      <w:r>
        <w:rPr>
          <w:iCs/>
          <w:i/>
        </w:rPr>
        <w:t xml:space="preserve">Physical Review Letters</w:t>
      </w:r>
      <w:r>
        <w:t xml:space="preserve"> </w:t>
      </w:r>
      <w:r>
        <w:rPr>
          <w:bCs/>
          <w:b/>
        </w:rPr>
        <w:t xml:space="preserve">59</w:t>
      </w:r>
      <w:r>
        <w:t xml:space="preserve">, 381–384 (1987).</w:t>
      </w:r>
    </w:p>
    <w:bookmarkEnd w:id="258"/>
    <w:bookmarkStart w:id="260" w:name="ref-Chialvo2010"/>
    <w:p>
      <w:pPr>
        <w:pStyle w:val="Bibliography"/>
      </w:pPr>
      <w:r>
        <w:t xml:space="preserve">38.</w:t>
      </w:r>
      <w:r>
        <w:t xml:space="preserve"> </w:t>
      </w:r>
      <w:r>
        <w:t xml:space="preserve">	</w:t>
      </w:r>
      <w:r>
        <w:t xml:space="preserve">Chialvo, D. R.</w:t>
      </w:r>
      <w:r>
        <w:t xml:space="preserve"> </w:t>
      </w:r>
      <w:hyperlink r:id="rId259">
        <w:r>
          <w:rPr>
            <w:rStyle w:val="Hyperlink"/>
          </w:rPr>
          <w:t xml:space="preserve">Emergent complex neural dynamics</w:t>
        </w:r>
      </w:hyperlink>
      <w:r>
        <w:t xml:space="preserve">.</w:t>
      </w:r>
      <w:r>
        <w:t xml:space="preserve"> </w:t>
      </w:r>
      <w:r>
        <w:rPr>
          <w:iCs/>
          <w:i/>
        </w:rPr>
        <w:t xml:space="preserve">Nature Physics</w:t>
      </w:r>
      <w:r>
        <w:t xml:space="preserve"> </w:t>
      </w:r>
      <w:r>
        <w:rPr>
          <w:bCs/>
          <w:b/>
        </w:rPr>
        <w:t xml:space="preserve">6</w:t>
      </w:r>
      <w:r>
        <w:t xml:space="preserve">, 744–750 (2010).</w:t>
      </w:r>
    </w:p>
    <w:bookmarkEnd w:id="260"/>
    <w:bookmarkStart w:id="262" w:name="ref-Wagenmakers2004"/>
    <w:p>
      <w:pPr>
        <w:pStyle w:val="Bibliography"/>
      </w:pPr>
      <w:r>
        <w:t xml:space="preserve">39.</w:t>
      </w:r>
      <w:r>
        <w:t xml:space="preserve"> </w:t>
      </w:r>
      <w:r>
        <w:t xml:space="preserve">	</w:t>
      </w:r>
      <w:r>
        <w:t xml:space="preserve">Wagenmakers, E. J.</w:t>
      </w:r>
      <w:r>
        <w:t xml:space="preserve"> </w:t>
      </w:r>
      <w:r>
        <w:rPr>
          <w:iCs/>
          <w:i/>
        </w:rPr>
        <w:t xml:space="preserve">et al.</w:t>
      </w:r>
      <w:r>
        <w:t xml:space="preserve"> </w:t>
      </w:r>
      <w:hyperlink r:id="rId261">
        <w:r>
          <w:rPr>
            <w:rStyle w:val="Hyperlink"/>
          </w:rPr>
          <w:t xml:space="preserve">Estimation and interpretation of 1/fα noise in human cognition</w:t>
        </w:r>
      </w:hyperlink>
      <w:r>
        <w:t xml:space="preserve">.</w:t>
      </w:r>
      <w:r>
        <w:t xml:space="preserve"> </w:t>
      </w:r>
      <w:r>
        <w:rPr>
          <w:iCs/>
          <w:i/>
        </w:rPr>
        <w:t xml:space="preserve">Psychonomic Bulletin and Review</w:t>
      </w:r>
      <w:r>
        <w:t xml:space="preserve"> </w:t>
      </w:r>
      <w:r>
        <w:rPr>
          <w:bCs/>
          <w:b/>
        </w:rPr>
        <w:t xml:space="preserve">11</w:t>
      </w:r>
      <w:r>
        <w:t xml:space="preserve">, 579–615 (2004).</w:t>
      </w:r>
    </w:p>
    <w:bookmarkEnd w:id="262"/>
    <w:bookmarkStart w:id="264" w:name="ref-VanOrden2005"/>
    <w:p>
      <w:pPr>
        <w:pStyle w:val="Bibliography"/>
      </w:pPr>
      <w:r>
        <w:t xml:space="preserve">40.</w:t>
      </w:r>
      <w:r>
        <w:t xml:space="preserve"> </w:t>
      </w:r>
      <w:r>
        <w:t xml:space="preserve">	</w:t>
      </w:r>
      <w:r>
        <w:t xml:space="preserve">Orden, G. C. V.</w:t>
      </w:r>
      <w:r>
        <w:t xml:space="preserve"> </w:t>
      </w:r>
      <w:r>
        <w:rPr>
          <w:iCs/>
          <w:i/>
        </w:rPr>
        <w:t xml:space="preserve">et al.</w:t>
      </w:r>
      <w:r>
        <w:t xml:space="preserve"> </w:t>
      </w:r>
      <w:hyperlink r:id="rId263">
        <w:r>
          <w:rPr>
            <w:rStyle w:val="Hyperlink"/>
          </w:rPr>
          <w:t xml:space="preserve">Human cognition and 1/f scaling</w:t>
        </w:r>
      </w:hyperlink>
      <w:r>
        <w:t xml:space="preserve">.</w:t>
      </w:r>
      <w:r>
        <w:t xml:space="preserve"> </w:t>
      </w:r>
      <w:r>
        <w:rPr>
          <w:iCs/>
          <w:i/>
        </w:rPr>
        <w:t xml:space="preserve">Journal of Experimental Psychology: General</w:t>
      </w:r>
      <w:r>
        <w:t xml:space="preserve"> </w:t>
      </w:r>
      <w:r>
        <w:rPr>
          <w:bCs/>
          <w:b/>
        </w:rPr>
        <w:t xml:space="preserve">134</w:t>
      </w:r>
      <w:r>
        <w:t xml:space="preserve">, 117–123 (2005).</w:t>
      </w:r>
    </w:p>
    <w:bookmarkEnd w:id="264"/>
    <w:bookmarkStart w:id="266" w:name="ref-Chopin2012"/>
    <w:p>
      <w:pPr>
        <w:pStyle w:val="Bibliography"/>
      </w:pPr>
      <w:r>
        <w:t xml:space="preserve">41.</w:t>
      </w:r>
      <w:r>
        <w:t xml:space="preserve"> </w:t>
      </w:r>
      <w:r>
        <w:t xml:space="preserve">	</w:t>
      </w:r>
      <w:r>
        <w:t xml:space="preserve">Chopin, A.</w:t>
      </w:r>
      <w:r>
        <w:t xml:space="preserve"> </w:t>
      </w:r>
      <w:r>
        <w:rPr>
          <w:iCs/>
          <w:i/>
        </w:rPr>
        <w:t xml:space="preserve">et al.</w:t>
      </w:r>
      <w:r>
        <w:t xml:space="preserve"> </w:t>
      </w:r>
      <w:hyperlink r:id="rId265">
        <w:r>
          <w:rPr>
            <w:rStyle w:val="Hyperlink"/>
          </w:rPr>
          <w:t xml:space="preserve">Predictive properties of visual adaptation</w:t>
        </w:r>
      </w:hyperlink>
      <w:r>
        <w:t xml:space="preserve">.</w:t>
      </w:r>
      <w:r>
        <w:t xml:space="preserve"> </w:t>
      </w:r>
      <w:r>
        <w:rPr>
          <w:iCs/>
          <w:i/>
        </w:rPr>
        <w:t xml:space="preserve">Current Biology</w:t>
      </w:r>
      <w:r>
        <w:t xml:space="preserve"> </w:t>
      </w:r>
      <w:r>
        <w:rPr>
          <w:bCs/>
          <w:b/>
        </w:rPr>
        <w:t xml:space="preserve">22</w:t>
      </w:r>
      <w:r>
        <w:t xml:space="preserve">, 622–626 (2012).</w:t>
      </w:r>
    </w:p>
    <w:bookmarkEnd w:id="266"/>
    <w:bookmarkStart w:id="268" w:name="ref-Cicchini2018"/>
    <w:p>
      <w:pPr>
        <w:pStyle w:val="Bibliography"/>
      </w:pPr>
      <w:r>
        <w:t xml:space="preserve">42.</w:t>
      </w:r>
      <w:r>
        <w:t xml:space="preserve"> </w:t>
      </w:r>
      <w:r>
        <w:t xml:space="preserve">	</w:t>
      </w:r>
      <w:r>
        <w:t xml:space="preserve">Cicchini, G. M.</w:t>
      </w:r>
      <w:r>
        <w:t xml:space="preserve"> </w:t>
      </w:r>
      <w:r>
        <w:rPr>
          <w:iCs/>
          <w:i/>
        </w:rPr>
        <w:t xml:space="preserve">et al.</w:t>
      </w:r>
      <w:r>
        <w:t xml:space="preserve"> </w:t>
      </w:r>
      <w:hyperlink r:id="rId267">
        <w:r>
          <w:rPr>
            <w:rStyle w:val="Hyperlink"/>
          </w:rPr>
          <w:t xml:space="preserve">The functional role of serial dependence</w:t>
        </w:r>
      </w:hyperlink>
      <w:r>
        <w:t xml:space="preserve">.</w:t>
      </w:r>
      <w:r>
        <w:t xml:space="preserve"> </w:t>
      </w:r>
      <w:r>
        <w:rPr>
          <w:iCs/>
          <w:i/>
        </w:rPr>
        <w:t xml:space="preserve">Proceedings of the Royal Society B: Biological Sciences</w:t>
      </w:r>
      <w:r>
        <w:t xml:space="preserve"> </w:t>
      </w:r>
      <w:r>
        <w:rPr>
          <w:bCs/>
          <w:b/>
        </w:rPr>
        <w:t xml:space="preserve">285</w:t>
      </w:r>
      <w:r>
        <w:t xml:space="preserve">, (2018).</w:t>
      </w:r>
    </w:p>
    <w:bookmarkEnd w:id="268"/>
    <w:bookmarkStart w:id="270" w:name="ref-Kiyonaga2017"/>
    <w:p>
      <w:pPr>
        <w:pStyle w:val="Bibliography"/>
      </w:pPr>
      <w:r>
        <w:t xml:space="preserve">43.</w:t>
      </w:r>
      <w:r>
        <w:t xml:space="preserve"> </w:t>
      </w:r>
      <w:r>
        <w:t xml:space="preserve">	</w:t>
      </w:r>
      <w:r>
        <w:t xml:space="preserve">Kiyonaga, A.</w:t>
      </w:r>
      <w:r>
        <w:t xml:space="preserve"> </w:t>
      </w:r>
      <w:r>
        <w:rPr>
          <w:iCs/>
          <w:i/>
        </w:rPr>
        <w:t xml:space="preserve">et al.</w:t>
      </w:r>
      <w:r>
        <w:t xml:space="preserve"> </w:t>
      </w:r>
      <w:hyperlink r:id="rId269">
        <w:r>
          <w:rPr>
            <w:rStyle w:val="Hyperlink"/>
          </w:rPr>
          <w:t xml:space="preserve">Serial dependence across perception, attention, and memory</w:t>
        </w:r>
      </w:hyperlink>
      <w:r>
        <w:t xml:space="preserve">.</w:t>
      </w:r>
      <w:r>
        <w:t xml:space="preserve"> </w:t>
      </w:r>
      <w:r>
        <w:rPr>
          <w:iCs/>
          <w:i/>
        </w:rPr>
        <w:t xml:space="preserve">Trends in Cognitive Sciences</w:t>
      </w:r>
      <w:r>
        <w:t xml:space="preserve"> </w:t>
      </w:r>
      <w:r>
        <w:rPr>
          <w:bCs/>
          <w:b/>
        </w:rPr>
        <w:t xml:space="preserve">21</w:t>
      </w:r>
      <w:r>
        <w:t xml:space="preserve">, 493–497 (2017).</w:t>
      </w:r>
    </w:p>
    <w:bookmarkEnd w:id="270"/>
    <w:bookmarkStart w:id="272" w:name="ref-Kepecs2008"/>
    <w:p>
      <w:pPr>
        <w:pStyle w:val="Bibliography"/>
      </w:pPr>
      <w:r>
        <w:t xml:space="preserve">44.</w:t>
      </w:r>
      <w:r>
        <w:t xml:space="preserve"> </w:t>
      </w:r>
      <w:r>
        <w:t xml:space="preserve">	</w:t>
      </w:r>
      <w:r>
        <w:t xml:space="preserve">Kepecs, A.</w:t>
      </w:r>
      <w:r>
        <w:t xml:space="preserve"> </w:t>
      </w:r>
      <w:r>
        <w:rPr>
          <w:iCs/>
          <w:i/>
        </w:rPr>
        <w:t xml:space="preserve">et al.</w:t>
      </w:r>
      <w:r>
        <w:t xml:space="preserve"> </w:t>
      </w:r>
      <w:hyperlink r:id="rId271">
        <w:r>
          <w:rPr>
            <w:rStyle w:val="Hyperlink"/>
          </w:rPr>
          <w:t xml:space="preserve">Neural correlates, computation and behavioural impact of decision confidence</w:t>
        </w:r>
      </w:hyperlink>
      <w:r>
        <w:t xml:space="preserve">.</w:t>
      </w:r>
      <w:r>
        <w:t xml:space="preserve"> </w:t>
      </w:r>
      <w:r>
        <w:rPr>
          <w:iCs/>
          <w:i/>
        </w:rPr>
        <w:t xml:space="preserve">Nature</w:t>
      </w:r>
      <w:r>
        <w:t xml:space="preserve"> </w:t>
      </w:r>
      <w:r>
        <w:rPr>
          <w:bCs/>
          <w:b/>
        </w:rPr>
        <w:t xml:space="preserve">455</w:t>
      </w:r>
      <w:r>
        <w:t xml:space="preserve">, 227–231 (2008).</w:t>
      </w:r>
    </w:p>
    <w:bookmarkEnd w:id="272"/>
    <w:bookmarkStart w:id="274" w:name="ref-Fleming2014"/>
    <w:p>
      <w:pPr>
        <w:pStyle w:val="Bibliography"/>
      </w:pPr>
      <w:r>
        <w:t xml:space="preserve">45.</w:t>
      </w:r>
      <w:r>
        <w:t xml:space="preserve"> </w:t>
      </w:r>
      <w:r>
        <w:t xml:space="preserve">	</w:t>
      </w:r>
      <w:r>
        <w:t xml:space="preserve">Fleming, S. M.</w:t>
      </w:r>
      <w:r>
        <w:t xml:space="preserve"> </w:t>
      </w:r>
      <w:r>
        <w:rPr>
          <w:iCs/>
          <w:i/>
        </w:rPr>
        <w:t xml:space="preserve">et al.</w:t>
      </w:r>
      <w:r>
        <w:t xml:space="preserve"> </w:t>
      </w:r>
      <w:hyperlink r:id="rId273">
        <w:r>
          <w:rPr>
            <w:rStyle w:val="Hyperlink"/>
          </w:rPr>
          <w:t xml:space="preserve">How to measure metacognition</w:t>
        </w:r>
      </w:hyperlink>
      <w:r>
        <w:t xml:space="preserve">.</w:t>
      </w:r>
      <w:r>
        <w:t xml:space="preserve"> </w:t>
      </w:r>
      <w:r>
        <w:rPr>
          <w:iCs/>
          <w:i/>
        </w:rPr>
        <w:t xml:space="preserve">Frontiers in Human Neuroscience</w:t>
      </w:r>
      <w:r>
        <w:t xml:space="preserve"> </w:t>
      </w:r>
      <w:r>
        <w:rPr>
          <w:bCs/>
          <w:b/>
        </w:rPr>
        <w:t xml:space="preserve">8</w:t>
      </w:r>
      <w:r>
        <w:t xml:space="preserve">, 443 (2014).</w:t>
      </w:r>
    </w:p>
    <w:bookmarkEnd w:id="274"/>
    <w:bookmarkStart w:id="276" w:name="ref-St.John-Saaltink2016"/>
    <w:p>
      <w:pPr>
        <w:pStyle w:val="Bibliography"/>
      </w:pPr>
      <w:r>
        <w:t xml:space="preserve">46.</w:t>
      </w:r>
      <w:r>
        <w:t xml:space="preserve"> </w:t>
      </w:r>
      <w:r>
        <w:t xml:space="preserve">	</w:t>
      </w:r>
      <w:r>
        <w:t xml:space="preserve">John-Saaltink, E. St.</w:t>
      </w:r>
      <w:r>
        <w:t xml:space="preserve"> </w:t>
      </w:r>
      <w:r>
        <w:rPr>
          <w:iCs/>
          <w:i/>
        </w:rPr>
        <w:t xml:space="preserve">et al.</w:t>
      </w:r>
      <w:r>
        <w:t xml:space="preserve"> </w:t>
      </w:r>
      <w:hyperlink r:id="rId275">
        <w:r>
          <w:rPr>
            <w:rStyle w:val="Hyperlink"/>
          </w:rPr>
          <w:t xml:space="preserve">Serial dependence in perceptual decisions is reflected in activity patterns in primary visual cortex</w:t>
        </w:r>
      </w:hyperlink>
      <w:r>
        <w:t xml:space="preserve">.</w:t>
      </w:r>
      <w:r>
        <w:t xml:space="preserve"> </w:t>
      </w:r>
      <w:r>
        <w:rPr>
          <w:iCs/>
          <w:i/>
        </w:rPr>
        <w:t xml:space="preserve">Journal of Neuroscience</w:t>
      </w:r>
      <w:r>
        <w:t xml:space="preserve"> </w:t>
      </w:r>
      <w:r>
        <w:rPr>
          <w:bCs/>
          <w:b/>
        </w:rPr>
        <w:t xml:space="preserve">36</w:t>
      </w:r>
      <w:r>
        <w:t xml:space="preserve">, 6186–6192 (2016).</w:t>
      </w:r>
    </w:p>
    <w:bookmarkEnd w:id="276"/>
    <w:bookmarkStart w:id="278" w:name="ref-Cicchini2021"/>
    <w:p>
      <w:pPr>
        <w:pStyle w:val="Bibliography"/>
      </w:pPr>
      <w:r>
        <w:t xml:space="preserve">47.</w:t>
      </w:r>
      <w:r>
        <w:t xml:space="preserve"> </w:t>
      </w:r>
      <w:r>
        <w:t xml:space="preserve">	</w:t>
      </w:r>
      <w:r>
        <w:t xml:space="preserve">Cicchini, G. M.</w:t>
      </w:r>
      <w:r>
        <w:t xml:space="preserve"> </w:t>
      </w:r>
      <w:r>
        <w:rPr>
          <w:iCs/>
          <w:i/>
        </w:rPr>
        <w:t xml:space="preserve">et al.</w:t>
      </w:r>
      <w:r>
        <w:t xml:space="preserve"> </w:t>
      </w:r>
      <w:hyperlink r:id="rId277">
        <w:r>
          <w:rPr>
            <w:rStyle w:val="Hyperlink"/>
          </w:rPr>
          <w:t xml:space="preserve">Perceptual history propagates down to early levels of sensory analysis</w:t>
        </w:r>
      </w:hyperlink>
      <w:r>
        <w:t xml:space="preserve">.</w:t>
      </w:r>
      <w:r>
        <w:t xml:space="preserve"> </w:t>
      </w:r>
      <w:r>
        <w:rPr>
          <w:iCs/>
          <w:i/>
        </w:rPr>
        <w:t xml:space="preserve">Current Biology</w:t>
      </w:r>
      <w:r>
        <w:t xml:space="preserve"> </w:t>
      </w:r>
      <w:r>
        <w:rPr>
          <w:bCs/>
          <w:b/>
        </w:rPr>
        <w:t xml:space="preserve">31</w:t>
      </w:r>
      <w:r>
        <w:t xml:space="preserve">, 1245–1250.e2 (2021).</w:t>
      </w:r>
    </w:p>
    <w:bookmarkEnd w:id="278"/>
    <w:bookmarkStart w:id="280" w:name="ref-Akaike1987"/>
    <w:p>
      <w:pPr>
        <w:pStyle w:val="Bibliography"/>
      </w:pPr>
      <w:r>
        <w:t xml:space="preserve">48.</w:t>
      </w:r>
      <w:r>
        <w:t xml:space="preserve"> </w:t>
      </w:r>
      <w:r>
        <w:t xml:space="preserve">	</w:t>
      </w:r>
      <w:r>
        <w:t xml:space="preserve">Akaike, H.</w:t>
      </w:r>
      <w:r>
        <w:t xml:space="preserve"> </w:t>
      </w:r>
      <w:hyperlink r:id="rId279">
        <w:r>
          <w:rPr>
            <w:rStyle w:val="Hyperlink"/>
          </w:rPr>
          <w:t xml:space="preserve">Factor analysis and AIC</w:t>
        </w:r>
      </w:hyperlink>
      <w:r>
        <w:t xml:space="preserve">.</w:t>
      </w:r>
      <w:r>
        <w:t xml:space="preserve"> </w:t>
      </w:r>
      <w:r>
        <w:rPr>
          <w:iCs/>
          <w:i/>
        </w:rPr>
        <w:t xml:space="preserve">Psychometrika</w:t>
      </w:r>
      <w:r>
        <w:t xml:space="preserve"> </w:t>
      </w:r>
      <w:r>
        <w:rPr>
          <w:bCs/>
          <w:b/>
        </w:rPr>
        <w:t xml:space="preserve">52</w:t>
      </w:r>
      <w:r>
        <w:t xml:space="preserve">, 317–332 (1987).</w:t>
      </w:r>
    </w:p>
    <w:bookmarkEnd w:id="280"/>
    <w:bookmarkStart w:id="282" w:name="ref-Leys2013"/>
    <w:p>
      <w:pPr>
        <w:pStyle w:val="Bibliography"/>
      </w:pPr>
      <w:r>
        <w:t xml:space="preserve">49.</w:t>
      </w:r>
      <w:r>
        <w:t xml:space="preserve"> </w:t>
      </w:r>
      <w:r>
        <w:t xml:space="preserve">	</w:t>
      </w:r>
      <w:r>
        <w:t xml:space="preserve">Leys, C.</w:t>
      </w:r>
      <w:r>
        <w:t xml:space="preserve"> </w:t>
      </w:r>
      <w:r>
        <w:rPr>
          <w:iCs/>
          <w:i/>
        </w:rPr>
        <w:t xml:space="preserve">et al.</w:t>
      </w:r>
      <w:r>
        <w:t xml:space="preserve"> </w:t>
      </w:r>
      <w:hyperlink r:id="rId281">
        <w:r>
          <w:rPr>
            <w:rStyle w:val="Hyperlink"/>
          </w:rPr>
          <w:t xml:space="preserve">Detecting outliers: Do not use standard deviation around the mean, use absolute deviation around the median</w:t>
        </w:r>
      </w:hyperlink>
      <w:r>
        <w:t xml:space="preserve">.</w:t>
      </w:r>
      <w:r>
        <w:t xml:space="preserve"> </w:t>
      </w:r>
      <w:r>
        <w:rPr>
          <w:iCs/>
          <w:i/>
        </w:rPr>
        <w:t xml:space="preserve">Journal of Experimental Social Psychology</w:t>
      </w:r>
      <w:r>
        <w:t xml:space="preserve"> </w:t>
      </w:r>
      <w:r>
        <w:rPr>
          <w:bCs/>
          <w:b/>
        </w:rPr>
        <w:t xml:space="preserve">49</w:t>
      </w:r>
      <w:r>
        <w:t xml:space="preserve">, 764–766 (2013).</w:t>
      </w:r>
    </w:p>
    <w:bookmarkEnd w:id="282"/>
    <w:bookmarkStart w:id="284" w:name="ref-Maloney2005"/>
    <w:p>
      <w:pPr>
        <w:pStyle w:val="Bibliography"/>
      </w:pPr>
      <w:r>
        <w:t xml:space="preserve">50.</w:t>
      </w:r>
      <w:r>
        <w:t xml:space="preserve"> </w:t>
      </w:r>
      <w:r>
        <w:t xml:space="preserve">	</w:t>
      </w:r>
      <w:r>
        <w:t xml:space="preserve">Maloney, L. T.</w:t>
      </w:r>
      <w:r>
        <w:t xml:space="preserve"> </w:t>
      </w:r>
      <w:r>
        <w:rPr>
          <w:iCs/>
          <w:i/>
        </w:rPr>
        <w:t xml:space="preserve">et al.</w:t>
      </w:r>
      <w:r>
        <w:t xml:space="preserve"> </w:t>
      </w:r>
      <w:hyperlink r:id="rId283">
        <w:r>
          <w:rPr>
            <w:rStyle w:val="Hyperlink"/>
          </w:rPr>
          <w:t xml:space="preserve">Past trials influence perception of ambiguous motion quartets through pattern completion</w:t>
        </w:r>
      </w:hyperlink>
      <w:r>
        <w:t xml:space="preserve">.</w:t>
      </w:r>
      <w:r>
        <w:t xml:space="preserve"> </w:t>
      </w:r>
      <w:r>
        <w:rPr>
          <w:iCs/>
          <w:i/>
        </w:rPr>
        <w:t xml:space="preserve">Proceedings of the National Academy of Sciences of the United States of America</w:t>
      </w:r>
      <w:r>
        <w:t xml:space="preserve"> </w:t>
      </w:r>
      <w:r>
        <w:rPr>
          <w:bCs/>
          <w:b/>
        </w:rPr>
        <w:t xml:space="preserve">102</w:t>
      </w:r>
      <w:r>
        <w:t xml:space="preserve">, 3164–3169 (2005).</w:t>
      </w:r>
    </w:p>
    <w:bookmarkEnd w:id="284"/>
    <w:bookmarkStart w:id="286" w:name="ref-Glaze2015"/>
    <w:p>
      <w:pPr>
        <w:pStyle w:val="Bibliography"/>
      </w:pPr>
      <w:r>
        <w:t xml:space="preserve">51.</w:t>
      </w:r>
      <w:r>
        <w:t xml:space="preserve"> </w:t>
      </w:r>
      <w:r>
        <w:t xml:space="preserve">	</w:t>
      </w:r>
      <w:r>
        <w:t xml:space="preserve">Glaze, C. M.</w:t>
      </w:r>
      <w:r>
        <w:t xml:space="preserve"> </w:t>
      </w:r>
      <w:r>
        <w:rPr>
          <w:iCs/>
          <w:i/>
        </w:rPr>
        <w:t xml:space="preserve">et al.</w:t>
      </w:r>
      <w:r>
        <w:t xml:space="preserve"> </w:t>
      </w:r>
      <w:hyperlink r:id="rId285">
        <w:r>
          <w:rPr>
            <w:rStyle w:val="Hyperlink"/>
          </w:rPr>
          <w:t xml:space="preserve">Normative evidence accumulation in unpredictable environments</w:t>
        </w:r>
      </w:hyperlink>
      <w:r>
        <w:t xml:space="preserve">.</w:t>
      </w:r>
      <w:r>
        <w:t xml:space="preserve"> </w:t>
      </w:r>
      <w:r>
        <w:rPr>
          <w:iCs/>
          <w:i/>
        </w:rPr>
        <w:t xml:space="preserve">eLife</w:t>
      </w:r>
      <w:r>
        <w:t xml:space="preserve"> </w:t>
      </w:r>
      <w:r>
        <w:rPr>
          <w:bCs/>
          <w:b/>
        </w:rPr>
        <w:t xml:space="preserve">4</w:t>
      </w:r>
      <w:r>
        <w:t xml:space="preserve">, (2015).</w:t>
      </w:r>
    </w:p>
    <w:bookmarkEnd w:id="286"/>
    <w:bookmarkStart w:id="288" w:name="ref-Wexler2015"/>
    <w:p>
      <w:pPr>
        <w:pStyle w:val="Bibliography"/>
      </w:pPr>
      <w:r>
        <w:t xml:space="preserve">52.</w:t>
      </w:r>
      <w:r>
        <w:t xml:space="preserve"> </w:t>
      </w:r>
      <w:r>
        <w:t xml:space="preserve">	</w:t>
      </w:r>
      <w:r>
        <w:t xml:space="preserve">Wexler, M.</w:t>
      </w:r>
      <w:r>
        <w:t xml:space="preserve"> </w:t>
      </w:r>
      <w:r>
        <w:rPr>
          <w:iCs/>
          <w:i/>
        </w:rPr>
        <w:t xml:space="preserve">et al.</w:t>
      </w:r>
      <w:r>
        <w:t xml:space="preserve"> </w:t>
      </w:r>
      <w:hyperlink r:id="rId287">
        <w:r>
          <w:rPr>
            <w:rStyle w:val="Hyperlink"/>
          </w:rPr>
          <w:t xml:space="preserve">Persistent states in vision break universality and time invariance</w:t>
        </w:r>
      </w:hyperlink>
      <w:r>
        <w:t xml:space="preserve">.</w:t>
      </w:r>
      <w:r>
        <w:t xml:space="preserve"> </w:t>
      </w:r>
      <w:r>
        <w:rPr>
          <w:iCs/>
          <w:i/>
        </w:rPr>
        <w:t xml:space="preserve">Proceedings of the National Academy of Sciences of the United States of America</w:t>
      </w:r>
      <w:r>
        <w:t xml:space="preserve"> </w:t>
      </w:r>
      <w:r>
        <w:rPr>
          <w:bCs/>
          <w:b/>
        </w:rPr>
        <w:t xml:space="preserve">112</w:t>
      </w:r>
      <w:r>
        <w:t xml:space="preserve">, 14990–14995 (2015).</w:t>
      </w:r>
    </w:p>
    <w:bookmarkEnd w:id="288"/>
    <w:bookmarkStart w:id="290" w:name="ref-Feldman2010"/>
    <w:p>
      <w:pPr>
        <w:pStyle w:val="Bibliography"/>
      </w:pPr>
      <w:r>
        <w:t xml:space="preserve">53.</w:t>
      </w:r>
      <w:r>
        <w:t xml:space="preserve"> </w:t>
      </w:r>
      <w:r>
        <w:t xml:space="preserve">	</w:t>
      </w:r>
      <w:r>
        <w:t xml:space="preserve">Feldman, H.</w:t>
      </w:r>
      <w:r>
        <w:t xml:space="preserve"> </w:t>
      </w:r>
      <w:r>
        <w:rPr>
          <w:iCs/>
          <w:i/>
        </w:rPr>
        <w:t xml:space="preserve">et al.</w:t>
      </w:r>
      <w:r>
        <w:t xml:space="preserve"> </w:t>
      </w:r>
      <w:hyperlink r:id="rId289">
        <w:r>
          <w:rPr>
            <w:rStyle w:val="Hyperlink"/>
          </w:rPr>
          <w:t xml:space="preserve">Attention, uncertainty, and free-energy</w:t>
        </w:r>
      </w:hyperlink>
      <w:r>
        <w:t xml:space="preserve">.</w:t>
      </w:r>
      <w:r>
        <w:t xml:space="preserve"> </w:t>
      </w:r>
      <w:r>
        <w:rPr>
          <w:iCs/>
          <w:i/>
        </w:rPr>
        <w:t xml:space="preserve">Frontiers in Human Neuroscience</w:t>
      </w:r>
      <w:r>
        <w:t xml:space="preserve"> </w:t>
      </w:r>
      <w:r>
        <w:rPr>
          <w:bCs/>
          <w:b/>
        </w:rPr>
        <w:t xml:space="preserve">4</w:t>
      </w:r>
      <w:r>
        <w:t xml:space="preserve">, 7028 (2010).</w:t>
      </w:r>
    </w:p>
    <w:bookmarkEnd w:id="290"/>
    <w:bookmarkStart w:id="292" w:name="ref-Mathys2014a"/>
    <w:p>
      <w:pPr>
        <w:pStyle w:val="Bibliography"/>
      </w:pPr>
      <w:r>
        <w:t xml:space="preserve">54.</w:t>
      </w:r>
      <w:r>
        <w:t xml:space="preserve"> </w:t>
      </w:r>
      <w:r>
        <w:t xml:space="preserve">	</w:t>
      </w:r>
      <w:r>
        <w:t xml:space="preserve">Mathys, C. D.</w:t>
      </w:r>
      <w:r>
        <w:t xml:space="preserve"> </w:t>
      </w:r>
      <w:r>
        <w:rPr>
          <w:iCs/>
          <w:i/>
        </w:rPr>
        <w:t xml:space="preserve">et al.</w:t>
      </w:r>
      <w:r>
        <w:t xml:space="preserve"> </w:t>
      </w:r>
      <w:hyperlink r:id="rId291">
        <w:r>
          <w:rPr>
            <w:rStyle w:val="Hyperlink"/>
          </w:rPr>
          <w:t xml:space="preserve">Uncertainty in perception and the hierarchical gaussian filter.</w:t>
        </w:r>
      </w:hyperlink>
      <w:r>
        <w:t xml:space="preserve"> </w:t>
      </w:r>
      <w:r>
        <w:rPr>
          <w:iCs/>
          <w:i/>
        </w:rPr>
        <w:t xml:space="preserve">Frontiers in human neuroscience</w:t>
      </w:r>
      <w:r>
        <w:t xml:space="preserve"> </w:t>
      </w:r>
      <w:r>
        <w:rPr>
          <w:bCs/>
          <w:b/>
        </w:rPr>
        <w:t xml:space="preserve">8</w:t>
      </w:r>
      <w:r>
        <w:t xml:space="preserve">, 825 (2014).</w:t>
      </w:r>
    </w:p>
    <w:bookmarkEnd w:id="292"/>
    <w:bookmarkStart w:id="294" w:name="ref-Friston2005"/>
    <w:p>
      <w:pPr>
        <w:pStyle w:val="Bibliography"/>
      </w:pPr>
      <w:r>
        <w:t xml:space="preserve">55.</w:t>
      </w:r>
      <w:r>
        <w:t xml:space="preserve"> </w:t>
      </w:r>
      <w:r>
        <w:t xml:space="preserve">	</w:t>
      </w:r>
      <w:r>
        <w:t xml:space="preserve">Friston, K.</w:t>
      </w:r>
      <w:r>
        <w:t xml:space="preserve"> </w:t>
      </w:r>
      <w:hyperlink r:id="rId293">
        <w:r>
          <w:rPr>
            <w:rStyle w:val="Hyperlink"/>
          </w:rPr>
          <w:t xml:space="preserve">A theory of cortical responses.</w:t>
        </w:r>
      </w:hyperlink>
      <w:r>
        <w:t xml:space="preserve"> </w:t>
      </w:r>
      <w:r>
        <w:rPr>
          <w:iCs/>
          <w:i/>
        </w:rPr>
        <w:t xml:space="preserve">Philosophical transactions of the Royal Society of London. Series B, Biological sciences</w:t>
      </w:r>
      <w:r>
        <w:t xml:space="preserve"> </w:t>
      </w:r>
      <w:r>
        <w:rPr>
          <w:bCs/>
          <w:b/>
        </w:rPr>
        <w:t xml:space="preserve">360</w:t>
      </w:r>
      <w:r>
        <w:t xml:space="preserve">, 815–836 (2005).</w:t>
      </w:r>
    </w:p>
    <w:bookmarkEnd w:id="294"/>
    <w:bookmarkStart w:id="296" w:name="ref-Sterzer2018"/>
    <w:p>
      <w:pPr>
        <w:pStyle w:val="Bibliography"/>
      </w:pPr>
      <w:r>
        <w:t xml:space="preserve">56.</w:t>
      </w:r>
      <w:r>
        <w:t xml:space="preserve"> </w:t>
      </w:r>
      <w:r>
        <w:t xml:space="preserve">	</w:t>
      </w:r>
      <w:r>
        <w:t xml:space="preserve">Sterzer, P.</w:t>
      </w:r>
      <w:r>
        <w:t xml:space="preserve"> </w:t>
      </w:r>
      <w:r>
        <w:rPr>
          <w:iCs/>
          <w:i/>
        </w:rPr>
        <w:t xml:space="preserve">et al.</w:t>
      </w:r>
      <w:r>
        <w:t xml:space="preserve"> </w:t>
      </w:r>
      <w:hyperlink r:id="rId295">
        <w:r>
          <w:rPr>
            <w:rStyle w:val="Hyperlink"/>
          </w:rPr>
          <w:t xml:space="preserve">The predictive coding account of psychosis</w:t>
        </w:r>
      </w:hyperlink>
      <w:r>
        <w:t xml:space="preserve">.</w:t>
      </w:r>
      <w:r>
        <w:t xml:space="preserve"> </w:t>
      </w:r>
      <w:r>
        <w:rPr>
          <w:iCs/>
          <w:i/>
        </w:rPr>
        <w:t xml:space="preserve">Biological Psychiatry</w:t>
      </w:r>
      <w:r>
        <w:t xml:space="preserve"> </w:t>
      </w:r>
      <w:r>
        <w:rPr>
          <w:bCs/>
          <w:b/>
        </w:rPr>
        <w:t xml:space="preserve">84</w:t>
      </w:r>
      <w:r>
        <w:t xml:space="preserve">, 634–643 (2018).</w:t>
      </w:r>
    </w:p>
    <w:bookmarkEnd w:id="296"/>
    <w:bookmarkStart w:id="298" w:name="ref-Jardri2017"/>
    <w:p>
      <w:pPr>
        <w:pStyle w:val="Bibliography"/>
      </w:pPr>
      <w:r>
        <w:t xml:space="preserve">57.</w:t>
      </w:r>
      <w:r>
        <w:t xml:space="preserve"> </w:t>
      </w:r>
      <w:r>
        <w:t xml:space="preserve">	</w:t>
      </w:r>
      <w:r>
        <w:t xml:space="preserve">Jardri, R.</w:t>
      </w:r>
      <w:r>
        <w:t xml:space="preserve"> </w:t>
      </w:r>
      <w:r>
        <w:rPr>
          <w:iCs/>
          <w:i/>
        </w:rPr>
        <w:t xml:space="preserve">et al.</w:t>
      </w:r>
      <w:r>
        <w:t xml:space="preserve"> </w:t>
      </w:r>
      <w:hyperlink r:id="rId297">
        <w:r>
          <w:rPr>
            <w:rStyle w:val="Hyperlink"/>
          </w:rPr>
          <w:t xml:space="preserve">Experimental evidence for circular inference in schizophrenia</w:t>
        </w:r>
      </w:hyperlink>
      <w:r>
        <w:t xml:space="preserve">.</w:t>
      </w:r>
      <w:r>
        <w:t xml:space="preserve"> </w:t>
      </w:r>
      <w:r>
        <w:rPr>
          <w:iCs/>
          <w:i/>
        </w:rPr>
        <w:t xml:space="preserve">Nature Communications</w:t>
      </w:r>
      <w:r>
        <w:t xml:space="preserve"> </w:t>
      </w:r>
      <w:r>
        <w:rPr>
          <w:bCs/>
          <w:b/>
        </w:rPr>
        <w:t xml:space="preserve">8</w:t>
      </w:r>
      <w:r>
        <w:t xml:space="preserve">, 14218 (2017).</w:t>
      </w:r>
    </w:p>
    <w:bookmarkEnd w:id="298"/>
    <w:bookmarkStart w:id="300" w:name="ref-Bengio2015"/>
    <w:p>
      <w:pPr>
        <w:pStyle w:val="Bibliography"/>
      </w:pPr>
      <w:r>
        <w:t xml:space="preserve">58.</w:t>
      </w:r>
      <w:r>
        <w:t xml:space="preserve"> </w:t>
      </w:r>
      <w:r>
        <w:t xml:space="preserve">	</w:t>
      </w:r>
      <w:r>
        <w:t xml:space="preserve">Bengio, Y.</w:t>
      </w:r>
      <w:r>
        <w:t xml:space="preserve"> </w:t>
      </w:r>
      <w:r>
        <w:rPr>
          <w:iCs/>
          <w:i/>
        </w:rPr>
        <w:t xml:space="preserve">et al.</w:t>
      </w:r>
      <w:r>
        <w:t xml:space="preserve"> </w:t>
      </w:r>
      <w:hyperlink r:id="rId299">
        <w:r>
          <w:rPr>
            <w:rStyle w:val="Hyperlink"/>
          </w:rPr>
          <w:t xml:space="preserve">Towards biologically plausible deep learning</w:t>
        </w:r>
      </w:hyperlink>
      <w:r>
        <w:t xml:space="preserve">.</w:t>
      </w:r>
      <w:r>
        <w:t xml:space="preserve"> </w:t>
      </w:r>
      <w:r>
        <w:rPr>
          <w:iCs/>
          <w:i/>
        </w:rPr>
        <w:t xml:space="preserve">bioRxiv</w:t>
      </w:r>
      <w:r>
        <w:t xml:space="preserve"> </w:t>
      </w:r>
      <w:r>
        <w:t xml:space="preserve">(2015).</w:t>
      </w:r>
    </w:p>
    <w:bookmarkEnd w:id="300"/>
    <w:bookmarkStart w:id="302" w:name="ref-Dijkstra2021"/>
    <w:p>
      <w:pPr>
        <w:pStyle w:val="Bibliography"/>
      </w:pPr>
      <w:r>
        <w:t xml:space="preserve">59.</w:t>
      </w:r>
      <w:r>
        <w:t xml:space="preserve"> </w:t>
      </w:r>
      <w:r>
        <w:t xml:space="preserve">	</w:t>
      </w:r>
      <w:r>
        <w:t xml:space="preserve">Dijkstra, N.</w:t>
      </w:r>
      <w:r>
        <w:t xml:space="preserve"> </w:t>
      </w:r>
      <w:r>
        <w:rPr>
          <w:iCs/>
          <w:i/>
        </w:rPr>
        <w:t xml:space="preserve">et al.</w:t>
      </w:r>
      <w:r>
        <w:t xml:space="preserve"> Perceptual reality monitoring: Neural mechanisms dissociating imagination from reality.</w:t>
      </w:r>
      <w:r>
        <w:t xml:space="preserve"> </w:t>
      </w:r>
      <w:r>
        <w:rPr>
          <w:iCs/>
          <w:i/>
        </w:rPr>
        <w:t xml:space="preserve">PsyArXiv</w:t>
      </w:r>
      <w:r>
        <w:t xml:space="preserve"> </w:t>
      </w:r>
      <w:r>
        <w:t xml:space="preserve">(2021) doi:</w:t>
      </w:r>
      <w:hyperlink r:id="rId301">
        <w:r>
          <w:rPr>
            <w:rStyle w:val="Hyperlink"/>
          </w:rPr>
          <w:t xml:space="preserve">10.31234/OSF.IO/ZNGEQ</w:t>
        </w:r>
      </w:hyperlink>
      <w:r>
        <w:t xml:space="preserve">.</w:t>
      </w:r>
    </w:p>
    <w:bookmarkEnd w:id="302"/>
    <w:bookmarkStart w:id="304" w:name="ref-Bitzer2014"/>
    <w:p>
      <w:pPr>
        <w:pStyle w:val="Bibliography"/>
      </w:pPr>
      <w:r>
        <w:t xml:space="preserve">60.</w:t>
      </w:r>
      <w:r>
        <w:t xml:space="preserve"> </w:t>
      </w:r>
      <w:r>
        <w:t xml:space="preserve">	</w:t>
      </w:r>
      <w:r>
        <w:t xml:space="preserve">Bitzer, S.</w:t>
      </w:r>
      <w:r>
        <w:t xml:space="preserve"> </w:t>
      </w:r>
      <w:r>
        <w:rPr>
          <w:iCs/>
          <w:i/>
        </w:rPr>
        <w:t xml:space="preserve">et al.</w:t>
      </w:r>
      <w:r>
        <w:t xml:space="preserve"> </w:t>
      </w:r>
      <w:hyperlink r:id="rId303">
        <w:r>
          <w:rPr>
            <w:rStyle w:val="Hyperlink"/>
          </w:rPr>
          <w:t xml:space="preserve">Perceptual decision making: Drift-diffusion model is equivalent to a bayesian model</w:t>
        </w:r>
      </w:hyperlink>
      <w:r>
        <w:t xml:space="preserve">.</w:t>
      </w:r>
      <w:r>
        <w:t xml:space="preserve"> </w:t>
      </w:r>
      <w:r>
        <w:rPr>
          <w:iCs/>
          <w:i/>
        </w:rPr>
        <w:t xml:space="preserve">Frontiers in Human Neuroscience</w:t>
      </w:r>
      <w:r>
        <w:t xml:space="preserve"> </w:t>
      </w:r>
      <w:r>
        <w:rPr>
          <w:bCs/>
          <w:b/>
        </w:rPr>
        <w:t xml:space="preserve">8</w:t>
      </w:r>
      <w:r>
        <w:t xml:space="preserve">, 77624 (2014).</w:t>
      </w:r>
    </w:p>
    <w:bookmarkEnd w:id="304"/>
    <w:bookmarkStart w:id="306" w:name="ref-Roy2021"/>
    <w:p>
      <w:pPr>
        <w:pStyle w:val="Bibliography"/>
      </w:pPr>
      <w:r>
        <w:t xml:space="preserve">61.</w:t>
      </w:r>
      <w:r>
        <w:t xml:space="preserve"> </w:t>
      </w:r>
      <w:r>
        <w:t xml:space="preserve">	</w:t>
      </w:r>
      <w:r>
        <w:t xml:space="preserve">Roy, N. A.</w:t>
      </w:r>
      <w:r>
        <w:t xml:space="preserve"> </w:t>
      </w:r>
      <w:r>
        <w:rPr>
          <w:iCs/>
          <w:i/>
        </w:rPr>
        <w:t xml:space="preserve">et al.</w:t>
      </w:r>
      <w:r>
        <w:t xml:space="preserve"> </w:t>
      </w:r>
      <w:hyperlink r:id="rId305">
        <w:r>
          <w:rPr>
            <w:rStyle w:val="Hyperlink"/>
          </w:rPr>
          <w:t xml:space="preserve">Extracting the dynamics of behavior in sensory decision-making experiments</w:t>
        </w:r>
      </w:hyperlink>
      <w:r>
        <w:t xml:space="preserve">.</w:t>
      </w:r>
      <w:r>
        <w:t xml:space="preserve"> </w:t>
      </w:r>
      <w:r>
        <w:rPr>
          <w:iCs/>
          <w:i/>
        </w:rPr>
        <w:t xml:space="preserve">Neuron</w:t>
      </w:r>
      <w:r>
        <w:t xml:space="preserve"> </w:t>
      </w:r>
      <w:r>
        <w:rPr>
          <w:bCs/>
          <w:b/>
        </w:rPr>
        <w:t xml:space="preserve">109</w:t>
      </w:r>
      <w:r>
        <w:t xml:space="preserve">, 597–610.e6 (2021).</w:t>
      </w:r>
    </w:p>
    <w:bookmarkEnd w:id="306"/>
    <w:bookmarkStart w:id="308" w:name="ref-Ashwood2021"/>
    <w:p>
      <w:pPr>
        <w:pStyle w:val="Bibliography"/>
      </w:pPr>
      <w:r>
        <w:t xml:space="preserve">62.</w:t>
      </w:r>
      <w:r>
        <w:t xml:space="preserve"> </w:t>
      </w:r>
      <w:r>
        <w:t xml:space="preserve">	</w:t>
      </w:r>
      <w:r>
        <w:t xml:space="preserve">Ashwood, Z. C.</w:t>
      </w:r>
      <w:r>
        <w:t xml:space="preserve"> </w:t>
      </w:r>
      <w:r>
        <w:rPr>
          <w:iCs/>
          <w:i/>
        </w:rPr>
        <w:t xml:space="preserve">et al.</w:t>
      </w:r>
      <w:r>
        <w:t xml:space="preserve"> Mice alternate between discrete strategies during perceptual decision-making.</w:t>
      </w:r>
      <w:r>
        <w:t xml:space="preserve"> </w:t>
      </w:r>
      <w:r>
        <w:rPr>
          <w:iCs/>
          <w:i/>
        </w:rPr>
        <w:t xml:space="preserve">bioRxiv</w:t>
      </w:r>
      <w:r>
        <w:t xml:space="preserve"> </w:t>
      </w:r>
      <w:r>
        <w:t xml:space="preserve">2020.10.19.346353 (2021) doi:</w:t>
      </w:r>
      <w:hyperlink r:id="rId307">
        <w:r>
          <w:rPr>
            <w:rStyle w:val="Hyperlink"/>
          </w:rPr>
          <w:t xml:space="preserve">10.1101/2020.10.19.346353</w:t>
        </w:r>
      </w:hyperlink>
      <w:r>
        <w:t xml:space="preserve">.</w:t>
      </w:r>
    </w:p>
    <w:bookmarkEnd w:id="308"/>
    <w:bookmarkStart w:id="310" w:name="ref-Matthews2010"/>
    <w:p>
      <w:pPr>
        <w:pStyle w:val="Bibliography"/>
      </w:pPr>
      <w:r>
        <w:t xml:space="preserve">63.</w:t>
      </w:r>
      <w:r>
        <w:t xml:space="preserve"> </w:t>
      </w:r>
      <w:r>
        <w:t xml:space="preserve">	</w:t>
      </w:r>
      <w:r>
        <w:t xml:space="preserve">Matthews, G.</w:t>
      </w:r>
      <w:r>
        <w:t xml:space="preserve"> </w:t>
      </w:r>
      <w:r>
        <w:rPr>
          <w:iCs/>
          <w:i/>
        </w:rPr>
        <w:t xml:space="preserve">et al.</w:t>
      </w:r>
      <w:r>
        <w:t xml:space="preserve"> Task engagement, attention, and executive control. 205–230 (2010) doi:</w:t>
      </w:r>
      <w:hyperlink r:id="rId309">
        <w:r>
          <w:rPr>
            <w:rStyle w:val="Hyperlink"/>
          </w:rPr>
          <w:t xml:space="preserve">10.1007/978-1-4419-1210-7_13</w:t>
        </w:r>
      </w:hyperlink>
      <w:r>
        <w:t xml:space="preserve">.</w:t>
      </w:r>
    </w:p>
    <w:bookmarkEnd w:id="310"/>
    <w:bookmarkStart w:id="312" w:name="ref-McGinley2015"/>
    <w:p>
      <w:pPr>
        <w:pStyle w:val="Bibliography"/>
      </w:pPr>
      <w:r>
        <w:t xml:space="preserve">64.</w:t>
      </w:r>
      <w:r>
        <w:t xml:space="preserve"> </w:t>
      </w:r>
      <w:r>
        <w:t xml:space="preserve">	</w:t>
      </w:r>
      <w:r>
        <w:t xml:space="preserve">McGinley, M. J.</w:t>
      </w:r>
      <w:r>
        <w:t xml:space="preserve"> </w:t>
      </w:r>
      <w:r>
        <w:rPr>
          <w:iCs/>
          <w:i/>
        </w:rPr>
        <w:t xml:space="preserve">et al.</w:t>
      </w:r>
      <w:r>
        <w:t xml:space="preserve"> </w:t>
      </w:r>
      <w:hyperlink r:id="rId311">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12"/>
    <w:bookmarkStart w:id="314" w:name="ref-Beerendonk2023"/>
    <w:p>
      <w:pPr>
        <w:pStyle w:val="Bibliography"/>
      </w:pPr>
      <w:r>
        <w:t xml:space="preserve">65.</w:t>
      </w:r>
      <w:r>
        <w:t xml:space="preserve"> </w:t>
      </w:r>
      <w:r>
        <w:t xml:space="preserve">	</w:t>
      </w:r>
      <w:r>
        <w:t xml:space="preserve">Beerendonk, L.</w:t>
      </w:r>
      <w:r>
        <w:t xml:space="preserve"> </w:t>
      </w:r>
      <w:r>
        <w:rPr>
          <w:iCs/>
          <w:i/>
        </w:rPr>
        <w:t xml:space="preserve">et al.</w:t>
      </w:r>
      <w:r>
        <w:t xml:space="preserve"> A disinhibitory circuit mechanism explains a general principle of peak performance during mid-level arousal.</w:t>
      </w:r>
      <w:r>
        <w:t xml:space="preserve"> </w:t>
      </w:r>
      <w:r>
        <w:rPr>
          <w:iCs/>
          <w:i/>
        </w:rPr>
        <w:t xml:space="preserve">bioRxiv</w:t>
      </w:r>
      <w:r>
        <w:t xml:space="preserve"> </w:t>
      </w:r>
      <w:r>
        <w:t xml:space="preserve">2023.07.28.550956 (2023) doi:</w:t>
      </w:r>
      <w:hyperlink r:id="rId313">
        <w:r>
          <w:rPr>
            <w:rStyle w:val="Hyperlink"/>
          </w:rPr>
          <w:t xml:space="preserve">10.1101/2023.07.28.550956</w:t>
        </w:r>
      </w:hyperlink>
      <w:r>
        <w:t xml:space="preserve">.</w:t>
      </w:r>
    </w:p>
    <w:bookmarkEnd w:id="314"/>
    <w:bookmarkStart w:id="316" w:name="ref-Gee2014"/>
    <w:p>
      <w:pPr>
        <w:pStyle w:val="Bibliography"/>
      </w:pPr>
      <w:r>
        <w:t xml:space="preserve">66.</w:t>
      </w:r>
      <w:r>
        <w:t xml:space="preserve"> </w:t>
      </w:r>
      <w:r>
        <w:t xml:space="preserve">	</w:t>
      </w:r>
      <w:r>
        <w:t xml:space="preserve">Gee, J. W. D.</w:t>
      </w:r>
      <w:r>
        <w:t xml:space="preserve"> </w:t>
      </w:r>
      <w:r>
        <w:rPr>
          <w:iCs/>
          <w:i/>
        </w:rPr>
        <w:t xml:space="preserve">et al.</w:t>
      </w:r>
      <w:r>
        <w:t xml:space="preserve"> </w:t>
      </w:r>
      <w:hyperlink r:id="rId315">
        <w:r>
          <w:rPr>
            <w:rStyle w:val="Hyperlink"/>
          </w:rPr>
          <w:t xml:space="preserve">Decision-related pupil dilation reflects upcoming choice and individual bias</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E618–E625 (2014).</w:t>
      </w:r>
    </w:p>
    <w:bookmarkEnd w:id="316"/>
    <w:bookmarkStart w:id="318" w:name="ref-Gee2017"/>
    <w:p>
      <w:pPr>
        <w:pStyle w:val="Bibliography"/>
      </w:pPr>
      <w:r>
        <w:t xml:space="preserve">67.</w:t>
      </w:r>
      <w:r>
        <w:t xml:space="preserve"> </w:t>
      </w:r>
      <w:r>
        <w:t xml:space="preserve">	</w:t>
      </w:r>
      <w:r>
        <w:t xml:space="preserve">Gee, J. W. de</w:t>
      </w:r>
      <w:r>
        <w:t xml:space="preserve"> </w:t>
      </w:r>
      <w:r>
        <w:rPr>
          <w:iCs/>
          <w:i/>
        </w:rPr>
        <w:t xml:space="preserve">et al.</w:t>
      </w:r>
      <w:r>
        <w:t xml:space="preserve"> </w:t>
      </w:r>
      <w:hyperlink r:id="rId317">
        <w:r>
          <w:rPr>
            <w:rStyle w:val="Hyperlink"/>
          </w:rPr>
          <w:t xml:space="preserve">Dynamic modulation of decision biases by brainstem arousal systems</w:t>
        </w:r>
      </w:hyperlink>
      <w:r>
        <w:t xml:space="preserve">.</w:t>
      </w:r>
      <w:r>
        <w:t xml:space="preserve"> </w:t>
      </w:r>
      <w:r>
        <w:rPr>
          <w:iCs/>
          <w:i/>
        </w:rPr>
        <w:t xml:space="preserve">eLife</w:t>
      </w:r>
      <w:r>
        <w:t xml:space="preserve"> </w:t>
      </w:r>
      <w:r>
        <w:rPr>
          <w:bCs/>
          <w:b/>
        </w:rPr>
        <w:t xml:space="preserve">6</w:t>
      </w:r>
      <w:r>
        <w:t xml:space="preserve">, (2017).</w:t>
      </w:r>
    </w:p>
    <w:bookmarkEnd w:id="318"/>
    <w:bookmarkStart w:id="320" w:name="ref-Gee2020"/>
    <w:p>
      <w:pPr>
        <w:pStyle w:val="Bibliography"/>
      </w:pPr>
      <w:r>
        <w:t xml:space="preserve">68.</w:t>
      </w:r>
      <w:r>
        <w:t xml:space="preserve"> </w:t>
      </w:r>
      <w:r>
        <w:t xml:space="preserve">	</w:t>
      </w:r>
      <w:r>
        <w:t xml:space="preserve">Gee, J. W. de</w:t>
      </w:r>
      <w:r>
        <w:t xml:space="preserve"> </w:t>
      </w:r>
      <w:r>
        <w:rPr>
          <w:iCs/>
          <w:i/>
        </w:rPr>
        <w:t xml:space="preserve">et al.</w:t>
      </w:r>
      <w:r>
        <w:t xml:space="preserve"> </w:t>
      </w:r>
      <w:hyperlink r:id="rId319">
        <w:r>
          <w:rPr>
            <w:rStyle w:val="Hyperlink"/>
          </w:rPr>
          <w:t xml:space="preserve">Pupil-linked phasic arousal predicts a reduction of choice bias across species and decision domains</w:t>
        </w:r>
      </w:hyperlink>
      <w:r>
        <w:t xml:space="preserve">.</w:t>
      </w:r>
      <w:r>
        <w:t xml:space="preserve"> </w:t>
      </w:r>
      <w:r>
        <w:rPr>
          <w:iCs/>
          <w:i/>
        </w:rPr>
        <w:t xml:space="preserve">eLife</w:t>
      </w:r>
      <w:r>
        <w:t xml:space="preserve"> </w:t>
      </w:r>
      <w:r>
        <w:rPr>
          <w:bCs/>
          <w:b/>
        </w:rPr>
        <w:t xml:space="preserve">9</w:t>
      </w:r>
      <w:r>
        <w:t xml:space="preserve">, 1–25 (2020).</w:t>
      </w:r>
    </w:p>
    <w:bookmarkEnd w:id="320"/>
    <w:bookmarkStart w:id="321" w:name="ref-McGinley2015b"/>
    <w:p>
      <w:pPr>
        <w:pStyle w:val="Bibliography"/>
      </w:pPr>
      <w:r>
        <w:t xml:space="preserve">69.</w:t>
      </w:r>
      <w:r>
        <w:t xml:space="preserve"> </w:t>
      </w:r>
      <w:r>
        <w:t xml:space="preserve">	</w:t>
      </w:r>
      <w:r>
        <w:t xml:space="preserve">McGinley, M. J.</w:t>
      </w:r>
      <w:r>
        <w:t xml:space="preserve"> </w:t>
      </w:r>
      <w:r>
        <w:rPr>
          <w:iCs/>
          <w:i/>
        </w:rPr>
        <w:t xml:space="preserve">et al.</w:t>
      </w:r>
      <w:r>
        <w:t xml:space="preserve"> </w:t>
      </w:r>
      <w:hyperlink r:id="rId311">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21"/>
    <w:bookmarkStart w:id="323" w:name="ref-Gee2022"/>
    <w:p>
      <w:pPr>
        <w:pStyle w:val="Bibliography"/>
      </w:pPr>
      <w:r>
        <w:t xml:space="preserve">70.</w:t>
      </w:r>
      <w:r>
        <w:t xml:space="preserve"> </w:t>
      </w:r>
      <w:r>
        <w:t xml:space="preserve">	</w:t>
      </w:r>
      <w:r>
        <w:t xml:space="preserve">Gee, J. W. de</w:t>
      </w:r>
      <w:r>
        <w:t xml:space="preserve"> </w:t>
      </w:r>
      <w:r>
        <w:rPr>
          <w:iCs/>
          <w:i/>
        </w:rPr>
        <w:t xml:space="preserve">et al.</w:t>
      </w:r>
      <w:r>
        <w:t xml:space="preserve"> Mice regulate their attentional intensity and arousal to exploit increases in task utility.</w:t>
      </w:r>
      <w:r>
        <w:t xml:space="preserve"> </w:t>
      </w:r>
      <w:r>
        <w:rPr>
          <w:iCs/>
          <w:i/>
        </w:rPr>
        <w:t xml:space="preserve">bioRxiv</w:t>
      </w:r>
      <w:r>
        <w:t xml:space="preserve"> </w:t>
      </w:r>
      <w:r>
        <w:t xml:space="preserve">2022.03.04.482962 (2022) doi:</w:t>
      </w:r>
      <w:hyperlink r:id="rId322">
        <w:r>
          <w:rPr>
            <w:rStyle w:val="Hyperlink"/>
          </w:rPr>
          <w:t xml:space="preserve">10.1101/2022.03.04.482962</w:t>
        </w:r>
      </w:hyperlink>
      <w:r>
        <w:t xml:space="preserve">.</w:t>
      </w:r>
    </w:p>
    <w:bookmarkEnd w:id="323"/>
    <w:bookmarkStart w:id="325" w:name="ref-IBL2023"/>
    <w:p>
      <w:pPr>
        <w:pStyle w:val="Bibliography"/>
      </w:pPr>
      <w:r>
        <w:t xml:space="preserve">71.</w:t>
      </w:r>
      <w:r>
        <w:t xml:space="preserve"> </w:t>
      </w:r>
      <w:r>
        <w:t xml:space="preserve">	</w:t>
      </w:r>
      <w:r>
        <w:t xml:space="preserve">Laboratory, I. B.</w:t>
      </w:r>
      <w:r>
        <w:t xml:space="preserve"> </w:t>
      </w:r>
      <w:r>
        <w:rPr>
          <w:iCs/>
          <w:i/>
        </w:rPr>
        <w:t xml:space="preserve">et al.</w:t>
      </w:r>
      <w:r>
        <w:t xml:space="preserve"> A brain-wide map of neural activity during complex behaviour. doi:</w:t>
      </w:r>
      <w:hyperlink r:id="rId324">
        <w:r>
          <w:rPr>
            <w:rStyle w:val="Hyperlink"/>
          </w:rPr>
          <w:t xml:space="preserve">10.1101/2023.07.04.547681</w:t>
        </w:r>
      </w:hyperlink>
      <w:r>
        <w:t xml:space="preserve">.</w:t>
      </w:r>
    </w:p>
    <w:bookmarkEnd w:id="325"/>
    <w:bookmarkStart w:id="327" w:name="ref-Mawase2018"/>
    <w:p>
      <w:pPr>
        <w:pStyle w:val="Bibliography"/>
      </w:pPr>
      <w:r>
        <w:t xml:space="preserve">72.</w:t>
      </w:r>
      <w:r>
        <w:t xml:space="preserve"> </w:t>
      </w:r>
      <w:r>
        <w:t xml:space="preserve">	</w:t>
      </w:r>
      <w:r>
        <w:t xml:space="preserve">Mawase, F.</w:t>
      </w:r>
      <w:r>
        <w:t xml:space="preserve"> </w:t>
      </w:r>
      <w:r>
        <w:rPr>
          <w:iCs/>
          <w:i/>
        </w:rPr>
        <w:t xml:space="preserve">et al.</w:t>
      </w:r>
      <w:r>
        <w:t xml:space="preserve"> </w:t>
      </w:r>
      <w:hyperlink r:id="rId326">
        <w:r>
          <w:rPr>
            <w:rStyle w:val="Hyperlink"/>
          </w:rPr>
          <w:t xml:space="preserve">Movement repetition facilitates response preparation</w:t>
        </w:r>
      </w:hyperlink>
      <w:r>
        <w:t xml:space="preserve">.</w:t>
      </w:r>
      <w:r>
        <w:t xml:space="preserve"> </w:t>
      </w:r>
      <w:r>
        <w:rPr>
          <w:iCs/>
          <w:i/>
        </w:rPr>
        <w:t xml:space="preserve">Cell reports</w:t>
      </w:r>
      <w:r>
        <w:t xml:space="preserve"> </w:t>
      </w:r>
      <w:r>
        <w:rPr>
          <w:bCs/>
          <w:b/>
        </w:rPr>
        <w:t xml:space="preserve">24</w:t>
      </w:r>
      <w:r>
        <w:t xml:space="preserve">, 801–808 (2018).</w:t>
      </w:r>
    </w:p>
    <w:bookmarkEnd w:id="327"/>
    <w:bookmarkStart w:id="329" w:name="ref-Pomper2023"/>
    <w:p>
      <w:pPr>
        <w:pStyle w:val="Bibliography"/>
      </w:pPr>
      <w:r>
        <w:t xml:space="preserve">73.</w:t>
      </w:r>
      <w:r>
        <w:t xml:space="preserve"> </w:t>
      </w:r>
      <w:r>
        <w:t xml:space="preserve">	</w:t>
      </w:r>
      <w:r>
        <w:t xml:space="preserve">Pomper, U.</w:t>
      </w:r>
      <w:r>
        <w:t xml:space="preserve"> </w:t>
      </w:r>
      <w:r>
        <w:rPr>
          <w:iCs/>
          <w:i/>
        </w:rPr>
        <w:t xml:space="preserve">et al.</w:t>
      </w:r>
      <w:r>
        <w:t xml:space="preserve"> </w:t>
      </w:r>
      <w:hyperlink r:id="rId328">
        <w:r>
          <w:rPr>
            <w:rStyle w:val="Hyperlink"/>
          </w:rPr>
          <w:t xml:space="preserve">Motor-induced oscillations in choice response performance</w:t>
        </w:r>
      </w:hyperlink>
      <w:r>
        <w:t xml:space="preserve">.</w:t>
      </w:r>
      <w:r>
        <w:t xml:space="preserve"> </w:t>
      </w:r>
      <w:r>
        <w:rPr>
          <w:iCs/>
          <w:i/>
        </w:rPr>
        <w:t xml:space="preserve">Psychophysiology</w:t>
      </w:r>
      <w:r>
        <w:t xml:space="preserve"> </w:t>
      </w:r>
      <w:r>
        <w:rPr>
          <w:bCs/>
          <w:b/>
        </w:rPr>
        <w:t xml:space="preserve">60</w:t>
      </w:r>
      <w:r>
        <w:t xml:space="preserve">, e14172 (2023).</w:t>
      </w:r>
    </w:p>
    <w:bookmarkEnd w:id="329"/>
    <w:bookmarkStart w:id="331" w:name="ref-Kepecs2012"/>
    <w:p>
      <w:pPr>
        <w:pStyle w:val="Bibliography"/>
      </w:pPr>
      <w:r>
        <w:t xml:space="preserve">74.</w:t>
      </w:r>
      <w:r>
        <w:t xml:space="preserve"> </w:t>
      </w:r>
      <w:r>
        <w:t xml:space="preserve">	</w:t>
      </w:r>
      <w:r>
        <w:t xml:space="preserve">Kepecs, A.</w:t>
      </w:r>
      <w:r>
        <w:t xml:space="preserve"> </w:t>
      </w:r>
      <w:r>
        <w:rPr>
          <w:iCs/>
          <w:i/>
        </w:rPr>
        <w:t xml:space="preserve">et al.</w:t>
      </w:r>
      <w:r>
        <w:t xml:space="preserve"> </w:t>
      </w:r>
      <w:hyperlink r:id="rId330">
        <w:r>
          <w:rPr>
            <w:rStyle w:val="Hyperlink"/>
          </w:rPr>
          <w:t xml:space="preserve">A computational framework for the study of confidence in humans and animals</w:t>
        </w:r>
      </w:hyperlink>
      <w:r>
        <w:t xml:space="preserve">.</w:t>
      </w:r>
      <w:r>
        <w:t xml:space="preserve"> </w:t>
      </w:r>
      <w:r>
        <w:rPr>
          <w:iCs/>
          <w:i/>
        </w:rPr>
        <w:t xml:space="preserve">Philosophical Transactions of the Royal Society B: Biological Sciences</w:t>
      </w:r>
      <w:r>
        <w:t xml:space="preserve"> </w:t>
      </w:r>
      <w:r>
        <w:rPr>
          <w:bCs/>
          <w:b/>
        </w:rPr>
        <w:t xml:space="preserve">367</w:t>
      </w:r>
      <w:r>
        <w:t xml:space="preserve">, 1322 (2012).</w:t>
      </w:r>
    </w:p>
    <w:bookmarkEnd w:id="331"/>
    <w:bookmarkStart w:id="333" w:name="ref-Fritsche2017"/>
    <w:p>
      <w:pPr>
        <w:pStyle w:val="Bibliography"/>
      </w:pPr>
      <w:r>
        <w:t xml:space="preserve">75.</w:t>
      </w:r>
      <w:r>
        <w:t xml:space="preserve"> </w:t>
      </w:r>
      <w:r>
        <w:t xml:space="preserve">	</w:t>
      </w:r>
      <w:r>
        <w:t xml:space="preserve">Fritsche, M.</w:t>
      </w:r>
      <w:r>
        <w:t xml:space="preserve"> </w:t>
      </w:r>
      <w:r>
        <w:rPr>
          <w:iCs/>
          <w:i/>
        </w:rPr>
        <w:t xml:space="preserve">et al.</w:t>
      </w:r>
      <w:r>
        <w:t xml:space="preserve"> </w:t>
      </w:r>
      <w:hyperlink r:id="rId332">
        <w:r>
          <w:rPr>
            <w:rStyle w:val="Hyperlink"/>
          </w:rPr>
          <w:t xml:space="preserve">Opposite effects of recent history on perception and decision</w:t>
        </w:r>
      </w:hyperlink>
      <w:r>
        <w:t xml:space="preserve">.</w:t>
      </w:r>
      <w:r>
        <w:t xml:space="preserve"> </w:t>
      </w:r>
      <w:r>
        <w:rPr>
          <w:iCs/>
          <w:i/>
        </w:rPr>
        <w:t xml:space="preserve">Current Biology</w:t>
      </w:r>
      <w:r>
        <w:t xml:space="preserve"> </w:t>
      </w:r>
      <w:r>
        <w:rPr>
          <w:bCs/>
          <w:b/>
        </w:rPr>
        <w:t xml:space="preserve">27</w:t>
      </w:r>
      <w:r>
        <w:t xml:space="preserve">, 590–595 (2017).</w:t>
      </w:r>
    </w:p>
    <w:bookmarkEnd w:id="333"/>
    <w:bookmarkStart w:id="335" w:name="ref-Gekas2019"/>
    <w:p>
      <w:pPr>
        <w:pStyle w:val="Bibliography"/>
      </w:pPr>
      <w:r>
        <w:t xml:space="preserve">76.</w:t>
      </w:r>
      <w:r>
        <w:t xml:space="preserve"> </w:t>
      </w:r>
      <w:r>
        <w:t xml:space="preserve">	</w:t>
      </w:r>
      <w:r>
        <w:t xml:space="preserve">Gekas, N.</w:t>
      </w:r>
      <w:r>
        <w:t xml:space="preserve"> </w:t>
      </w:r>
      <w:r>
        <w:rPr>
          <w:iCs/>
          <w:i/>
        </w:rPr>
        <w:t xml:space="preserve">et al.</w:t>
      </w:r>
      <w:r>
        <w:t xml:space="preserve"> </w:t>
      </w:r>
      <w:hyperlink r:id="rId334">
        <w:r>
          <w:rPr>
            <w:rStyle w:val="Hyperlink"/>
          </w:rPr>
          <w:t xml:space="preserve">Disambiguating serial effects of multiple timescales</w:t>
        </w:r>
      </w:hyperlink>
      <w:r>
        <w:t xml:space="preserve">.</w:t>
      </w:r>
      <w:r>
        <w:t xml:space="preserve"> </w:t>
      </w:r>
      <w:r>
        <w:rPr>
          <w:iCs/>
          <w:i/>
        </w:rPr>
        <w:t xml:space="preserve">Journal of Vision</w:t>
      </w:r>
      <w:r>
        <w:t xml:space="preserve"> </w:t>
      </w:r>
      <w:r>
        <w:rPr>
          <w:bCs/>
          <w:b/>
        </w:rPr>
        <w:t xml:space="preserve">19</w:t>
      </w:r>
      <w:r>
        <w:t xml:space="preserve">, 1–14 (2019).</w:t>
      </w:r>
    </w:p>
    <w:bookmarkEnd w:id="335"/>
    <w:bookmarkStart w:id="337" w:name="ref-Weilnhammer2020"/>
    <w:p>
      <w:pPr>
        <w:pStyle w:val="Bibliography"/>
      </w:pPr>
      <w:r>
        <w:t xml:space="preserve">77.</w:t>
      </w:r>
      <w:r>
        <w:t xml:space="preserve"> </w:t>
      </w:r>
      <w:r>
        <w:t xml:space="preserve">	</w:t>
      </w:r>
      <w:r>
        <w:t xml:space="preserve">Weilnhammer, V.</w:t>
      </w:r>
      <w:r>
        <w:t xml:space="preserve"> </w:t>
      </w:r>
      <w:r>
        <w:rPr>
          <w:iCs/>
          <w:i/>
        </w:rPr>
        <w:t xml:space="preserve">et al.</w:t>
      </w:r>
      <w:r>
        <w:t xml:space="preserve"> </w:t>
      </w:r>
      <w:hyperlink r:id="rId336">
        <w:r>
          <w:rPr>
            <w:rStyle w:val="Hyperlink"/>
          </w:rPr>
          <w:t xml:space="preserve">Psychotic experiences in schizophrenia and sensitivity to sensory evidence.</w:t>
        </w:r>
      </w:hyperlink>
      <w:r>
        <w:t xml:space="preserve"> </w:t>
      </w:r>
      <w:r>
        <w:rPr>
          <w:iCs/>
          <w:i/>
        </w:rPr>
        <w:t xml:space="preserve">Schizophrenia bulletin</w:t>
      </w:r>
      <w:r>
        <w:t xml:space="preserve"> </w:t>
      </w:r>
      <w:r>
        <w:rPr>
          <w:bCs/>
          <w:b/>
        </w:rPr>
        <w:t xml:space="preserve">46</w:t>
      </w:r>
      <w:r>
        <w:t xml:space="preserve">, 927–936 (2020).</w:t>
      </w:r>
    </w:p>
    <w:bookmarkEnd w:id="337"/>
    <w:bookmarkStart w:id="339" w:name="ref-Fletcher2009"/>
    <w:p>
      <w:pPr>
        <w:pStyle w:val="Bibliography"/>
      </w:pPr>
      <w:r>
        <w:t xml:space="preserve">78.</w:t>
      </w:r>
      <w:r>
        <w:t xml:space="preserve"> </w:t>
      </w:r>
      <w:r>
        <w:t xml:space="preserve">	</w:t>
      </w:r>
      <w:r>
        <w:t xml:space="preserve">Fletcher, P. C.</w:t>
      </w:r>
      <w:r>
        <w:t xml:space="preserve"> </w:t>
      </w:r>
      <w:r>
        <w:rPr>
          <w:iCs/>
          <w:i/>
        </w:rPr>
        <w:t xml:space="preserve">et al.</w:t>
      </w:r>
      <w:r>
        <w:t xml:space="preserve"> </w:t>
      </w:r>
      <w:hyperlink r:id="rId338">
        <w:r>
          <w:rPr>
            <w:rStyle w:val="Hyperlink"/>
          </w:rPr>
          <w:t xml:space="preserve">Perceiving is believing: A bayesian approach to explaining the positive symptoms of schizophrenia.</w:t>
        </w:r>
      </w:hyperlink>
      <w:r>
        <w:t xml:space="preserve"> </w:t>
      </w:r>
      <w:r>
        <w:rPr>
          <w:iCs/>
          <w:i/>
        </w:rPr>
        <w:t xml:space="preserve">Nature reviews. Neuroscience</w:t>
      </w:r>
      <w:r>
        <w:t xml:space="preserve"> </w:t>
      </w:r>
      <w:r>
        <w:rPr>
          <w:bCs/>
          <w:b/>
        </w:rPr>
        <w:t xml:space="preserve">10</w:t>
      </w:r>
      <w:r>
        <w:t xml:space="preserve">, 48–58 (2009).</w:t>
      </w:r>
    </w:p>
    <w:bookmarkEnd w:id="339"/>
    <w:bookmarkStart w:id="341" w:name="ref-Corlett2019a"/>
    <w:p>
      <w:pPr>
        <w:pStyle w:val="Bibliography"/>
      </w:pPr>
      <w:r>
        <w:t xml:space="preserve">79.</w:t>
      </w:r>
      <w:r>
        <w:t xml:space="preserve"> </w:t>
      </w:r>
      <w:r>
        <w:t xml:space="preserve">	</w:t>
      </w:r>
      <w:r>
        <w:t xml:space="preserve">Corlett, P. R.</w:t>
      </w:r>
      <w:r>
        <w:t xml:space="preserve"> </w:t>
      </w:r>
      <w:r>
        <w:rPr>
          <w:iCs/>
          <w:i/>
        </w:rPr>
        <w:t xml:space="preserve">et al.</w:t>
      </w:r>
      <w:r>
        <w:t xml:space="preserve"> </w:t>
      </w:r>
      <w:hyperlink r:id="rId340">
        <w:r>
          <w:rPr>
            <w:rStyle w:val="Hyperlink"/>
          </w:rPr>
          <w:t xml:space="preserve">Hallucinations and strong priors.</w:t>
        </w:r>
      </w:hyperlink>
      <w:r>
        <w:t xml:space="preserve"> </w:t>
      </w:r>
      <w:r>
        <w:rPr>
          <w:iCs/>
          <w:i/>
        </w:rPr>
        <w:t xml:space="preserve">Tics</w:t>
      </w:r>
      <w:r>
        <w:t xml:space="preserve"> </w:t>
      </w:r>
      <w:r>
        <w:rPr>
          <w:bCs/>
          <w:b/>
        </w:rPr>
        <w:t xml:space="preserve">23</w:t>
      </w:r>
      <w:r>
        <w:t xml:space="preserve">, 114–127 (2019).</w:t>
      </w:r>
    </w:p>
    <w:bookmarkEnd w:id="341"/>
    <w:bookmarkStart w:id="343" w:name="ref-Nash2011"/>
    <w:p>
      <w:pPr>
        <w:pStyle w:val="Bibliography"/>
      </w:pPr>
      <w:r>
        <w:t xml:space="preserve">80.</w:t>
      </w:r>
      <w:r>
        <w:t xml:space="preserve"> </w:t>
      </w:r>
      <w:r>
        <w:t xml:space="preserve">	</w:t>
      </w:r>
      <w:r>
        <w:t xml:space="preserve">Nash, J. C.</w:t>
      </w:r>
      <w:r>
        <w:t xml:space="preserve"> </w:t>
      </w:r>
      <w:r>
        <w:rPr>
          <w:iCs/>
          <w:i/>
        </w:rPr>
        <w:t xml:space="preserve">et al.</w:t>
      </w:r>
      <w:r>
        <w:t xml:space="preserve"> </w:t>
      </w:r>
      <w:hyperlink r:id="rId342">
        <w:r>
          <w:rPr>
            <w:rStyle w:val="Hyperlink"/>
          </w:rPr>
          <w:t xml:space="preserve">Unifying optimization algorithms to aid software system users: Optimx for r</w:t>
        </w:r>
      </w:hyperlink>
      <w:r>
        <w:t xml:space="preserve">.</w:t>
      </w:r>
      <w:r>
        <w:t xml:space="preserve"> </w:t>
      </w:r>
      <w:r>
        <w:rPr>
          <w:iCs/>
          <w:i/>
        </w:rPr>
        <w:t xml:space="preserve">Journal of Statistical Software</w:t>
      </w:r>
      <w:r>
        <w:t xml:space="preserve"> </w:t>
      </w:r>
      <w:r>
        <w:rPr>
          <w:bCs/>
          <w:b/>
        </w:rPr>
        <w:t xml:space="preserve">43</w:t>
      </w:r>
      <w:r>
        <w:t xml:space="preserve">, 1–14 (2011).</w:t>
      </w:r>
    </w:p>
    <w:bookmarkEnd w:id="343"/>
    <w:bookmarkStart w:id="345" w:name="ref-Findling2023"/>
    <w:p>
      <w:pPr>
        <w:pStyle w:val="Bibliography"/>
      </w:pPr>
      <w:r>
        <w:t xml:space="preserve">81.</w:t>
      </w:r>
      <w:r>
        <w:t xml:space="preserve"> </w:t>
      </w:r>
      <w:r>
        <w:t xml:space="preserve">	</w:t>
      </w:r>
      <w:r>
        <w:t xml:space="preserve">Findling, C.</w:t>
      </w:r>
      <w:r>
        <w:t xml:space="preserve"> </w:t>
      </w:r>
      <w:r>
        <w:rPr>
          <w:iCs/>
          <w:i/>
        </w:rPr>
        <w:t xml:space="preserve">et al.</w:t>
      </w:r>
      <w:r>
        <w:t xml:space="preserve"> Brain-wide representations of prior information in mouse decision-making.</w:t>
      </w:r>
      <w:r>
        <w:t xml:space="preserve"> </w:t>
      </w:r>
      <w:r>
        <w:rPr>
          <w:iCs/>
          <w:i/>
        </w:rPr>
        <w:t xml:space="preserve">bioRxiv</w:t>
      </w:r>
      <w:r>
        <w:t xml:space="preserve"> </w:t>
      </w:r>
      <w:r>
        <w:t xml:space="preserve">2023.07.04.547684 (2023) doi:</w:t>
      </w:r>
      <w:hyperlink r:id="rId344">
        <w:r>
          <w:rPr>
            <w:rStyle w:val="Hyperlink"/>
          </w:rPr>
          <w:t xml:space="preserve">10.1101/2023.07.04.547684</w:t>
        </w:r>
      </w:hyperlink>
      <w:r>
        <w:t xml:space="preserve">.</w:t>
      </w:r>
    </w:p>
    <w:bookmarkEnd w:id="345"/>
    <w:bookmarkEnd w:id="346"/>
    <w:bookmarkEnd w:id="3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128" Target="media/rId128.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32" Target="media/rId132.png" /><Relationship Type="http://schemas.openxmlformats.org/officeDocument/2006/relationships/image" Id="rId173" Target="media/rId17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49" Target="media/rId149.png" /><Relationship Type="http://schemas.openxmlformats.org/officeDocument/2006/relationships/hyperlink" Id="rId299" Target="http://arxiv.org/abs/1502.04156" TargetMode="External" /><Relationship Type="http://schemas.openxmlformats.org/officeDocument/2006/relationships/hyperlink" Id="rId185" Target="http://filf.pskgu.ru/ebooks/schbio/schbio_titul.pdf" TargetMode="External" /><Relationship Type="http://schemas.openxmlformats.org/officeDocument/2006/relationships/hyperlink" Id="rId201" Target="https://doi.org/10.1006/cogp.1995.1002" TargetMode="External" /><Relationship Type="http://schemas.openxmlformats.org/officeDocument/2006/relationships/hyperlink" Id="rId309" Target="https://doi.org/10.1007/978-1-4419-1210-7_13" TargetMode="External" /><Relationship Type="http://schemas.openxmlformats.org/officeDocument/2006/relationships/hyperlink" Id="rId279" Target="https://doi.org/10.1007/BF02294359" TargetMode="External" /><Relationship Type="http://schemas.openxmlformats.org/officeDocument/2006/relationships/hyperlink" Id="rId191" Target="https://doi.org/10.1016/B978-0-444-53839-0.00022-3" TargetMode="External" /><Relationship Type="http://schemas.openxmlformats.org/officeDocument/2006/relationships/hyperlink" Id="rId326" Target="https://doi.org/10.1016/J.CELREP.2018.06.097" TargetMode="External" /><Relationship Type="http://schemas.openxmlformats.org/officeDocument/2006/relationships/hyperlink" Id="rId281" Target="https://doi.org/10.1016/J.JESP.2013.03.013" TargetMode="External" /><Relationship Type="http://schemas.openxmlformats.org/officeDocument/2006/relationships/hyperlink" Id="rId305" Target="https://doi.org/10.1016/J.NEURON.2020.12.004" TargetMode="External" /><Relationship Type="http://schemas.openxmlformats.org/officeDocument/2006/relationships/hyperlink" Id="rId295" Target="https://doi.org/10.1016/j.biopsych.2018.05.015" TargetMode="External" /><Relationship Type="http://schemas.openxmlformats.org/officeDocument/2006/relationships/hyperlink" Id="rId217" Target="https://doi.org/10.1016/j.conb.2010.02.010" TargetMode="External" /><Relationship Type="http://schemas.openxmlformats.org/officeDocument/2006/relationships/hyperlink" Id="rId265" Target="https://doi.org/10.1016/j.cub.2012.02.021" TargetMode="External" /><Relationship Type="http://schemas.openxmlformats.org/officeDocument/2006/relationships/hyperlink" Id="rId229" Target="https://doi.org/10.1016/j.cub.2014.09.025" TargetMode="External" /><Relationship Type="http://schemas.openxmlformats.org/officeDocument/2006/relationships/hyperlink" Id="rId253" Target="https://doi.org/10.1016/j.cub.2014.10.002" TargetMode="External" /><Relationship Type="http://schemas.openxmlformats.org/officeDocument/2006/relationships/hyperlink" Id="rId332" Target="https://doi.org/10.1016/j.cub.2017.01.006" TargetMode="External" /><Relationship Type="http://schemas.openxmlformats.org/officeDocument/2006/relationships/hyperlink" Id="rId277" Target="https://doi.org/10.1016/j.cub.2020.12.004" TargetMode="External" /><Relationship Type="http://schemas.openxmlformats.org/officeDocument/2006/relationships/hyperlink" Id="rId221" Target="https://doi.org/10.1016/j.isci.2021.102234" TargetMode="External" /><Relationship Type="http://schemas.openxmlformats.org/officeDocument/2006/relationships/hyperlink" Id="rId213" Target="https://doi.org/10.1016/j.neuroimage.2007.08.008" TargetMode="External" /><Relationship Type="http://schemas.openxmlformats.org/officeDocument/2006/relationships/hyperlink" Id="rId311" Target="https://doi.org/10.1016/j.neuron.2015.09.012" TargetMode="External" /><Relationship Type="http://schemas.openxmlformats.org/officeDocument/2006/relationships/hyperlink" Id="rId193" Target="https://doi.org/10.1016/j.tics.2016.07.006" TargetMode="External" /><Relationship Type="http://schemas.openxmlformats.org/officeDocument/2006/relationships/hyperlink" Id="rId269" Target="https://doi.org/10.1016/j.tics.2017.04.011" TargetMode="External" /><Relationship Type="http://schemas.openxmlformats.org/officeDocument/2006/relationships/hyperlink" Id="rId340" Target="https://doi.org/10.1016/j.tics.2018.12.001" TargetMode="External" /><Relationship Type="http://schemas.openxmlformats.org/officeDocument/2006/relationships/hyperlink" Id="rId209" Target="https://doi.org/10.1037/0033-295X.108.1.33" TargetMode="External" /><Relationship Type="http://schemas.openxmlformats.org/officeDocument/2006/relationships/hyperlink" Id="rId263" Target="https://doi.org/10.1037/0096-3445.134.1.117" TargetMode="External" /><Relationship Type="http://schemas.openxmlformats.org/officeDocument/2006/relationships/hyperlink" Id="rId197"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1" Target="https://doi.org/10.1038/nature07200" TargetMode="External" /><Relationship Type="http://schemas.openxmlformats.org/officeDocument/2006/relationships/hyperlink" Id="rId241" Target="https://doi.org/10.1038/nature25510" TargetMode="External" /><Relationship Type="http://schemas.openxmlformats.org/officeDocument/2006/relationships/hyperlink" Id="rId297" Target="https://doi.org/10.1038/ncomms14218" TargetMode="External" /><Relationship Type="http://schemas.openxmlformats.org/officeDocument/2006/relationships/hyperlink" Id="rId239" Target="https://doi.org/10.1038/ncomms14637" TargetMode="External" /><Relationship Type="http://schemas.openxmlformats.org/officeDocument/2006/relationships/hyperlink" Id="rId227" Target="https://doi.org/10.1038/nn.3689" TargetMode="External" /><Relationship Type="http://schemas.openxmlformats.org/officeDocument/2006/relationships/hyperlink" Id="rId259" Target="https://doi.org/10.1038/nphys1803" TargetMode="External" /><Relationship Type="http://schemas.openxmlformats.org/officeDocument/2006/relationships/hyperlink" Id="rId338" Target="https://doi.org/10.1038/nrn2536" TargetMode="External" /><Relationship Type="http://schemas.openxmlformats.org/officeDocument/2006/relationships/hyperlink" Id="rId223" Target="https://doi.org/10.1038/s41562-019-0813-1" TargetMode="External" /><Relationship Type="http://schemas.openxmlformats.org/officeDocument/2006/relationships/hyperlink" Id="rId207" Target="https://doi.org/10.1038/s41593-021-01007-z" TargetMode="External" /><Relationship Type="http://schemas.openxmlformats.org/officeDocument/2006/relationships/hyperlink" Id="rId315" Target="https://doi.org/10.1073/PNAS.1317557111/SUPPL_FILE/PNAS.201317557SI.PDF" TargetMode="External" /><Relationship Type="http://schemas.openxmlformats.org/officeDocument/2006/relationships/hyperlink" Id="rId283" Target="https://doi.org/10.1073/pnas.0407157102" TargetMode="External" /><Relationship Type="http://schemas.openxmlformats.org/officeDocument/2006/relationships/hyperlink" Id="rId215" Target="https://doi.org/10.1073/pnas.0712043105" TargetMode="External" /><Relationship Type="http://schemas.openxmlformats.org/officeDocument/2006/relationships/hyperlink" Id="rId233" Target="https://doi.org/10.1073/pnas.1402785111" TargetMode="External" /><Relationship Type="http://schemas.openxmlformats.org/officeDocument/2006/relationships/hyperlink" Id="rId287" Target="https://doi.org/10.1073/pnas.1508847112" TargetMode="External" /><Relationship Type="http://schemas.openxmlformats.org/officeDocument/2006/relationships/hyperlink" Id="rId231" Target="https://doi.org/10.1073/pnas.1518786113" TargetMode="External" /><Relationship Type="http://schemas.openxmlformats.org/officeDocument/2006/relationships/hyperlink" Id="rId255" Target="https://doi.org/10.1073/pnas.79.10.3380" TargetMode="External" /><Relationship Type="http://schemas.openxmlformats.org/officeDocument/2006/relationships/hyperlink" Id="rId187" Target="https://doi.org/10.1080/00221309.1947.9918144" TargetMode="External" /><Relationship Type="http://schemas.openxmlformats.org/officeDocument/2006/relationships/hyperlink" Id="rId249" Target="https://doi.org/10.1080/02699931.2019.1696752" TargetMode="External" /><Relationship Type="http://schemas.openxmlformats.org/officeDocument/2006/relationships/hyperlink" Id="rId251" Target="https://doi.org/10.1088/0954-898X_6_3_003" TargetMode="External" /><Relationship Type="http://schemas.openxmlformats.org/officeDocument/2006/relationships/hyperlink" Id="rId330" Target="https://doi.org/10.1098/RSTB.2012.0037" TargetMode="External" /><Relationship Type="http://schemas.openxmlformats.org/officeDocument/2006/relationships/hyperlink" Id="rId267" Target="https://doi.org/10.1098/rspb.2018.1722" TargetMode="External" /><Relationship Type="http://schemas.openxmlformats.org/officeDocument/2006/relationships/hyperlink" Id="rId293" Target="https://doi.org/10.1098/rstb.2005.1622" TargetMode="External" /><Relationship Type="http://schemas.openxmlformats.org/officeDocument/2006/relationships/hyperlink" Id="rId307" Target="https://doi.org/10.1101/2020.10.19.346353" TargetMode="External" /><Relationship Type="http://schemas.openxmlformats.org/officeDocument/2006/relationships/hyperlink" Id="rId322" Target="https://doi.org/10.1101/2022.03.04.482962" TargetMode="External" /><Relationship Type="http://schemas.openxmlformats.org/officeDocument/2006/relationships/hyperlink" Id="rId324" Target="https://doi.org/10.1101/2023.07.04.547681" TargetMode="External" /><Relationship Type="http://schemas.openxmlformats.org/officeDocument/2006/relationships/hyperlink" Id="rId344" Target="https://doi.org/10.1101/2023.07.04.547684" TargetMode="External" /><Relationship Type="http://schemas.openxmlformats.org/officeDocument/2006/relationships/hyperlink" Id="rId313" Target="https://doi.org/10.1101/2023.07.28.550956" TargetMode="External" /><Relationship Type="http://schemas.openxmlformats.org/officeDocument/2006/relationships/hyperlink" Id="rId257" Target="https://doi.org/10.1103/PhysRevLett.59.381" TargetMode="External" /><Relationship Type="http://schemas.openxmlformats.org/officeDocument/2006/relationships/hyperlink" Id="rId328" Target="https://doi.org/10.1111/PSYP.14172" TargetMode="External" /><Relationship Type="http://schemas.openxmlformats.org/officeDocument/2006/relationships/hyperlink" Id="rId199" Target="https://doi.org/10.1111/j.1467-9280.1993.tb00273.x" TargetMode="External" /><Relationship Type="http://schemas.openxmlformats.org/officeDocument/2006/relationships/hyperlink" Id="rId211" Target="https://doi.org/10.1126/science.1221936" TargetMode="External" /><Relationship Type="http://schemas.openxmlformats.org/officeDocument/2006/relationships/hyperlink" Id="rId203" Target="https://doi.org/10.1126/science.7892611" TargetMode="External" /><Relationship Type="http://schemas.openxmlformats.org/officeDocument/2006/relationships/hyperlink" Id="rId219" Target="https://doi.org/10.1162/netn_a_00024" TargetMode="External" /><Relationship Type="http://schemas.openxmlformats.org/officeDocument/2006/relationships/hyperlink" Id="rId235" Target="https://doi.org/10.1167/17.14.6" TargetMode="External" /><Relationship Type="http://schemas.openxmlformats.org/officeDocument/2006/relationships/hyperlink" Id="rId334" Target="https://doi.org/10.1167/19.6.24" TargetMode="External" /><Relationship Type="http://schemas.openxmlformats.org/officeDocument/2006/relationships/hyperlink" Id="rId205" Target="https://doi.org/10.1523/JNEUROSCI.1910-08.2008" TargetMode="External" /><Relationship Type="http://schemas.openxmlformats.org/officeDocument/2006/relationships/hyperlink" Id="rId243" Target="https://doi.org/10.1523/JNEUROSCI.2189-17.2017" TargetMode="External" /><Relationship Type="http://schemas.openxmlformats.org/officeDocument/2006/relationships/hyperlink" Id="rId245" Target="https://doi.org/10.1523/JNEUROSCI.3212-18.2019" TargetMode="External" /><Relationship Type="http://schemas.openxmlformats.org/officeDocument/2006/relationships/hyperlink" Id="rId275" Target="https://doi.org/10.1523/JNEUROSCI.4390-15.2016" TargetMode="External" /><Relationship Type="http://schemas.openxmlformats.org/officeDocument/2006/relationships/hyperlink" Id="rId342" Target="https://doi.org/10.18637/JSS.V043.I09" TargetMode="External" /><Relationship Type="http://schemas.openxmlformats.org/officeDocument/2006/relationships/hyperlink" Id="rId301" Target="https://doi.org/10.31234/OSF.IO/ZNGEQ" TargetMode="External" /><Relationship Type="http://schemas.openxmlformats.org/officeDocument/2006/relationships/hyperlink" Id="rId289" Target="https://doi.org/10.3389/FNHUM.2010.00215/BIBTEX" TargetMode="External" /><Relationship Type="http://schemas.openxmlformats.org/officeDocument/2006/relationships/hyperlink" Id="rId303" Target="https://doi.org/10.3389/FNHUM.2014.00102/BIBTEX" TargetMode="External" /><Relationship Type="http://schemas.openxmlformats.org/officeDocument/2006/relationships/hyperlink" Id="rId189" Target="https://doi.org/10.3389/fnhum.2013.00598" TargetMode="External" /><Relationship Type="http://schemas.openxmlformats.org/officeDocument/2006/relationships/hyperlink" Id="rId273" Target="https://doi.org/10.3389/fnhum.2014.00443" TargetMode="External" /><Relationship Type="http://schemas.openxmlformats.org/officeDocument/2006/relationships/hyperlink" Id="rId291" Target="https://doi.org/10.3389/fnhum.2014.00825" TargetMode="External" /><Relationship Type="http://schemas.openxmlformats.org/officeDocument/2006/relationships/hyperlink" Id="rId261" Target="https://doi.org/10.3758/BF03196615" TargetMode="External" /><Relationship Type="http://schemas.openxmlformats.org/officeDocument/2006/relationships/hyperlink" Id="rId317" Target="https://doi.org/10.7554/ELIFE.23232" TargetMode="External" /><Relationship Type="http://schemas.openxmlformats.org/officeDocument/2006/relationships/hyperlink" Id="rId319" Target="https://doi.org/10.7554/ELIFE.54014" TargetMode="External" /><Relationship Type="http://schemas.openxmlformats.org/officeDocument/2006/relationships/hyperlink" Id="rId225" Target="https://doi.org/10.7554/ELIFE.63711" TargetMode="External" /><Relationship Type="http://schemas.openxmlformats.org/officeDocument/2006/relationships/hyperlink" Id="rId285"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47" Target="https://doi.org/10.7554/eLife.46331" TargetMode="External" /><Relationship Type="http://schemas.openxmlformats.org/officeDocument/2006/relationships/hyperlink" Id="rId237"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5" Target="https://psycnet.apa.org/record/1953-04864-001" TargetMode="External" /><Relationship Type="http://schemas.openxmlformats.org/officeDocument/2006/relationships/hyperlink" Id="rId177" Target="https://www.biorxiv.org/content/10.1101/2023.07.28.550956.abstract" TargetMode="External" /><Relationship Type="http://schemas.openxmlformats.org/officeDocument/2006/relationships/hyperlink" Id="rId336" Target="https://www.ncbi.nlm.nih.gov/pubmed/32090246" TargetMode="External" /><Relationship Type="http://schemas.openxmlformats.org/officeDocument/2006/relationships/hyperlink" Id="rId20" Target="mailto:veith.weilnhammer@gmail.com" TargetMode="External" /></Relationships>
</file>

<file path=word/_rels/footnotes.xml.rels><?xml version="1.0" encoding="UTF-8"?><Relationships xmlns="http://schemas.openxmlformats.org/package/2006/relationships"><Relationship Type="http://schemas.openxmlformats.org/officeDocument/2006/relationships/hyperlink" Id="rId299" Target="http://arxiv.org/abs/1502.04156" TargetMode="External" /><Relationship Type="http://schemas.openxmlformats.org/officeDocument/2006/relationships/hyperlink" Id="rId185" Target="http://filf.pskgu.ru/ebooks/schbio/schbio_titul.pdf" TargetMode="External" /><Relationship Type="http://schemas.openxmlformats.org/officeDocument/2006/relationships/hyperlink" Id="rId201" Target="https://doi.org/10.1006/cogp.1995.1002" TargetMode="External" /><Relationship Type="http://schemas.openxmlformats.org/officeDocument/2006/relationships/hyperlink" Id="rId309" Target="https://doi.org/10.1007/978-1-4419-1210-7_13" TargetMode="External" /><Relationship Type="http://schemas.openxmlformats.org/officeDocument/2006/relationships/hyperlink" Id="rId279" Target="https://doi.org/10.1007/BF02294359" TargetMode="External" /><Relationship Type="http://schemas.openxmlformats.org/officeDocument/2006/relationships/hyperlink" Id="rId191" Target="https://doi.org/10.1016/B978-0-444-53839-0.00022-3" TargetMode="External" /><Relationship Type="http://schemas.openxmlformats.org/officeDocument/2006/relationships/hyperlink" Id="rId326" Target="https://doi.org/10.1016/J.CELREP.2018.06.097" TargetMode="External" /><Relationship Type="http://schemas.openxmlformats.org/officeDocument/2006/relationships/hyperlink" Id="rId281" Target="https://doi.org/10.1016/J.JESP.2013.03.013" TargetMode="External" /><Relationship Type="http://schemas.openxmlformats.org/officeDocument/2006/relationships/hyperlink" Id="rId305" Target="https://doi.org/10.1016/J.NEURON.2020.12.004" TargetMode="External" /><Relationship Type="http://schemas.openxmlformats.org/officeDocument/2006/relationships/hyperlink" Id="rId295" Target="https://doi.org/10.1016/j.biopsych.2018.05.015" TargetMode="External" /><Relationship Type="http://schemas.openxmlformats.org/officeDocument/2006/relationships/hyperlink" Id="rId217" Target="https://doi.org/10.1016/j.conb.2010.02.010" TargetMode="External" /><Relationship Type="http://schemas.openxmlformats.org/officeDocument/2006/relationships/hyperlink" Id="rId265" Target="https://doi.org/10.1016/j.cub.2012.02.021" TargetMode="External" /><Relationship Type="http://schemas.openxmlformats.org/officeDocument/2006/relationships/hyperlink" Id="rId229" Target="https://doi.org/10.1016/j.cub.2014.09.025" TargetMode="External" /><Relationship Type="http://schemas.openxmlformats.org/officeDocument/2006/relationships/hyperlink" Id="rId253" Target="https://doi.org/10.1016/j.cub.2014.10.002" TargetMode="External" /><Relationship Type="http://schemas.openxmlformats.org/officeDocument/2006/relationships/hyperlink" Id="rId332" Target="https://doi.org/10.1016/j.cub.2017.01.006" TargetMode="External" /><Relationship Type="http://schemas.openxmlformats.org/officeDocument/2006/relationships/hyperlink" Id="rId277" Target="https://doi.org/10.1016/j.cub.2020.12.004" TargetMode="External" /><Relationship Type="http://schemas.openxmlformats.org/officeDocument/2006/relationships/hyperlink" Id="rId221" Target="https://doi.org/10.1016/j.isci.2021.102234" TargetMode="External" /><Relationship Type="http://schemas.openxmlformats.org/officeDocument/2006/relationships/hyperlink" Id="rId213" Target="https://doi.org/10.1016/j.neuroimage.2007.08.008" TargetMode="External" /><Relationship Type="http://schemas.openxmlformats.org/officeDocument/2006/relationships/hyperlink" Id="rId311" Target="https://doi.org/10.1016/j.neuron.2015.09.012" TargetMode="External" /><Relationship Type="http://schemas.openxmlformats.org/officeDocument/2006/relationships/hyperlink" Id="rId193" Target="https://doi.org/10.1016/j.tics.2016.07.006" TargetMode="External" /><Relationship Type="http://schemas.openxmlformats.org/officeDocument/2006/relationships/hyperlink" Id="rId269" Target="https://doi.org/10.1016/j.tics.2017.04.011" TargetMode="External" /><Relationship Type="http://schemas.openxmlformats.org/officeDocument/2006/relationships/hyperlink" Id="rId340" Target="https://doi.org/10.1016/j.tics.2018.12.001" TargetMode="External" /><Relationship Type="http://schemas.openxmlformats.org/officeDocument/2006/relationships/hyperlink" Id="rId209" Target="https://doi.org/10.1037/0033-295X.108.1.33" TargetMode="External" /><Relationship Type="http://schemas.openxmlformats.org/officeDocument/2006/relationships/hyperlink" Id="rId263" Target="https://doi.org/10.1037/0096-3445.134.1.117" TargetMode="External" /><Relationship Type="http://schemas.openxmlformats.org/officeDocument/2006/relationships/hyperlink" Id="rId197"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1" Target="https://doi.org/10.1038/nature07200" TargetMode="External" /><Relationship Type="http://schemas.openxmlformats.org/officeDocument/2006/relationships/hyperlink" Id="rId241" Target="https://doi.org/10.1038/nature25510" TargetMode="External" /><Relationship Type="http://schemas.openxmlformats.org/officeDocument/2006/relationships/hyperlink" Id="rId297" Target="https://doi.org/10.1038/ncomms14218" TargetMode="External" /><Relationship Type="http://schemas.openxmlformats.org/officeDocument/2006/relationships/hyperlink" Id="rId239" Target="https://doi.org/10.1038/ncomms14637" TargetMode="External" /><Relationship Type="http://schemas.openxmlformats.org/officeDocument/2006/relationships/hyperlink" Id="rId227" Target="https://doi.org/10.1038/nn.3689" TargetMode="External" /><Relationship Type="http://schemas.openxmlformats.org/officeDocument/2006/relationships/hyperlink" Id="rId259" Target="https://doi.org/10.1038/nphys1803" TargetMode="External" /><Relationship Type="http://schemas.openxmlformats.org/officeDocument/2006/relationships/hyperlink" Id="rId338" Target="https://doi.org/10.1038/nrn2536" TargetMode="External" /><Relationship Type="http://schemas.openxmlformats.org/officeDocument/2006/relationships/hyperlink" Id="rId223" Target="https://doi.org/10.1038/s41562-019-0813-1" TargetMode="External" /><Relationship Type="http://schemas.openxmlformats.org/officeDocument/2006/relationships/hyperlink" Id="rId207" Target="https://doi.org/10.1038/s41593-021-01007-z" TargetMode="External" /><Relationship Type="http://schemas.openxmlformats.org/officeDocument/2006/relationships/hyperlink" Id="rId315" Target="https://doi.org/10.1073/PNAS.1317557111/SUPPL_FILE/PNAS.201317557SI.PDF" TargetMode="External" /><Relationship Type="http://schemas.openxmlformats.org/officeDocument/2006/relationships/hyperlink" Id="rId283" Target="https://doi.org/10.1073/pnas.0407157102" TargetMode="External" /><Relationship Type="http://schemas.openxmlformats.org/officeDocument/2006/relationships/hyperlink" Id="rId215" Target="https://doi.org/10.1073/pnas.0712043105" TargetMode="External" /><Relationship Type="http://schemas.openxmlformats.org/officeDocument/2006/relationships/hyperlink" Id="rId233" Target="https://doi.org/10.1073/pnas.1402785111" TargetMode="External" /><Relationship Type="http://schemas.openxmlformats.org/officeDocument/2006/relationships/hyperlink" Id="rId287" Target="https://doi.org/10.1073/pnas.1508847112" TargetMode="External" /><Relationship Type="http://schemas.openxmlformats.org/officeDocument/2006/relationships/hyperlink" Id="rId231" Target="https://doi.org/10.1073/pnas.1518786113" TargetMode="External" /><Relationship Type="http://schemas.openxmlformats.org/officeDocument/2006/relationships/hyperlink" Id="rId255" Target="https://doi.org/10.1073/pnas.79.10.3380" TargetMode="External" /><Relationship Type="http://schemas.openxmlformats.org/officeDocument/2006/relationships/hyperlink" Id="rId187" Target="https://doi.org/10.1080/00221309.1947.9918144" TargetMode="External" /><Relationship Type="http://schemas.openxmlformats.org/officeDocument/2006/relationships/hyperlink" Id="rId249" Target="https://doi.org/10.1080/02699931.2019.1696752" TargetMode="External" /><Relationship Type="http://schemas.openxmlformats.org/officeDocument/2006/relationships/hyperlink" Id="rId251" Target="https://doi.org/10.1088/0954-898X_6_3_003" TargetMode="External" /><Relationship Type="http://schemas.openxmlformats.org/officeDocument/2006/relationships/hyperlink" Id="rId330" Target="https://doi.org/10.1098/RSTB.2012.0037" TargetMode="External" /><Relationship Type="http://schemas.openxmlformats.org/officeDocument/2006/relationships/hyperlink" Id="rId267" Target="https://doi.org/10.1098/rspb.2018.1722" TargetMode="External" /><Relationship Type="http://schemas.openxmlformats.org/officeDocument/2006/relationships/hyperlink" Id="rId293" Target="https://doi.org/10.1098/rstb.2005.1622" TargetMode="External" /><Relationship Type="http://schemas.openxmlformats.org/officeDocument/2006/relationships/hyperlink" Id="rId307" Target="https://doi.org/10.1101/2020.10.19.346353" TargetMode="External" /><Relationship Type="http://schemas.openxmlformats.org/officeDocument/2006/relationships/hyperlink" Id="rId322" Target="https://doi.org/10.1101/2022.03.04.482962" TargetMode="External" /><Relationship Type="http://schemas.openxmlformats.org/officeDocument/2006/relationships/hyperlink" Id="rId324" Target="https://doi.org/10.1101/2023.07.04.547681" TargetMode="External" /><Relationship Type="http://schemas.openxmlformats.org/officeDocument/2006/relationships/hyperlink" Id="rId344" Target="https://doi.org/10.1101/2023.07.04.547684" TargetMode="External" /><Relationship Type="http://schemas.openxmlformats.org/officeDocument/2006/relationships/hyperlink" Id="rId313" Target="https://doi.org/10.1101/2023.07.28.550956" TargetMode="External" /><Relationship Type="http://schemas.openxmlformats.org/officeDocument/2006/relationships/hyperlink" Id="rId257" Target="https://doi.org/10.1103/PhysRevLett.59.381" TargetMode="External" /><Relationship Type="http://schemas.openxmlformats.org/officeDocument/2006/relationships/hyperlink" Id="rId328" Target="https://doi.org/10.1111/PSYP.14172" TargetMode="External" /><Relationship Type="http://schemas.openxmlformats.org/officeDocument/2006/relationships/hyperlink" Id="rId199" Target="https://doi.org/10.1111/j.1467-9280.1993.tb00273.x" TargetMode="External" /><Relationship Type="http://schemas.openxmlformats.org/officeDocument/2006/relationships/hyperlink" Id="rId211" Target="https://doi.org/10.1126/science.1221936" TargetMode="External" /><Relationship Type="http://schemas.openxmlformats.org/officeDocument/2006/relationships/hyperlink" Id="rId203" Target="https://doi.org/10.1126/science.7892611" TargetMode="External" /><Relationship Type="http://schemas.openxmlformats.org/officeDocument/2006/relationships/hyperlink" Id="rId219" Target="https://doi.org/10.1162/netn_a_00024" TargetMode="External" /><Relationship Type="http://schemas.openxmlformats.org/officeDocument/2006/relationships/hyperlink" Id="rId235" Target="https://doi.org/10.1167/17.14.6" TargetMode="External" /><Relationship Type="http://schemas.openxmlformats.org/officeDocument/2006/relationships/hyperlink" Id="rId334" Target="https://doi.org/10.1167/19.6.24" TargetMode="External" /><Relationship Type="http://schemas.openxmlformats.org/officeDocument/2006/relationships/hyperlink" Id="rId205" Target="https://doi.org/10.1523/JNEUROSCI.1910-08.2008" TargetMode="External" /><Relationship Type="http://schemas.openxmlformats.org/officeDocument/2006/relationships/hyperlink" Id="rId243" Target="https://doi.org/10.1523/JNEUROSCI.2189-17.2017" TargetMode="External" /><Relationship Type="http://schemas.openxmlformats.org/officeDocument/2006/relationships/hyperlink" Id="rId245" Target="https://doi.org/10.1523/JNEUROSCI.3212-18.2019" TargetMode="External" /><Relationship Type="http://schemas.openxmlformats.org/officeDocument/2006/relationships/hyperlink" Id="rId275" Target="https://doi.org/10.1523/JNEUROSCI.4390-15.2016" TargetMode="External" /><Relationship Type="http://schemas.openxmlformats.org/officeDocument/2006/relationships/hyperlink" Id="rId342" Target="https://doi.org/10.18637/JSS.V043.I09" TargetMode="External" /><Relationship Type="http://schemas.openxmlformats.org/officeDocument/2006/relationships/hyperlink" Id="rId301" Target="https://doi.org/10.31234/OSF.IO/ZNGEQ" TargetMode="External" /><Relationship Type="http://schemas.openxmlformats.org/officeDocument/2006/relationships/hyperlink" Id="rId289" Target="https://doi.org/10.3389/FNHUM.2010.00215/BIBTEX" TargetMode="External" /><Relationship Type="http://schemas.openxmlformats.org/officeDocument/2006/relationships/hyperlink" Id="rId303" Target="https://doi.org/10.3389/FNHUM.2014.00102/BIBTEX" TargetMode="External" /><Relationship Type="http://schemas.openxmlformats.org/officeDocument/2006/relationships/hyperlink" Id="rId189" Target="https://doi.org/10.3389/fnhum.2013.00598" TargetMode="External" /><Relationship Type="http://schemas.openxmlformats.org/officeDocument/2006/relationships/hyperlink" Id="rId273" Target="https://doi.org/10.3389/fnhum.2014.00443" TargetMode="External" /><Relationship Type="http://schemas.openxmlformats.org/officeDocument/2006/relationships/hyperlink" Id="rId291" Target="https://doi.org/10.3389/fnhum.2014.00825" TargetMode="External" /><Relationship Type="http://schemas.openxmlformats.org/officeDocument/2006/relationships/hyperlink" Id="rId261" Target="https://doi.org/10.3758/BF03196615" TargetMode="External" /><Relationship Type="http://schemas.openxmlformats.org/officeDocument/2006/relationships/hyperlink" Id="rId317" Target="https://doi.org/10.7554/ELIFE.23232" TargetMode="External" /><Relationship Type="http://schemas.openxmlformats.org/officeDocument/2006/relationships/hyperlink" Id="rId319" Target="https://doi.org/10.7554/ELIFE.54014" TargetMode="External" /><Relationship Type="http://schemas.openxmlformats.org/officeDocument/2006/relationships/hyperlink" Id="rId225" Target="https://doi.org/10.7554/ELIFE.63711" TargetMode="External" /><Relationship Type="http://schemas.openxmlformats.org/officeDocument/2006/relationships/hyperlink" Id="rId285"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47" Target="https://doi.org/10.7554/eLife.46331" TargetMode="External" /><Relationship Type="http://schemas.openxmlformats.org/officeDocument/2006/relationships/hyperlink" Id="rId237"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5" Target="https://psycnet.apa.org/record/1953-04864-001" TargetMode="External" /><Relationship Type="http://schemas.openxmlformats.org/officeDocument/2006/relationships/hyperlink" Id="rId177" Target="https://www.biorxiv.org/content/10.1101/2023.07.28.550956.abstract" TargetMode="External" /><Relationship Type="http://schemas.openxmlformats.org/officeDocument/2006/relationships/hyperlink" Id="rId336" Target="https://www.ncbi.nlm.nih.gov/pubmed/32090246" TargetMode="External" /><Relationship Type="http://schemas.openxmlformats.org/officeDocument/2006/relationships/hyperlink" Id="rId20" Target="mailto:veith.weilnhamm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2023-09-21T01:36:35Z</dcterms:created>
  <dcterms:modified xsi:type="dcterms:W3CDTF">2023-09-21T01:36:35Z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References/library.bib</vt:lpwstr>
  </property>
  <property fmtid="{D5CDD505-2E9C-101B-9397-08002B2CF9AE}" pid="4" name="csl">
    <vt:lpwstr>References/nature.csl</vt:lpwstr>
  </property>
  <property fmtid="{D5CDD505-2E9C-101B-9397-08002B2CF9AE}" pid="5" name="header-includes">
    <vt:lpwstr/>
  </property>
  <property fmtid="{D5CDD505-2E9C-101B-9397-08002B2CF9AE}" pid="6" name="output">
    <vt:lpwstr/>
  </property>
</Properties>
</file>