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rFonts w:ascii="Arial" w:hAnsi="Arial"/>
          <w:sz w:val="22"/>
          <w:szCs w:val="22"/>
        </w:rPr>
      </w:pPr>
      <w:r>
        <w:rPr>
          <w:rFonts w:ascii="Arial" w:hAnsi="Arial"/>
          <w:b/>
          <w:bCs/>
          <w:sz w:val="22"/>
          <w:szCs w:val="22"/>
        </w:rPr>
        <w:t>Presubmission Inquiry</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Dear Dr. North,</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We are writing to inquire if our manuscript, titled “Dynamic Predictive Templates in Perception,” would be suitable for submission to Current Biology.</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 xml:space="preserve">Our study investigates the computational mechanisms of false alarms. False alarms, where participants perceive stimuli that are not present, share key features with hallucinations and therefore serve one of the most influential experimental models for studying the symptoms of psychotic disorders such as schizophrenia. So far, however, two key questions have remained unanswered: First, to serve as a valid proxy for hallucinations, false alarms need to be more than just erroneous reports of a signal; they must reflect perceptual experiences that have identifiable </w:t>
      </w:r>
      <w:r>
        <w:rPr>
          <w:rFonts w:ascii="Arial" w:hAnsi="Arial"/>
          <w:i/>
          <w:iCs/>
          <w:sz w:val="22"/>
          <w:szCs w:val="22"/>
        </w:rPr>
        <w:t>content</w:t>
      </w:r>
      <w:r>
        <w:rPr>
          <w:rFonts w:ascii="Arial" w:hAnsi="Arial"/>
          <w:sz w:val="22"/>
          <w:szCs w:val="22"/>
        </w:rPr>
        <w:t>. Second, false alarms should occur at a timescale that is compatible with the t</w:t>
      </w:r>
      <w:r>
        <w:rPr>
          <w:rFonts w:ascii="Arial" w:hAnsi="Arial"/>
          <w:i/>
          <w:iCs/>
          <w:sz w:val="22"/>
          <w:szCs w:val="22"/>
        </w:rPr>
        <w:t>emporal dynamics</w:t>
      </w:r>
      <w:r>
        <w:rPr>
          <w:rFonts w:ascii="Arial" w:hAnsi="Arial"/>
          <w:sz w:val="22"/>
          <w:szCs w:val="22"/>
        </w:rPr>
        <w:t xml:space="preserve"> of hallucinations</w:t>
      </w:r>
      <w:r>
        <w:rPr>
          <w:rStyle w:val="FootnoteAnchor"/>
          <w:rFonts w:ascii="Arial" w:hAnsi="Arial"/>
          <w:sz w:val="22"/>
          <w:szCs w:val="22"/>
        </w:rPr>
        <w:footnoteReference w:id="2"/>
      </w:r>
      <w:r>
        <w:rPr>
          <w:rFonts w:ascii="Arial" w:hAnsi="Arial"/>
          <w:sz w:val="22"/>
          <w:szCs w:val="22"/>
        </w:rPr>
        <w:t xml:space="preserve">. </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In this work, we address and resolve these questions in a novel analytical paradigm that combines Hidden Markov Models</w:t>
      </w:r>
      <w:r>
        <w:rPr>
          <w:rStyle w:val="FootnoteAnchor"/>
          <w:rFonts w:ascii="Arial" w:hAnsi="Arial"/>
          <w:sz w:val="22"/>
          <w:szCs w:val="22"/>
        </w:rPr>
        <w:footnoteReference w:id="3"/>
      </w:r>
      <w:r>
        <w:rPr>
          <w:rFonts w:ascii="Arial" w:hAnsi="Arial"/>
          <w:sz w:val="22"/>
          <w:szCs w:val="22"/>
          <w:vertAlign w:val="superscript"/>
        </w:rPr>
        <w:t>,</w:t>
      </w:r>
      <w:r>
        <w:rPr>
          <w:rStyle w:val="FootnoteAnchor"/>
          <w:rFonts w:ascii="Arial" w:hAnsi="Arial"/>
          <w:sz w:val="22"/>
          <w:szCs w:val="22"/>
        </w:rPr>
        <w:footnoteReference w:id="4"/>
      </w:r>
      <w:r>
        <w:rPr>
          <w:rFonts w:ascii="Arial" w:hAnsi="Arial"/>
          <w:sz w:val="22"/>
          <w:szCs w:val="22"/>
        </w:rPr>
        <w:t xml:space="preserve"> with a classification image approach</w:t>
      </w:r>
      <w:r>
        <w:rPr>
          <w:rStyle w:val="FootnoteAnchor"/>
          <w:rFonts w:ascii="Arial" w:hAnsi="Arial"/>
          <w:sz w:val="22"/>
          <w:szCs w:val="22"/>
        </w:rPr>
        <w:footnoteReference w:id="5"/>
      </w:r>
      <w:r>
        <w:rPr>
          <w:rFonts w:ascii="Arial" w:hAnsi="Arial"/>
          <w:sz w:val="22"/>
          <w:szCs w:val="22"/>
        </w:rPr>
        <w:t>. We demonstrate that false alarms are more likely to occur during an internal mode of perception—a state where the content of perception is heavily biased by previous experiences. Our findings reveal that:</w:t>
      </w:r>
    </w:p>
    <w:p>
      <w:pPr>
        <w:pStyle w:val="Normal"/>
        <w:numPr>
          <w:ilvl w:val="0"/>
          <w:numId w:val="2"/>
        </w:numPr>
        <w:tabs>
          <w:tab w:val="clear" w:pos="720"/>
          <w:tab w:val="left" w:pos="0" w:leader="none"/>
        </w:tabs>
        <w:spacing w:lineRule="auto" w:line="276"/>
        <w:jc w:val="both"/>
        <w:rPr>
          <w:rFonts w:ascii="Arial" w:hAnsi="Arial"/>
          <w:sz w:val="22"/>
          <w:szCs w:val="22"/>
        </w:rPr>
      </w:pPr>
      <w:r>
        <w:rPr>
          <w:rFonts w:ascii="Arial" w:hAnsi="Arial"/>
          <w:sz w:val="22"/>
          <w:szCs w:val="22"/>
        </w:rPr>
        <w:t>False alarms are driven by predictive templates, which are formed based on prior experiences, reflect specific identifiable content, and distort the perception of noisy inputs into apparent signals.</w:t>
      </w:r>
    </w:p>
    <w:p>
      <w:pPr>
        <w:pStyle w:val="Normal"/>
        <w:numPr>
          <w:ilvl w:val="0"/>
          <w:numId w:val="2"/>
        </w:numPr>
        <w:tabs>
          <w:tab w:val="clear" w:pos="720"/>
          <w:tab w:val="left" w:pos="0" w:leader="none"/>
        </w:tabs>
        <w:spacing w:lineRule="auto" w:line="276"/>
        <w:jc w:val="both"/>
        <w:rPr>
          <w:rFonts w:ascii="Arial" w:hAnsi="Arial"/>
          <w:sz w:val="22"/>
          <w:szCs w:val="22"/>
        </w:rPr>
      </w:pPr>
      <w:r>
        <w:rPr>
          <w:rFonts w:ascii="Arial" w:hAnsi="Arial"/>
          <w:sz w:val="22"/>
          <w:szCs w:val="22"/>
        </w:rPr>
        <w:t>These predictive templates fluctuate over time, mirroring the dynamic nature of hallucinatory experiences. Our study shows that the internal mode, which is associated with a higher rate of false alarms, alternates with the external mode at a timescale compatible with the duration of hallucinations.</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pPr>
      <w:r>
        <w:rPr>
          <w:rFonts w:ascii="Arial" w:hAnsi="Arial"/>
          <w:sz w:val="22"/>
          <w:szCs w:val="22"/>
        </w:rPr>
        <w:t xml:space="preserve">We believe our work will be of significant interest to the readers of Current Biology, as it provides a novel mechanistic understanding of how perceptual experiences are shaped by past stimuli and how this process relates to hallucinations in psychosis. Our findings suggest new avenues for therapeutic strategies aimed at mitigating hallucinatory experiences by targeting the neural mechanisms underlying the internal mode of perception.  We </w:t>
      </w:r>
      <w:r>
        <w:rPr>
          <w:rFonts w:ascii="Arial" w:hAnsi="Arial"/>
          <w:color w:val="222222"/>
          <w:sz w:val="22"/>
          <w:szCs w:val="22"/>
        </w:rPr>
        <w:t xml:space="preserve">propose this manuscript as a Report, but one that could easily fit within the space confines of a Correspondence, if needed. </w:t>
      </w:r>
      <w:r>
        <w:rPr>
          <w:rFonts w:ascii="Arial" w:hAnsi="Arial"/>
          <w:sz w:val="22"/>
          <w:szCs w:val="22"/>
        </w:rPr>
        <w:t>As potential reviewers, we suggest the following experts: Anissa Abi-Dargham, David Burr, Guido Marco Cicchini  Paul Fletcher, Karl Friston, Guillermo Horga, Hakwan Lau, Pascal Mamassian, Theofanis Panagiotaropoulos, Megan Peters, and Helen Slagter.</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Thank you for considering our inquiry. We look forward to your response.</w:t>
      </w:r>
    </w:p>
    <w:p>
      <w:pPr>
        <w:pStyle w:val="Normal"/>
        <w:spacing w:lineRule="auto" w:line="276"/>
        <w:jc w:val="both"/>
        <w:rPr>
          <w:rFonts w:ascii="Arial" w:hAnsi="Arial"/>
          <w:sz w:val="22"/>
          <w:szCs w:val="22"/>
        </w:rPr>
      </w:pPr>
      <w:r>
        <w:rPr>
          <w:rFonts w:ascii="Arial" w:hAnsi="Arial"/>
          <w:sz w:val="22"/>
          <w:szCs w:val="22"/>
        </w:rPr>
        <w:t>Sincerely,</w:t>
      </w:r>
    </w:p>
    <w:p>
      <w:pPr>
        <w:pStyle w:val="Normal"/>
        <w:spacing w:lineRule="auto" w:line="276"/>
        <w:jc w:val="both"/>
        <w:rPr>
          <w:rFonts w:ascii="Arial" w:hAnsi="Arial"/>
          <w:sz w:val="22"/>
          <w:szCs w:val="22"/>
        </w:rPr>
      </w:pPr>
      <w:r>
        <w:rPr>
          <w:rFonts w:ascii="Arial" w:hAnsi="Arial"/>
          <w:sz w:val="22"/>
          <w:szCs w:val="22"/>
        </w:rPr>
        <w:t>Veith Weilnhammer, Yuki Murai, and David Whitney</w:t>
      </w:r>
    </w:p>
    <w:sectPr>
      <w:headerReference w:type="default" r:id="rId2"/>
      <w:footnotePr>
        <w:numFmt w:val="decimal"/>
      </w:footnotePr>
      <w:type w:val="nextPage"/>
      <w:pgSz w:w="12240" w:h="15840"/>
      <w:pgMar w:left="720" w:right="720" w:gutter="0" w:header="720" w:top="1872" w:footer="0" w:bottom="72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niversityOS">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rPr/>
      </w:pPr>
      <w:r>
        <w:rPr>
          <w:rStyle w:val="FootnoteCharacters"/>
        </w:rPr>
        <w:footnoteRef/>
      </w:r>
      <w:r>
        <w:rPr>
          <w:rFonts w:ascii="Arial" w:hAnsi="Arial"/>
          <w:sz w:val="22"/>
          <w:szCs w:val="22"/>
        </w:rPr>
        <w:t xml:space="preserve"> </w:t>
      </w:r>
      <w:r>
        <w:rPr>
          <w:rFonts w:ascii="Arial" w:hAnsi="Arial"/>
          <w:sz w:val="22"/>
          <w:szCs w:val="22"/>
        </w:rPr>
        <w:t>H</w:t>
      </w:r>
      <w:r>
        <w:rPr>
          <w:rFonts w:ascii="Arial" w:hAnsi="Arial"/>
          <w:sz w:val="22"/>
          <w:szCs w:val="22"/>
        </w:rPr>
        <w:t xml:space="preserve">orga, G. </w:t>
      </w:r>
      <w:r>
        <w:rPr>
          <w:rFonts w:ascii="Arial" w:hAnsi="Arial"/>
          <w:i/>
          <w:iCs/>
          <w:sz w:val="22"/>
          <w:szCs w:val="22"/>
        </w:rPr>
        <w:t>et al.</w:t>
      </w:r>
      <w:r>
        <w:rPr>
          <w:rFonts w:ascii="Arial" w:hAnsi="Arial"/>
          <w:sz w:val="22"/>
          <w:szCs w:val="22"/>
        </w:rPr>
        <w:t xml:space="preserve"> </w:t>
      </w:r>
      <w:hyperlink r:id="rId1">
        <w:r>
          <w:rPr>
            <w:rStyle w:val="InternetLink"/>
            <w:rFonts w:ascii="Arial" w:hAnsi="Arial"/>
            <w:sz w:val="22"/>
            <w:szCs w:val="22"/>
          </w:rPr>
          <w:t>An integrative framework for perceptual disturbances in psychosis</w:t>
        </w:r>
      </w:hyperlink>
      <w:r>
        <w:rPr>
          <w:rFonts w:ascii="Arial" w:hAnsi="Arial"/>
          <w:sz w:val="22"/>
          <w:szCs w:val="22"/>
        </w:rPr>
        <w:t xml:space="preserve">. </w:t>
      </w:r>
      <w:r>
        <w:rPr>
          <w:rFonts w:ascii="Arial" w:hAnsi="Arial"/>
          <w:i/>
          <w:iCs/>
          <w:sz w:val="22"/>
          <w:szCs w:val="22"/>
        </w:rPr>
        <w:t>Nature Reviews Neuroscience</w:t>
      </w:r>
      <w:r>
        <w:rPr>
          <w:rFonts w:ascii="Arial" w:hAnsi="Arial"/>
          <w:sz w:val="22"/>
          <w:szCs w:val="22"/>
        </w:rPr>
        <w:t xml:space="preserve"> </w:t>
      </w:r>
      <w:r>
        <w:rPr>
          <w:rFonts w:ascii="Arial" w:hAnsi="Arial"/>
          <w:b/>
          <w:bCs/>
          <w:sz w:val="22"/>
          <w:szCs w:val="22"/>
        </w:rPr>
        <w:t>20</w:t>
      </w:r>
      <w:r>
        <w:rPr>
          <w:rFonts w:ascii="Arial" w:hAnsi="Arial"/>
          <w:sz w:val="22"/>
          <w:szCs w:val="22"/>
        </w:rPr>
        <w:t>, 763–778 (2019)</w:t>
      </w:r>
    </w:p>
  </w:footnote>
  <w:footnote w:id="3">
    <w:p>
      <w:pPr>
        <w:pStyle w:val="Normal"/>
        <w:rPr/>
      </w:pPr>
      <w:r>
        <w:rPr>
          <w:rStyle w:val="FootnoteCharacters"/>
        </w:rPr>
        <w:footnoteRef/>
      </w:r>
      <w:r>
        <w:rPr/>
        <w:t xml:space="preserve"> </w:t>
      </w:r>
      <w:r>
        <w:rPr/>
        <w:t xml:space="preserve">Ashwood, Z. C. </w:t>
      </w:r>
      <w:r>
        <w:rPr>
          <w:i/>
          <w:iCs/>
        </w:rPr>
        <w:t>et al.</w:t>
      </w:r>
      <w:r>
        <w:rPr/>
        <w:t xml:space="preserve"> </w:t>
      </w:r>
      <w:hyperlink r:id="rId2">
        <w:r>
          <w:rPr>
            <w:rStyle w:val="InternetLink"/>
          </w:rPr>
          <w:t>Mice alternate between discrete strategies during perceptual decision-making</w:t>
        </w:r>
      </w:hyperlink>
      <w:r>
        <w:rPr/>
        <w:t xml:space="preserve">. </w:t>
      </w:r>
      <w:r>
        <w:rPr>
          <w:i/>
          <w:iCs/>
        </w:rPr>
        <w:t>Nature Neuroscience</w:t>
      </w:r>
      <w:r>
        <w:rPr/>
        <w:t xml:space="preserve"> </w:t>
      </w:r>
      <w:r>
        <w:rPr>
          <w:b/>
          <w:bCs/>
        </w:rPr>
        <w:t>25</w:t>
      </w:r>
      <w:r>
        <w:rPr/>
        <w:t>, 201–212 (2022)</w:t>
      </w:r>
    </w:p>
  </w:footnote>
  <w:footnote w:id="4">
    <w:p>
      <w:pPr>
        <w:pStyle w:val="Normal"/>
        <w:rPr/>
      </w:pPr>
      <w:r>
        <w:rPr>
          <w:rStyle w:val="FootnoteCharacters"/>
        </w:rPr>
        <w:footnoteRef/>
      </w:r>
      <w:r>
        <w:rPr/>
        <w:t xml:space="preserve"> </w:t>
      </w:r>
      <w:r>
        <w:rPr/>
        <w:t xml:space="preserve">Weilnhammer, V. </w:t>
      </w:r>
      <w:r>
        <w:rPr>
          <w:i/>
          <w:iCs/>
        </w:rPr>
        <w:t>et al.</w:t>
      </w:r>
      <w:r>
        <w:rPr/>
        <w:t xml:space="preserve"> N-Methyl-D-aspartate receptor hypofunction causes recurrent and transient failures of perceptual inference. (2024) doi:</w:t>
      </w:r>
      <w:hyperlink r:id="rId3">
        <w:r>
          <w:rPr>
            <w:rStyle w:val="InternetLink"/>
          </w:rPr>
          <w:t>10.1101/2024.05.24.595590</w:t>
        </w:r>
      </w:hyperlink>
    </w:p>
  </w:footnote>
  <w:footnote w:id="5">
    <w:p>
      <w:pPr>
        <w:pStyle w:val="Normal"/>
        <w:rPr/>
      </w:pPr>
      <w:r>
        <w:rPr>
          <w:rStyle w:val="FootnoteCharacters"/>
        </w:rPr>
        <w:footnoteRef/>
      </w:r>
      <w:r>
        <w:rPr/>
        <w:t xml:space="preserve"> </w:t>
      </w:r>
      <w:r>
        <w:rPr/>
        <w:t xml:space="preserve">Murai, Y. </w:t>
      </w:r>
      <w:r>
        <w:rPr>
          <w:i/>
          <w:iCs/>
        </w:rPr>
        <w:t>et al.</w:t>
      </w:r>
      <w:r>
        <w:rPr/>
        <w:t xml:space="preserve"> </w:t>
      </w:r>
      <w:hyperlink r:id="rId4">
        <w:r>
          <w:rPr>
            <w:rStyle w:val="InternetLink"/>
          </w:rPr>
          <w:t>Serial dependence revealed in history-dependent perceptual templates</w:t>
        </w:r>
      </w:hyperlink>
      <w:r>
        <w:rPr/>
        <w:t xml:space="preserve">. </w:t>
      </w:r>
      <w:r>
        <w:rPr>
          <w:i/>
          <w:iCs/>
        </w:rPr>
        <w:t>Current Biology</w:t>
      </w:r>
      <w:r>
        <w:rPr/>
        <w:t xml:space="preserve"> </w:t>
      </w:r>
      <w:r>
        <w:rPr>
          <w:b/>
          <w:bCs/>
        </w:rPr>
        <w:t>31</w:t>
      </w:r>
      <w:r>
        <w:rPr/>
        <w:t>, 3185–3191.e3 (2021).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ddressphone"/>
      <w:tabs>
        <w:tab w:val="clear" w:pos="720"/>
        <w:tab w:val="right" w:pos="10800" w:leader="none"/>
      </w:tabs>
      <w:jc w:val="left"/>
      <w:rPr/>
    </w:pPr>
    <w:r>
      <w:rPr/>
      <mc:AlternateContent>
        <mc:Choice Requires="wps">
          <w:drawing>
            <wp:anchor behindDoc="1" distT="0" distB="0" distL="0" distR="0" simplePos="0" locked="0" layoutInCell="0" allowOverlap="1" relativeHeight="2" wp14:anchorId="1A930B34">
              <wp:simplePos x="0" y="0"/>
              <wp:positionH relativeFrom="column">
                <wp:posOffset>3333750</wp:posOffset>
              </wp:positionH>
              <wp:positionV relativeFrom="paragraph">
                <wp:posOffset>-17780</wp:posOffset>
              </wp:positionV>
              <wp:extent cx="2222500" cy="868680"/>
              <wp:effectExtent l="0" t="0" r="0" b="0"/>
              <wp:wrapNone/>
              <wp:docPr id="1" name="Text Box 4"/>
              <a:graphic xmlns:a="http://schemas.openxmlformats.org/drawingml/2006/main">
                <a:graphicData uri="http://schemas.microsoft.com/office/word/2010/wordprocessingShape">
                  <wps:wsp>
                    <wps:cNvSpPr/>
                    <wps:spPr>
                      <a:xfrm>
                        <a:off x="0" y="0"/>
                        <a:ext cx="2222640" cy="868680"/>
                      </a:xfrm>
                      <a:prstGeom prst="rect">
                        <a:avLst/>
                      </a:prstGeom>
                      <a:noFill/>
                      <a:ln w="0">
                        <a:noFill/>
                      </a:ln>
                    </wps:spPr>
                    <wps:style>
                      <a:lnRef idx="0"/>
                      <a:fillRef idx="0"/>
                      <a:effectRef idx="0"/>
                      <a:fontRef idx="minor"/>
                    </wps:style>
                    <wps:txbx>
                      <w:txbxContent>
                        <w:p>
                          <w:pPr>
                            <w:pStyle w:val="FrameContents"/>
                            <w:spacing w:lineRule="auto" w:line="276"/>
                            <w:rPr>
                              <w:rFonts w:ascii="Arial" w:hAnsi="Arial" w:cs="Arial"/>
                              <w:color w:val="000000"/>
                              <w:sz w:val="18"/>
                              <w:szCs w:val="18"/>
                            </w:rPr>
                          </w:pPr>
                          <w:r>
                            <w:rPr>
                              <w:rFonts w:cs="Arial" w:ascii="Arial" w:hAnsi="Arial"/>
                              <w:color w:val="000000"/>
                              <w:sz w:val="18"/>
                              <w:szCs w:val="18"/>
                            </w:rPr>
                            <w:t>Li Ka Shing, UC Berkeley</w:t>
                            <w:br/>
                            <w:t xml:space="preserve">1951 Oxford Street, Room 230E </w:t>
                            <w:br/>
                            <w:t>Berkeley, CA 94720</w:t>
                          </w:r>
                        </w:p>
                        <w:p>
                          <w:pPr>
                            <w:pStyle w:val="FrameContents"/>
                            <w:spacing w:lineRule="auto" w:line="276"/>
                            <w:rPr>
                              <w:rFonts w:ascii="Arial" w:hAnsi="Arial" w:cs="Arial"/>
                              <w:color w:val="000000"/>
                              <w:sz w:val="18"/>
                              <w:szCs w:val="18"/>
                            </w:rPr>
                          </w:pPr>
                          <w:r>
                            <w:rPr>
                              <w:rFonts w:cs="Arial" w:ascii="Arial" w:hAnsi="Arial"/>
                              <w:color w:val="000000"/>
                              <w:sz w:val="18"/>
                              <w:szCs w:val="18"/>
                            </w:rPr>
                            <w:t>Phone: 341 333 9788</w:t>
                          </w:r>
                        </w:p>
                        <w:p>
                          <w:pPr>
                            <w:pStyle w:val="FrameContents"/>
                            <w:spacing w:lineRule="auto" w:line="276"/>
                            <w:rPr/>
                          </w:pPr>
                          <w:r>
                            <w:rPr>
                              <w:rFonts w:cs="Arial" w:ascii="Arial" w:hAnsi="Arial"/>
                              <w:color w:val="000000"/>
                              <w:sz w:val="18"/>
                              <w:szCs w:val="18"/>
                            </w:rPr>
                            <w:t>E-Mail: veith.weilnhammer@gmail.com</w:t>
                          </w:r>
                        </w:p>
                      </w:txbxContent>
                    </wps:txbx>
                    <wps:bodyPr anchor="t">
                      <a:noAutofit/>
                    </wps:bodyPr>
                  </wps:wsp>
                </a:graphicData>
              </a:graphic>
            </wp:anchor>
          </w:drawing>
        </mc:Choice>
        <mc:Fallback>
          <w:pict>
            <v:rect id="shape_0" ID="Text Box 4" path="m0,0l-2147483645,0l-2147483645,-2147483646l0,-2147483646xe" stroked="f" o:allowincell="f" style="position:absolute;margin-left:262.5pt;margin-top:-1.4pt;width:174.95pt;height:68.35pt;mso-wrap-style:square;v-text-anchor:top" wp14:anchorId="1A930B34">
              <v:fill o:detectmouseclick="t" on="false"/>
              <v:stroke color="#3465a4" joinstyle="round" endcap="flat"/>
              <v:textbox>
                <w:txbxContent>
                  <w:p>
                    <w:pPr>
                      <w:pStyle w:val="FrameContents"/>
                      <w:spacing w:lineRule="auto" w:line="276"/>
                      <w:rPr>
                        <w:rFonts w:ascii="Arial" w:hAnsi="Arial" w:cs="Arial"/>
                        <w:color w:val="000000"/>
                        <w:sz w:val="18"/>
                        <w:szCs w:val="18"/>
                      </w:rPr>
                    </w:pPr>
                    <w:r>
                      <w:rPr>
                        <w:rFonts w:cs="Arial" w:ascii="Arial" w:hAnsi="Arial"/>
                        <w:color w:val="000000"/>
                        <w:sz w:val="18"/>
                        <w:szCs w:val="18"/>
                      </w:rPr>
                      <w:t>Li Ka Shing, UC Berkeley</w:t>
                      <w:br/>
                      <w:t xml:space="preserve">1951 Oxford Street, Room 230E </w:t>
                      <w:br/>
                      <w:t>Berkeley, CA 94720</w:t>
                    </w:r>
                  </w:p>
                  <w:p>
                    <w:pPr>
                      <w:pStyle w:val="FrameContents"/>
                      <w:spacing w:lineRule="auto" w:line="276"/>
                      <w:rPr>
                        <w:rFonts w:ascii="Arial" w:hAnsi="Arial" w:cs="Arial"/>
                        <w:color w:val="000000"/>
                        <w:sz w:val="18"/>
                        <w:szCs w:val="18"/>
                      </w:rPr>
                    </w:pPr>
                    <w:r>
                      <w:rPr>
                        <w:rFonts w:cs="Arial" w:ascii="Arial" w:hAnsi="Arial"/>
                        <w:color w:val="000000"/>
                        <w:sz w:val="18"/>
                        <w:szCs w:val="18"/>
                      </w:rPr>
                      <w:t>Phone: 341 333 9788</w:t>
                    </w:r>
                  </w:p>
                  <w:p>
                    <w:pPr>
                      <w:pStyle w:val="FrameContents"/>
                      <w:spacing w:lineRule="auto" w:line="276"/>
                      <w:rPr/>
                    </w:pPr>
                    <w:r>
                      <w:rPr>
                        <w:rFonts w:cs="Arial" w:ascii="Arial" w:hAnsi="Arial"/>
                        <w:color w:val="000000"/>
                        <w:sz w:val="18"/>
                        <w:szCs w:val="18"/>
                      </w:rPr>
                      <w:t>E-Mail: veith.weilnhammer@gmail.com</w:t>
                    </w:r>
                  </w:p>
                </w:txbxContent>
              </v:textbox>
              <w10:wrap type="none"/>
            </v:rect>
          </w:pict>
        </mc:Fallback>
      </mc:AlternateContent>
      <mc:AlternateContent>
        <mc:Choice Requires="wps">
          <w:drawing>
            <wp:anchor behindDoc="1" distT="0" distB="0" distL="0" distR="0" simplePos="0" locked="0" layoutInCell="0" allowOverlap="1" relativeHeight="4" wp14:anchorId="22767B69">
              <wp:simplePos x="0" y="0"/>
              <wp:positionH relativeFrom="column">
                <wp:posOffset>1435100</wp:posOffset>
              </wp:positionH>
              <wp:positionV relativeFrom="paragraph">
                <wp:posOffset>-20955</wp:posOffset>
              </wp:positionV>
              <wp:extent cx="1875790" cy="855980"/>
              <wp:effectExtent l="0" t="0" r="0" b="0"/>
              <wp:wrapNone/>
              <wp:docPr id="3" name="Text Box 3"/>
              <a:graphic xmlns:a="http://schemas.openxmlformats.org/drawingml/2006/main">
                <a:graphicData uri="http://schemas.microsoft.com/office/word/2010/wordprocessingShape">
                  <wps:wsp>
                    <wps:cNvSpPr/>
                    <wps:spPr>
                      <a:xfrm>
                        <a:off x="0" y="0"/>
                        <a:ext cx="1875960" cy="856080"/>
                      </a:xfrm>
                      <a:prstGeom prst="rect">
                        <a:avLst/>
                      </a:prstGeom>
                      <a:noFill/>
                      <a:ln w="0">
                        <a:noFill/>
                      </a:ln>
                    </wps:spPr>
                    <wps:style>
                      <a:lnRef idx="0"/>
                      <a:fillRef idx="0"/>
                      <a:effectRef idx="0"/>
                      <a:fontRef idx="minor"/>
                    </wps:style>
                    <wps:txbx>
                      <w:txbxContent>
                        <w:p>
                          <w:pPr>
                            <w:pStyle w:val="FrameContents"/>
                            <w:spacing w:lineRule="auto" w:line="276"/>
                            <w:rPr>
                              <w:rFonts w:ascii="Arial" w:hAnsi="Arial" w:cs="Arial"/>
                              <w:b/>
                              <w:b/>
                              <w:color w:val="000000"/>
                              <w:sz w:val="18"/>
                              <w:szCs w:val="18"/>
                            </w:rPr>
                          </w:pPr>
                          <w:r>
                            <w:rPr>
                              <w:rFonts w:cs="Arial" w:ascii="Arial" w:hAnsi="Arial"/>
                              <w:b/>
                              <w:color w:val="000000"/>
                              <w:sz w:val="18"/>
                              <w:szCs w:val="18"/>
                            </w:rPr>
                            <w:t>Veith Weilnhammer</w:t>
                          </w:r>
                        </w:p>
                        <w:p>
                          <w:pPr>
                            <w:pStyle w:val="FrameContents"/>
                            <w:spacing w:lineRule="auto" w:line="276"/>
                            <w:rPr>
                              <w:rFonts w:ascii="Arial" w:hAnsi="Arial" w:cs="Arial"/>
                              <w:color w:val="000000"/>
                              <w:sz w:val="18"/>
                              <w:szCs w:val="18"/>
                            </w:rPr>
                          </w:pPr>
                          <w:r>
                            <w:rPr>
                              <w:rFonts w:cs="Arial" w:ascii="Arial" w:hAnsi="Arial"/>
                              <w:color w:val="000000"/>
                              <w:sz w:val="18"/>
                              <w:szCs w:val="18"/>
                            </w:rPr>
                            <w:t>Postdoctoral Scholar</w:t>
                          </w:r>
                        </w:p>
                        <w:p>
                          <w:pPr>
                            <w:pStyle w:val="FrameContents"/>
                            <w:spacing w:lineRule="auto" w:line="276"/>
                            <w:rPr>
                              <w:rFonts w:ascii="Arial" w:hAnsi="Arial" w:cs="Arial"/>
                              <w:color w:val="000000"/>
                              <w:sz w:val="18"/>
                              <w:szCs w:val="18"/>
                            </w:rPr>
                          </w:pPr>
                          <w:r>
                            <w:rPr>
                              <w:rFonts w:cs="Arial" w:ascii="Arial" w:hAnsi="Arial"/>
                              <w:color w:val="000000"/>
                              <w:sz w:val="18"/>
                              <w:szCs w:val="18"/>
                            </w:rPr>
                            <w:t>Department of Molecular and Cell Biology</w:t>
                          </w:r>
                        </w:p>
                        <w:p>
                          <w:pPr>
                            <w:pStyle w:val="FrameContents"/>
                            <w:spacing w:lineRule="auto" w:line="276"/>
                            <w:rPr/>
                          </w:pPr>
                          <w:r>
                            <w:rPr>
                              <w:rFonts w:cs="Arial" w:ascii="Arial" w:hAnsi="Arial"/>
                              <w:color w:val="000000"/>
                              <w:sz w:val="18"/>
                              <w:szCs w:val="18"/>
                            </w:rPr>
                            <w:t>University of California, Berkeley</w:t>
                          </w:r>
                        </w:p>
                      </w:txbxContent>
                    </wps:txbx>
                    <wps:bodyPr anchor="t">
                      <a:noAutofit/>
                    </wps:bodyPr>
                  </wps:wsp>
                </a:graphicData>
              </a:graphic>
            </wp:anchor>
          </w:drawing>
        </mc:Choice>
        <mc:Fallback>
          <w:pict>
            <v:rect id="shape_0" ID="Text Box 3" path="m0,0l-2147483645,0l-2147483645,-2147483646l0,-2147483646xe" stroked="f" o:allowincell="f" style="position:absolute;margin-left:113pt;margin-top:-1.65pt;width:147.65pt;height:67.35pt;mso-wrap-style:square;v-text-anchor:top" wp14:anchorId="22767B69">
              <v:fill o:detectmouseclick="t" on="false"/>
              <v:stroke color="#3465a4" joinstyle="round" endcap="flat"/>
              <v:textbox>
                <w:txbxContent>
                  <w:p>
                    <w:pPr>
                      <w:pStyle w:val="FrameContents"/>
                      <w:spacing w:lineRule="auto" w:line="276"/>
                      <w:rPr>
                        <w:rFonts w:ascii="Arial" w:hAnsi="Arial" w:cs="Arial"/>
                        <w:b/>
                        <w:b/>
                        <w:color w:val="000000"/>
                        <w:sz w:val="18"/>
                        <w:szCs w:val="18"/>
                      </w:rPr>
                    </w:pPr>
                    <w:r>
                      <w:rPr>
                        <w:rFonts w:cs="Arial" w:ascii="Arial" w:hAnsi="Arial"/>
                        <w:b/>
                        <w:color w:val="000000"/>
                        <w:sz w:val="18"/>
                        <w:szCs w:val="18"/>
                      </w:rPr>
                      <w:t>Veith Weilnhammer</w:t>
                    </w:r>
                  </w:p>
                  <w:p>
                    <w:pPr>
                      <w:pStyle w:val="FrameContents"/>
                      <w:spacing w:lineRule="auto" w:line="276"/>
                      <w:rPr>
                        <w:rFonts w:ascii="Arial" w:hAnsi="Arial" w:cs="Arial"/>
                        <w:color w:val="000000"/>
                        <w:sz w:val="18"/>
                        <w:szCs w:val="18"/>
                      </w:rPr>
                    </w:pPr>
                    <w:r>
                      <w:rPr>
                        <w:rFonts w:cs="Arial" w:ascii="Arial" w:hAnsi="Arial"/>
                        <w:color w:val="000000"/>
                        <w:sz w:val="18"/>
                        <w:szCs w:val="18"/>
                      </w:rPr>
                      <w:t>Postdoctoral Scholar</w:t>
                    </w:r>
                  </w:p>
                  <w:p>
                    <w:pPr>
                      <w:pStyle w:val="FrameContents"/>
                      <w:spacing w:lineRule="auto" w:line="276"/>
                      <w:rPr>
                        <w:rFonts w:ascii="Arial" w:hAnsi="Arial" w:cs="Arial"/>
                        <w:color w:val="000000"/>
                        <w:sz w:val="18"/>
                        <w:szCs w:val="18"/>
                      </w:rPr>
                    </w:pPr>
                    <w:r>
                      <w:rPr>
                        <w:rFonts w:cs="Arial" w:ascii="Arial" w:hAnsi="Arial"/>
                        <w:color w:val="000000"/>
                        <w:sz w:val="18"/>
                        <w:szCs w:val="18"/>
                      </w:rPr>
                      <w:t>Department of Molecular and Cell Biology</w:t>
                    </w:r>
                  </w:p>
                  <w:p>
                    <w:pPr>
                      <w:pStyle w:val="FrameContents"/>
                      <w:spacing w:lineRule="auto" w:line="276"/>
                      <w:rPr/>
                    </w:pPr>
                    <w:r>
                      <w:rPr>
                        <w:rFonts w:cs="Arial" w:ascii="Arial" w:hAnsi="Arial"/>
                        <w:color w:val="000000"/>
                        <w:sz w:val="18"/>
                        <w:szCs w:val="18"/>
                      </w:rPr>
                      <w:t>University of California, Berkeley</w:t>
                    </w:r>
                  </w:p>
                </w:txbxContent>
              </v:textbox>
              <w10:wrap type="none"/>
            </v:rect>
          </w:pict>
        </mc:Fallback>
      </mc:AlternateContent>
      <mc:AlternateContent>
        <mc:Choice Requires="wps">
          <w:drawing>
            <wp:anchor behindDoc="1" distT="635" distB="0" distL="635" distR="0" simplePos="0" locked="0" layoutInCell="0" allowOverlap="1" relativeHeight="6" wp14:anchorId="7D5D822D">
              <wp:simplePos x="0" y="0"/>
              <wp:positionH relativeFrom="column">
                <wp:posOffset>6421755</wp:posOffset>
              </wp:positionH>
              <wp:positionV relativeFrom="paragraph">
                <wp:posOffset>650240</wp:posOffset>
              </wp:positionV>
              <wp:extent cx="202565" cy="202565"/>
              <wp:effectExtent l="635" t="635" r="0" b="0"/>
              <wp:wrapNone/>
              <wp:docPr id="5" name="Shape 1"/>
              <a:graphic xmlns:a="http://schemas.openxmlformats.org/drawingml/2006/main">
                <a:graphicData uri="http://schemas.microsoft.com/office/word/2010/wordprocessingShape">
                  <wps:wsp>
                    <wps:cNvSpPr/>
                    <wps:spPr>
                      <a:xfrm>
                        <a:off x="0" y="0"/>
                        <a:ext cx="202680" cy="2026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fillcolor="white" stroked="f" o:allowincell="f" style="position:absolute;margin-left:505.65pt;margin-top:51.2pt;width:15.9pt;height:15.9pt;mso-wrap-style:none;v-text-anchor:middle" wp14:anchorId="7D5D822D">
              <v:fill o:detectmouseclick="t" type="solid" color2="black"/>
              <v:stroke color="#3465a4" joinstyle="round" endcap="flat"/>
              <w10:wrap type="none"/>
            </v:oval>
          </w:pict>
        </mc:Fallback>
      </mc:AlternateContent>
      <w:drawing>
        <wp:inline distT="0" distB="0" distL="0" distR="0">
          <wp:extent cx="6854190" cy="781050"/>
          <wp:effectExtent l="0" t="0" r="0" b="0"/>
          <wp:docPr id="6" name="Picture 2091340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91340211" descr=""/>
                  <pic:cNvPicPr>
                    <a:picLocks noChangeAspect="1" noChangeArrowheads="1"/>
                  </pic:cNvPicPr>
                </pic:nvPicPr>
                <pic:blipFill>
                  <a:blip r:embed="rId1"/>
                  <a:stretch>
                    <a:fillRect/>
                  </a:stretch>
                </pic:blipFill>
                <pic:spPr bwMode="auto">
                  <a:xfrm>
                    <a:off x="0" y="0"/>
                    <a:ext cx="6854190" cy="781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65"/>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Heading1">
    <w:name w:val="Heading 1"/>
    <w:basedOn w:val="Normal"/>
    <w:next w:val="TextBody"/>
    <w:link w:val="Heading1Char"/>
    <w:uiPriority w:val="9"/>
    <w:qFormat/>
    <w:pPr>
      <w:keepNext w:val="true"/>
      <w:keepLines/>
      <w:spacing w:before="480" w:after="0"/>
      <w:outlineLvl w:val="0"/>
    </w:pPr>
    <w:rPr>
      <w:rFonts w:ascii="Calibri" w:hAnsi="Calibri" w:eastAsia="MS Gothic"/>
      <w:b/>
      <w:bCs/>
      <w:color w:val="4F81BD"/>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Pr>
      <w:sz w:val="24"/>
      <w:szCs w:val="24"/>
    </w:rPr>
  </w:style>
  <w:style w:type="character" w:styleId="FooterChar" w:customStyle="1">
    <w:name w:val="Footer Char"/>
    <w:basedOn w:val="DefaultParagraphFont"/>
    <w:link w:val="Footer"/>
    <w:qFormat/>
    <w:rPr>
      <w:sz w:val="24"/>
      <w:szCs w:val="24"/>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alloonTextChar" w:customStyle="1">
    <w:name w:val="Balloon Text Char"/>
    <w:basedOn w:val="DefaultParagraphFont"/>
    <w:link w:val="BalloonText"/>
    <w:qFormat/>
    <w:rPr>
      <w:rFonts w:ascii="Lucida Grande" w:hAnsi="Lucida Grande" w:cs="Lucida Grande"/>
      <w:sz w:val="18"/>
      <w:szCs w:val="18"/>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style>
  <w:style w:type="character" w:styleId="CommentSubjectChar" w:customStyle="1">
    <w:name w:val="Comment Subject Char"/>
    <w:basedOn w:val="CommentTextChar"/>
    <w:link w:val="Annotationsubject"/>
    <w:qFormat/>
    <w:rPr>
      <w:b/>
      <w:bCs/>
    </w:rPr>
  </w:style>
  <w:style w:type="character" w:styleId="Heading1Char" w:customStyle="1">
    <w:name w:val="Heading 1 Char"/>
    <w:basedOn w:val="DefaultParagraphFont"/>
    <w:link w:val="Heading1"/>
    <w:qFormat/>
    <w:rPr>
      <w:rFonts w:ascii="Calibri" w:hAnsi="Calibri" w:eastAsia="MS Gothic" w:cs="Times New Roman"/>
      <w:b/>
      <w:bCs/>
      <w:color w:val="4F81BD"/>
      <w:sz w:val="32"/>
      <w:szCs w:val="32"/>
    </w:rPr>
  </w:style>
  <w:style w:type="character" w:styleId="BodyTextChar" w:customStyle="1">
    <w:name w:val="Body Text Char"/>
    <w:basedOn w:val="DefaultParagraphFont"/>
    <w:qFormat/>
    <w:rPr>
      <w:sz w:val="24"/>
      <w:szCs w:val="24"/>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NumberingSymbols" w:customStyle="1">
    <w:name w:val="Numbering Symbols"/>
    <w:qFormat/>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320" w:leader="none"/>
        <w:tab w:val="right" w:pos="8640" w:leader="none"/>
      </w:tabs>
    </w:pPr>
    <w:rPr/>
  </w:style>
  <w:style w:type="paragraph" w:styleId="Footer">
    <w:name w:val="Footer"/>
    <w:basedOn w:val="Normal"/>
    <w:link w:val="FooterChar"/>
    <w:pPr>
      <w:tabs>
        <w:tab w:val="clear" w:pos="720"/>
        <w:tab w:val="center" w:pos="4320" w:leader="none"/>
        <w:tab w:val="right" w:pos="8640" w:leader="none"/>
      </w:tabs>
    </w:pPr>
    <w:rPr/>
  </w:style>
  <w:style w:type="paragraph" w:styleId="Addressphone" w:customStyle="1">
    <w:name w:val="Address/phone"/>
    <w:basedOn w:val="Normal"/>
    <w:qFormat/>
    <w:pPr>
      <w:widowControl w:val="false"/>
      <w:spacing w:lineRule="auto" w:line="288"/>
      <w:jc w:val="right"/>
      <w:textAlignment w:val="center"/>
    </w:pPr>
    <w:rPr>
      <w:rFonts w:ascii="UniversityOS" w:hAnsi="UniversityOS" w:cs="UniversityOS"/>
      <w:color w:val="000000"/>
      <w:sz w:val="16"/>
      <w:szCs w:val="16"/>
    </w:rPr>
  </w:style>
  <w:style w:type="paragraph" w:styleId="BalloonText">
    <w:name w:val="Balloon Text"/>
    <w:basedOn w:val="Normal"/>
    <w:link w:val="BalloonTextChar"/>
    <w:qFormat/>
    <w:pPr/>
    <w:rPr>
      <w:rFonts w:ascii="Lucida Grande" w:hAnsi="Lucida Grande" w:cs="Lucida Grande"/>
      <w:sz w:val="18"/>
      <w:szCs w:val="18"/>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next w:val="Annotationtext"/>
    <w:link w:val="CommentSubjectChar"/>
    <w:qFormat/>
    <w:pPr/>
    <w:rPr>
      <w:b/>
      <w:bCs/>
    </w:rPr>
  </w:style>
  <w:style w:type="paragraph" w:styleId="FirstParagraph" w:customStyle="1">
    <w:name w:val="First Paragraph"/>
    <w:basedOn w:val="TextBody"/>
    <w:next w:val="TextBody"/>
    <w:qFormat/>
    <w:pPr>
      <w:spacing w:before="180" w:after="180"/>
    </w:pPr>
    <w:rPr/>
  </w:style>
  <w:style w:type="paragraph" w:styleId="FrameContents" w:customStyle="1">
    <w:name w:val="Frame Contents"/>
    <w:basedOn w:val="Normal"/>
    <w:qFormat/>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Revision">
    <w:name w:val="Revision"/>
    <w:uiPriority w:val="99"/>
    <w:semiHidden/>
    <w:qFormat/>
    <w:rsid w:val="00e15916"/>
    <w:pPr>
      <w:widowControl/>
      <w:suppressAutoHyphens w:val="false"/>
      <w:bidi w:val="0"/>
      <w:spacing w:before="0" w:after="0"/>
      <w:jc w:val="left"/>
    </w:pPr>
    <w:rPr>
      <w:rFonts w:ascii="Cambria" w:hAnsi="Cambria" w:eastAsia="Cambria" w:cs="Times New Roman"/>
      <w:color w:val="auto"/>
      <w:kern w:val="0"/>
      <w:sz w:val="24"/>
      <w:szCs w:val="24"/>
      <w:lang w:val="en-US" w:eastAsia="en-US" w:bidi="ar-SA"/>
    </w:rPr>
  </w:style>
  <w:style w:type="paragraph" w:styleId="Bibliography">
    <w:name w:val="Bibliography"/>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doi.org/10.1038/s41583-019-0234-1" TargetMode="External"/><Relationship Id="rId2" Type="http://schemas.openxmlformats.org/officeDocument/2006/relationships/hyperlink" Target="https://doi.org/10.1038/s41593-021-01007-z" TargetMode="External"/><Relationship Id="rId3" Type="http://schemas.openxmlformats.org/officeDocument/2006/relationships/hyperlink" Target="https://doi.org/10.1101/2024.05.24.595590" TargetMode="External"/><Relationship Id="rId4" Type="http://schemas.openxmlformats.org/officeDocument/2006/relationships/hyperlink" Target="https://doi.org/10.1016/j.cub.2021.05.006"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1</Pages>
  <Words>503</Words>
  <Characters>3017</Characters>
  <CharactersWithSpaces>3500</CharactersWithSpaces>
  <Paragraphs>23</Paragraphs>
  <Company>University Relations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2024-06-06T02:25:00Z</dcterms:created>
  <dc:creator>Shawn Melikian</dc:creator>
  <dc:description/>
  <dc:language>en-US</dc:language>
  <cp:lastModifiedBy/>
  <cp:lastPrinted>2023-11-19T22:31:00Z</cp:lastPrinted>
  <dcterms:modified xsi:type="dcterms:W3CDTF">2024-06-06T07:52:18Z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