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rPr>
          <w:b/>
        </w:rPr>
        <w:t>ИССЛЕДОВАНИЕ ИМПУЛЬСА ЛОРЕНЦА ПРИ ОЦЕНИВАНИИ АЗИМУТА КРУГОВОЙ РЕШЁТКОЙ АВП</w:t>
      </w:r>
    </w:p>
    <w:p>
      <w:pPr>
        <w:ind w:firstLine="0"/>
        <w:jc w:val="center"/>
      </w:pPr>
      <w:r>
        <w:t>Определение SNR, временная форма, спектр и сравнение с гармоническим сигналом</w:t>
      </w:r>
    </w:p>
    <w:p>
      <w:pPr>
        <w:widowControl/>
      </w:pPr>
      <w:r>
        <w:t>Цель работы — исследовать пеленгование источника, излучающего импульс Лоренца, методами Бартлетта и Кейпона и сопоставить результаты с гармоническим сигналом при одинаковом энергетическом отношении сигнал/шум. Теоретические выражения согласованы с конечным интервалом наблюдения и фактической реализацией расчёта.</w:t>
      </w:r>
    </w:p>
    <w:p>
      <w:pPr>
        <w:widowControl/>
      </w:pPr>
      <w:r>
        <w:t>Оформление принято по документу info_snr_supplement.docx. Графики и оценки получены из расчётной схемы notebook.ipynb и report.ipynb с использованием исходных функций проекта. В отличие от числового примера дополнения, где τ = 0,01 с, здесь использовано текущее значение duration_pulse = 0,05 с. Значения из прежнего отчёта для синусоиды не переносились: сравнение выполнено заново с текущим определением SNR.</w:t>
      </w:r>
    </w:p>
    <w:p>
      <w:pPr>
        <w:pStyle w:val="Heading2"/>
      </w:pPr>
      <w:r>
        <w:t>Исходные параметры исследования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Число АВП M; радиус R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3; 1,7163 м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Скорость звука c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343,26 м/с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Частота дискретизации fₛ; число отсчётов N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8800 Гц; 10000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Интервал наблюдения T; центр tс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1,13625 с; 0,568125 с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Ширина импульса τ; коэффициент A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0,05 с; 1 (параметр формулы)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Гармонический сигнал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Aₛ = 1 Па; f₀ = 10 Гц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Истинный азимут φ₀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π/4 рад = 45°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Базовый SNR; исследуемые SNR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2; 0,1…1 с шагом 0,1 и точка 2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Реализации шума K; seed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 на сочетание параметров; 10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Угловая сетка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6283 точки; шаг ≈ 0,00100003 рад</w:t>
            </w:r>
          </w:p>
        </w:tc>
      </w:tr>
    </w:tbl>
    <w:p>
      <w:pPr>
        <w:pStyle w:val="Heading2"/>
      </w:pPr>
      <w:r>
        <w:t>1 Определение SNR и выбор интервала интегрирования</w:t>
      </w:r>
    </w:p>
    <w:p>
      <w:pPr>
        <w:widowControl/>
      </w:pPr>
      <w:r>
        <w:t>Программа обрабатывает конечную запись, поэтому энергия полезного сигнала и средняя энергия шума должны относиться к одному и тому же окну наблюдения. Временная сетка начинается с нуля; её последний отсчёт определяет правую границу T.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Δt=1/</m:t>
        </m:r>
        <m:sSub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=nΔt,</m:t>
        </m:r>
        <m:r>
          <w:rPr>
            <w:rFonts w:ascii="Cambria Math" w:hAnsi="Cambria Math"/>
            <w:sz w:val="24"/>
          </w:rPr>
          <m:t>n=0,…,N−1</m:t>
        </m:r>
      </m:oMath>
      <w:r>
        <w:rPr>
          <w:sz w:val="24"/>
        </w:rPr>
        <w:tab/>
        <w:t>(1)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T=(N−1)/</m:t>
        </m:r>
        <m:sSub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=1.13625</m:t>
        </m:r>
        <m:r>
          <w:rPr>
            <w:rFonts w:ascii="Cambria Math" w:hAnsi="Cambria Math"/>
            <w:sz w:val="24"/>
          </w:rPr>
          <m:rPr>
            <m:nor/>
          </m:rPr>
          <m:t> </m:t>
        </m:r>
        <m:r>
          <w:rPr>
            <w:rFonts w:ascii="Cambria Math" w:hAnsi="Cambria Math"/>
            <w:sz w:val="24"/>
          </w:rPr>
          <m:t>s</m:t>
        </m:r>
      </m:oMath>
      <w:r>
        <w:rPr>
          <w:sz w:val="24"/>
        </w:rPr>
        <w:tab/>
        <w:t>(2)</w:t>
      </w:r>
    </w:p>
    <w:p>
      <w:pPr>
        <w:widowControl/>
      </w:pPr>
      <w:r>
        <w:t>Интегрирование от 0 до T следует из границ доступной записи, а не из предположения, что импульс вне окна равен нулю. Импульс Лоренца имеет бесконечные хвосты. Интеграл по всей временной оси характеризует полную энергию его математической формы, но не энергию реально обработанного фрагмента.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(T)=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T</m:t>
            </m:r>
          </m:sup>
          <m:e/>
        </m:nary>
        <m:sSup>
          <m:e>
            <m:r>
              <w:rPr>
                <w:rFonts w:ascii="Cambria Math" w:hAnsi="Cambria Math"/>
                <w:sz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(t)</m:t>
        </m:r>
        <m:r>
          <w:rPr>
            <w:rFonts w:ascii="Cambria Math" w:hAnsi="Cambria Math"/>
            <w:sz w:val="24"/>
          </w:rPr>
          <m:t>dt</m:t>
        </m:r>
      </m:oMath>
      <w:r>
        <w:rPr>
          <w:sz w:val="24"/>
        </w:rPr>
        <w:tab/>
        <w:t>(3)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rPr>
                <m:sty m:val="p"/>
              </m:rPr>
              <m:t>SNR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(T)</m:t>
            </m:r>
          </m:num>
          <m:den>
            <m:r>
              <w:rPr>
                <w:rFonts w:ascii="Cambria Math" w:hAnsi="Cambria Math"/>
                <w:sz w:val="24"/>
              </w:rPr>
              <m:t>𝔼[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</w:rPr>
              <m:t>(T)]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(T)</m:t>
            </m:r>
          </m:num>
          <m:den>
            <m:r>
              <w:rPr>
                <w:rFonts w:ascii="Cambria Math" w:hAnsi="Cambria Math"/>
                <w:sz w:val="24"/>
              </w:rPr>
              <m:t>T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>
        <w:rPr>
          <w:sz w:val="24"/>
        </w:rPr>
        <w:tab/>
        <w:t>(4)</w:t>
      </w:r>
    </w:p>
    <w:p>
      <w:pPr>
        <w:widowControl/>
      </w:pPr>
      <w:r>
        <w:t>Шум в реализации — независимые гауссовские отсчёты с нулевым средним и дисперсией σ². Здесь не используется идеальный непрерывный белый шум с неограниченной полосой и бесконечной точечной дисперсией. Энергия конкретной шумовой реализации случайна; заданный SNR определяется через математическое ожидание шумовой энергии.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p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(T)</m:t>
            </m:r>
          </m:num>
          <m:den>
            <m:r>
              <w:rPr>
                <w:rFonts w:ascii="Cambria Math" w:hAnsi="Cambria Math"/>
                <w:sz w:val="24"/>
              </w:rPr>
              <m:t>T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rPr>
                    <m:sty m:val="p"/>
                  </m:rPr>
                  <m:t>SNR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σ=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(T)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T</m:t>
                </m:r>
                <m:sSub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SNR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sub>
                </m:sSub>
              </m:den>
            </m:f>
          </m:e>
        </m:rad>
      </m:oMath>
      <w:r>
        <w:rPr>
          <w:sz w:val="24"/>
        </w:rPr>
        <w:tab/>
        <w:t>(5)</w:t>
      </w:r>
    </w:p>
    <w:p>
      <w:pPr>
        <w:widowControl/>
      </w:pPr>
      <w:r>
        <w:t>Именно последнее выражение реализовано в calculate_noise_level. Энергия в calculate_energy рассчитывается методом трапеций: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Sup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  <m:sup>
            <m:r>
              <w:rPr>
                <w:rFonts w:ascii="Cambria Math" w:hAnsi="Cambria Math"/>
                <w:sz w:val="24"/>
              </w:rPr>
              <m:t>(d)</m:t>
            </m:r>
          </m:sup>
        </m:sSubSup>
        <m:r>
          <w:rPr>
            <w:rFonts w:ascii="Cambria Math" w:hAnsi="Cambria Math"/>
            <w:sz w:val="24"/>
          </w:rPr>
          <m:t>=Δt</m:t>
        </m:r>
        <m:r>
          <w:rPr>
            <w:rFonts w:ascii="Cambria Math" w:hAnsi="Cambria Math"/>
            <w:sz w:val="24"/>
          </w:rPr>
          <m:t>[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n=1</m:t>
            </m:r>
          </m:sub>
          <m:sup>
            <m:r>
              <w:rPr>
                <w:rFonts w:ascii="Cambria Math" w:hAnsi="Cambria Math"/>
                <w:sz w:val="24"/>
              </w:rPr>
              <m:t>N−2</m:t>
            </m:r>
          </m:sup>
          <m:e/>
        </m:nary>
        <m:sSubSup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N−1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]</m:t>
        </m:r>
      </m:oMath>
      <w:r>
        <w:rPr>
          <w:sz w:val="24"/>
        </w:rPr>
        <w:tab/>
        <w:t>(6)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𝔼[</m:t>
        </m:r>
        <m:sSubSup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(d)</m:t>
            </m:r>
          </m:sup>
        </m:sSubSup>
        <m:r>
          <w:rPr>
            <w:rFonts w:ascii="Cambria Math" w:hAnsi="Cambria Math"/>
            <w:sz w:val="24"/>
          </w:rPr>
          <m:t>]=Δt</m:t>
        </m:r>
        <m:r>
          <w:rPr>
            <w:rFonts w:ascii="Cambria Math" w:hAnsi="Cambria Math"/>
            <w:sz w:val="24"/>
          </w:rPr>
          <m:t>(N−1)</m:t>
        </m:r>
        <m:sSup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=T</m:t>
        </m:r>
        <m:sSup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sz w:val="24"/>
        </w:rPr>
        <w:tab/>
        <w:t>(7)</w:t>
      </w:r>
    </w:p>
    <w:p>
      <w:pPr>
        <w:widowControl/>
      </w:pPr>
      <w:r>
        <w:t>Последнее равенство точно для принятой дискретной модели, поскольку сумма весов трапеций равна N − 1. Деление энергий на одинаковое T даёт эквивалентное отношение средних мощностей. Пиковое отношение и выражение A²/σ² не совпадают с этим SNR. Логарифмическая запись имеет вид SNRдБ = 10 log₁₀(SNR); базовое значение 2 соответствует 3,0103 дБ.</w:t>
      </w:r>
    </w:p>
    <w:p>
      <w:pPr>
        <w:widowControl/>
      </w:pPr>
      <w:r>
        <w:t>Шумовая дисперсия каждого АВП определяется по энергии его канала давления. В векторных каналах полезные сигналы дополнительно умножаются на cos φ₀ и sin φ₀. Поэтому их энергетические SNR равны SNR·cos²φ₀ и SNR·sin²φ₀; при φ₀ = 45° они составляют половину SNR канала давления.</w:t>
      </w:r>
    </w:p>
    <w:p>
      <w:pPr>
        <w:pStyle w:val="Heading2"/>
      </w:pPr>
      <w:r>
        <w:t>2 Формула импульса с учётом положения центра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P(t)=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Aτ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+(t−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τ&gt;0</m:t>
        </m:r>
      </m:oMath>
      <w:r>
        <w:rPr>
          <w:sz w:val="24"/>
        </w:rPr>
        <w:tab/>
        <w:t>(8)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P(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τ</m:t>
            </m:r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P(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±τ)=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</m:oMath>
      <w:r>
        <w:rPr>
          <w:sz w:val="24"/>
        </w:rPr>
        <w:tab/>
        <w:t>(9)</w:t>
      </w:r>
    </w:p>
    <w:p>
      <w:pPr>
        <w:widowControl/>
      </w:pPr>
      <w:r>
        <w:t>Параметр τ задаёт половину полной ширины на половине максимума; FWHM = 2τ = 0,1 с. Он не является конечной длительностью импульса. В данной формуле A — коэффициент масштаба, а не высота пика: при A = 1 и τ = 0,05 с максимум равен 20 Па. Если P измеряется в Па, размерность коэффициента A здесь Па·с. В формуле синусоиды аналогичный числовой параметр задаёт амплитуду в Па; для строгого различения ниже он обозначен Aₛ.</w:t>
      </w:r>
    </w:p>
    <w:p>
      <w:pPr>
        <w:widowControl/>
      </w:pPr>
      <w:r>
        <w:t>Для круговой решётки углы расположения АВП и задержки имеют вид: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2π(m−1)</m:t>
            </m:r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  <m:r>
          <w:rPr>
            <w:rFonts w:ascii="Cambria Math" w:hAnsi="Cambria Math"/>
            <w:sz w:val="24"/>
          </w:rPr>
          <m:t>,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R</m:t>
            </m:r>
          </m:num>
          <m:den>
            <m:r>
              <w:rPr>
                <w:rFonts w:ascii="Cambria Math" w:hAnsi="Cambria Math"/>
                <w:sz w:val="24"/>
              </w:rPr>
              <m:t>c</m:t>
            </m:r>
          </m:den>
        </m:f>
        <m:r>
          <w:rPr>
            <w:rFonts w:ascii="Cambria Math" w:hAnsi="Cambria Math"/>
            <w:sz w:val="24"/>
          </w:rPr>
          <m:rPr>
            <m:sty m:val="p"/>
          </m:rPr>
          <m:t>cos</m:t>
        </m:r>
        <m:r>
          <w:rPr>
            <w:rFonts w:ascii="Cambria Math" w:hAnsi="Cambria Math"/>
            <w:sz w:val="24"/>
          </w:rPr>
          <m:t>(</m:t>
        </m:r>
        <m:sSub>
          <m:e>
            <m:r>
              <w:rPr>
                <w:rFonts w:ascii="Cambria Math" w:hAnsi="Cambria Math"/>
                <w:sz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sz w:val="24"/>
        </w:rPr>
        <w:tab/>
        <w:t>(10)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(t)=P(t−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Aτ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+(t−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</w:rPr>
              <m:t>−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m</m:t>
                </m:r>
              </m:sub>
            </m:sSub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>
        <w:rPr>
          <w:sz w:val="24"/>
        </w:rPr>
        <w:tab/>
        <w:t>(11)</w:t>
      </w:r>
    </w:p>
    <w:p>
      <w:pPr>
        <w:widowControl/>
      </w:pPr>
      <w:r>
        <w:t>Обозначение dₘ отделяет задержку распространения от параметра ширины τ. В коде dₘ называется tau_array. Центр импульса в канале m находится в tс + dₘ. Для трёх АВП задержки составляют 3,535534; 1,294095; −4,829629 мс соответственно.</w:t>
      </w:r>
    </w:p>
    <w:p>
      <w:pPr>
        <w:pStyle w:val="Heading2"/>
      </w:pPr>
      <w:r>
        <w:t>3 Временная форма и обоснование центра T/2</w:t>
      </w:r>
    </w:p>
    <w:p>
      <w:pPr>
        <w:widowControl/>
      </w:pPr>
      <w:r>
        <w:t>Опорный импульс помещён в середину окна: tс = T/2 = 0,568125 с. Это обеспечивает равный запас до обеих границ и максимальную долю зарегистрированной энергии для фиксированных T и τ.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l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1 — Опорный импульс Лоренца на интервале [0; T]</w:t>
      </w:r>
    </w:p>
    <w:p>
      <w:pPr>
        <w:widowControl/>
      </w:pPr>
      <w:r>
        <w:t>Утверждение о максимуме можно доказать непосредственно. Обозначим квадрат центрированного импульса через g; g чётна и строго убывает с увеличением положительного аргумента.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g(x)=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(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>
        <w:rPr>
          <w:sz w:val="24"/>
        </w:rPr>
        <w:tab/>
        <w:t>(12)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d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(T;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</w:rPr>
              <m:t>d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sz w:val="24"/>
          </w:rPr>
          <m:t>=g(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)−g(T−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sz w:val="24"/>
        </w:rPr>
        <w:tab/>
        <w:t>(13)</w:t>
      </w:r>
    </w:p>
    <w:p>
      <w:pPr>
        <w:widowControl/>
      </w:pPr>
      <w:r>
        <w:t>При tс &lt; T/2 расстояние до левой границы меньше расстояния до правой, поэтому производная положительна; при tс &gt; T/2 она отрицательна. Следовательно, единственный максимум достигается при tс = T/2. Выбор центра в нуле оставил бы в окне только правую часть формы и существенно уменьшил зарегистрированную энергию. Этот вывод относится к опорному импульсу; центры отдельных каналов дополнительно сдвигаются задержками.</w:t>
      </w:r>
    </w:p>
    <w:p>
      <w:pPr>
        <w:widowControl/>
      </w:pPr>
      <w:r>
        <w:t>Для произвольного положения центра удобно использовать первообразную квадрата импульса: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H(x)=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[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τ</m:t>
            </m:r>
          </m:den>
        </m:f>
        <m:r>
          <w:rPr>
            <w:rFonts w:ascii="Cambria Math" w:hAnsi="Cambria Math"/>
            <w:sz w:val="24"/>
          </w:rPr>
          <m:rPr>
            <m:sty m:val="p"/>
          </m:rPr>
          <m:t>arctan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</w:rPr>
              <m:t>τ</m:t>
            </m:r>
          </m:den>
        </m:f>
        <m:r>
          <w:rPr>
            <w:rFonts w:ascii="Cambria Math" w:hAnsi="Cambria Math"/>
            <w:sz w:val="24"/>
          </w:rPr>
          <m:t>]</m:t>
        </m:r>
      </m:oMath>
      <w:r>
        <w:rPr>
          <w:sz w:val="24"/>
        </w:rPr>
        <w:tab/>
        <w:t>(14)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(T;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)=H(T−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)−H(−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),</m:t>
        </m:r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π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</m:oMath>
      <w:r>
        <w:rPr>
          <w:sz w:val="24"/>
        </w:rPr>
        <w:tab/>
        <w:t>(15)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ν(T)=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rPr>
            <m:sty m:val="p"/>
          </m:rPr>
          <m:t>arctan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  <m:r>
          <w:rPr>
            <w:rFonts w:ascii="Cambria Math" w:hAnsi="Cambria Math"/>
            <w:sz w:val="24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τT/2</m:t>
            </m:r>
          </m:num>
          <m:den>
            <m:r>
              <w:rPr>
                <w:rFonts w:ascii="Cambria Math" w:hAnsi="Cambria Math"/>
                <w:sz w:val="24"/>
              </w:rPr>
              <m:t>(T/2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]</m:t>
        </m:r>
      </m:oMath>
      <w:r>
        <w:rPr>
          <w:sz w:val="24"/>
        </w:rPr>
        <w:tab/>
        <w:t>(16)</w:t>
      </w:r>
    </w:p>
    <w:p>
      <w:pPr>
        <w:widowControl/>
      </w:pPr>
      <w:r>
        <w:t>При заданных параметрах E∞ = 31,415927 Па²·с, Eₛ(T) = 31,406921 Па²·с, ν = 0,999713354. В окне содержится 99,971335 % полной энергии. Относительное расхождение аналитической и численной энергий равно 1.131e-11. Численно рассчитанная оконная энергия уже учитывает хвосты за границами; повторное умножение на ν недопустимо.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s,m</m:t>
            </m:r>
          </m:sub>
        </m:sSub>
        <m:r>
          <w:rPr>
            <w:rFonts w:ascii="Cambria Math" w:hAnsi="Cambria Math"/>
            <w:sz w:val="24"/>
          </w:rPr>
          <m:t>=H(T−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)−H(−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sz w:val="24"/>
        </w:rPr>
        <w:tab/>
        <w:t>(17)</w:t>
      </w:r>
    </w:p>
    <w:p>
      <w:pPr>
        <w:widowControl/>
      </w:pPr>
      <w:r>
        <w:t>В программе этот же результат получается интегрированием P²(u) по сдвинутому вектору u = t − dₘ, то есть на [−dₘ; T − dₘ]. Для текущих задержек энергии трёх каналов давления равны 31,40691924; 31,40692102; 31,40691745 Па²·с. Различие мало благодаря расположению импульса вдали от границ.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09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ns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0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2 — Импульсы в каналах давления трёх АВП с учётом задержек</w:t>
      </w:r>
    </w:p>
    <w:p>
      <w:pPr>
        <w:widowControl/>
      </w:pPr>
      <w:r>
        <w:t>При базовом SNR = 2 среднеквадратический уровень шума для опорного импульса составляет σ = 3,717584 Па. На рисунке ниже использован отдельный демонстрационный seed = 42, сохранённый из исходной ячейки notebook.ipynb. Статистические эксперименты далее используют seed = 10.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52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i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5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3 — Импульс без шума и с гауссовским шумом при энергетическом SNR = 2</w:t>
      </w:r>
    </w:p>
    <w:p>
      <w:pPr>
        <w:pStyle w:val="Heading2"/>
      </w:pPr>
      <w:r>
        <w:t>4 Частотный спектр импульса</w:t>
      </w:r>
    </w:p>
    <w:p>
      <w:pPr>
        <w:widowControl/>
      </w:pPr>
      <w:r>
        <w:t>Чтобы исключить неоднозначность коэффициентов нормировки, определим прямое преобразование Фурье с частотой f в герцах: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limUpp>
          <m:e>
            <m:r>
              <w:rPr>
                <w:rFonts w:ascii="Cambria Math" w:hAnsi="Cambria Math"/>
                <w:sz w:val="24"/>
              </w:rPr>
              <m:t>P</m:t>
            </m:r>
          </m:e>
          <m:lim>
            <m:r>
              <w:rPr>
                <w:rFonts w:ascii="Cambria Math" w:hAnsi="Cambria Math"/>
                <w:sz w:val="24"/>
              </w:rPr>
              <m:t>~</m:t>
            </m:r>
          </m:lim>
        </m:limUpp>
        <m:r>
          <w:rPr>
            <w:rFonts w:ascii="Cambria Math" w:hAnsi="Cambria Math"/>
            <w:sz w:val="24"/>
          </w:rPr>
          <m:t>(f)=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−∞</m:t>
            </m:r>
          </m:sub>
          <m:sup>
            <m:r>
              <w:rPr>
                <w:rFonts w:ascii="Cambria Math" w:hAnsi="Cambria Math"/>
                <w:sz w:val="24"/>
              </w:rPr>
              <m:t>∞</m:t>
            </m:r>
          </m:sup>
          <m:e/>
        </m:nary>
        <m:r>
          <w:rPr>
            <w:rFonts w:ascii="Cambria Math" w:hAnsi="Cambria Math"/>
            <w:sz w:val="24"/>
          </w:rPr>
          <m:t>P(t)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−i2πft</m:t>
            </m:r>
          </m:sup>
        </m:sSup>
        <m:r>
          <w:rPr>
            <w:rFonts w:ascii="Cambria Math" w:hAnsi="Cambria Math"/>
            <w:sz w:val="24"/>
          </w:rPr>
          <m:t>dt</m:t>
        </m:r>
      </m:oMath>
      <w:r>
        <w:rPr>
          <w:sz w:val="24"/>
        </w:rPr>
        <w:tab/>
        <w:t>(18)</w:t>
      </w:r>
    </w:p>
    <w:p>
      <w:pPr>
        <w:widowControl/>
      </w:pPr>
      <w:r>
        <w:t>После замены x = t − tс используется интеграл от τ/(τ² + x²): при замыкании контура в соответствующей полуплоскости его полюсы x = ±iτ дают множитель π exp(−2πτ|f|). Поэтому для полной временной оси получаем: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(f)=πA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−2πτ|f|</m:t>
            </m:r>
          </m:sup>
        </m:sSup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−i2πf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</m:sup>
        </m:sSup>
      </m:oMath>
      <w:r>
        <w:rPr>
          <w:sz w:val="24"/>
        </w:rPr>
        <w:tab/>
        <w:t>(19)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|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(f)|=π|A|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−2πτ|f|</m:t>
            </m:r>
          </m:sup>
        </m:sSup>
      </m:oMath>
      <w:r>
        <w:rPr>
          <w:sz w:val="24"/>
        </w:rPr>
        <w:tab/>
        <w:t>(20)</w:t>
      </w:r>
    </w:p>
    <w:p>
      <w:pPr>
        <w:widowControl/>
      </w:pPr>
      <w:r>
        <w:t>Сдвиг центра меняет фазу на −2πftс, но сохраняет модуль спектра полной формы. Модуль максимален при f = 0 и экспоненциально убывает с ростом |f|; широкой полосе соответствует меньшая τ. Энергетическая спектральная плотность равна |P̃∞(f)|², тогда как исходный ноутбук строит модуль |P̃(f)|. Это разные величины.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−∞</m:t>
            </m:r>
          </m:sub>
          <m:sup>
            <m:r>
              <w:rPr>
                <w:rFonts w:ascii="Cambria Math" w:hAnsi="Cambria Math"/>
                <w:sz w:val="24"/>
              </w:rPr>
              <m:t>∞</m:t>
            </m:r>
          </m:sup>
          <m:e/>
        </m:nary>
        <m:r>
          <w:rPr>
            <w:rFonts w:ascii="Cambria Math" w:hAnsi="Cambria Math"/>
            <w:sz w:val="24"/>
          </w:rPr>
          <m:t>|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</m:t>
        </m:r>
        <m:sSup>
          <m:e>
            <m:r>
              <w:rPr>
                <w:rFonts w:ascii="Cambria Math" w:hAnsi="Cambria Math"/>
                <w:sz w:val="24"/>
              </w:rPr>
              <m:t>|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df=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π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  <m:r>
          <w:rPr>
            <w:rFonts w:ascii="Cambria Math" w:hAnsi="Cambria Math"/>
            <w:sz w:val="24"/>
          </w:rPr>
          <m:t>=</m:t>
        </m:r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</m:oMath>
      <w:r>
        <w:rPr>
          <w:sz w:val="24"/>
        </w:rPr>
        <w:tab/>
        <w:t>(21)</w:t>
      </w:r>
    </w:p>
    <w:p>
      <w:pPr>
        <w:widowControl/>
      </w:pPr>
      <w:r>
        <w:t>Равенство Парсеваля подтверждает согласованность спектральной нормировки и полной энергии. Однако программа наблюдает только прямоугольное окно [0; T]. Умножение на окно во времени соответствует свёртке спектров в частотной области: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(f)=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(f)*</m:t>
        </m:r>
        <m:sSub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(f)</m:t>
        </m:r>
      </m:oMath>
      <w:r>
        <w:rPr>
          <w:sz w:val="24"/>
        </w:rPr>
        <w:tab/>
        <w:t>(22)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(f)=T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−iπfT</m:t>
            </m:r>
          </m:sup>
        </m:sSup>
        <m:r>
          <w:rPr>
            <w:rFonts w:ascii="Cambria Math" w:hAnsi="Cambria Math"/>
            <w:sz w:val="24"/>
          </w:rPr>
          <m:t>sinc(fT),</m:t>
        </m:r>
        <m:r>
          <w:rPr>
            <w:rFonts w:ascii="Cambria Math" w:hAnsi="Cambria Math"/>
            <w:sz w:val="24"/>
          </w:rPr>
          <m:t>sinc(x)=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4"/>
              </w:rPr>
              <m:t>(πx)</m:t>
            </m:r>
          </m:num>
          <m:den>
            <m:r>
              <w:rPr>
                <w:rFonts w:ascii="Cambria Math" w:hAnsi="Cambria Math"/>
                <w:sz w:val="24"/>
              </w:rPr>
              <m:t>πx</m:t>
            </m:r>
          </m:den>
        </m:f>
      </m:oMath>
      <w:r>
        <w:rPr>
          <w:sz w:val="24"/>
        </w:rPr>
        <w:tab/>
        <w:t>(23)</w:t>
      </w:r>
    </w:p>
    <w:p>
      <w:pPr>
        <w:widowControl/>
      </w:pPr>
      <w:r>
        <w:t>Функция calculate_freq_spectr выполняет FFT, делит результат на fₛ и применяет fftshift с последующим взятием модуля. Деление на fₛ эквивалентно множителю Δt и приближает интегральное преобразование, поэтому единица вертикальной оси — Па·с. Шаг частот ДПФ равен fₛ/N = 0,88 Гц, а не 1/T; длительность T здесь определяется крайними отсчётами, тогда как период записи ДПФ равен N/fₛ.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Sup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  <m:sup>
            <m:r>
              <w:rPr>
                <w:rFonts w:ascii="Cambria Math" w:hAnsi="Cambria Math"/>
                <w:sz w:val="24"/>
              </w:rPr>
              <m:t>(d)</m:t>
            </m:r>
          </m:sup>
        </m:sSubSup>
        <m:r>
          <w:rPr>
            <w:rFonts w:ascii="Cambria Math" w:hAnsi="Cambria Math"/>
            <w:sz w:val="24"/>
          </w:rPr>
          <m:t>=Δt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n=0</m:t>
            </m:r>
          </m:sub>
          <m:sup>
            <m:r>
              <w:rPr>
                <w:rFonts w:ascii="Cambria Math" w:hAnsi="Cambria Math"/>
                <w:sz w:val="24"/>
              </w:rPr>
              <m:t>N−1</m:t>
            </m:r>
          </m:sup>
          <m:e/>
        </m:nary>
        <m:sSub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−i2πkn/N</m:t>
            </m:r>
          </m:sup>
        </m:sSup>
      </m:oMath>
      <w:r>
        <w:rPr>
          <w:sz w:val="24"/>
        </w:rPr>
        <w:tab/>
        <w:t>(24)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94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ectrum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9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4 — Модуль спектра конечной записи и аналитический спектр полной формы; справа логарифмическая шкала</w:t>
      </w:r>
    </w:p>
    <w:p>
      <w:pPr>
        <w:widowControl/>
      </w:pPr>
      <w:r>
        <w:t>В нуле аналитический спектр полной формы равен πA = 3,141593 Па·с. Для конечного окна интеграл P(t) равен 2A arctan[T/(2τ)] = 2,966027 Па·с; ДПФ даёт 2,966045 Па·с. Их небольшое различие обусловлено прямоугольными весами ДПФ вместо трапеций. Отклонение от πA существенно больше, поскольку площадь хвостов P(t) убывает медленнее, чем энергия хвостов P²(t). Поэтому близость ν к единице не означает точного совпадения модулей спектров во всех частотных точках.</w:t>
      </w:r>
    </w:p>
    <w:p>
      <w:pPr>
        <w:widowControl/>
      </w:pPr>
      <w:r>
        <w:t>Для низкочастотного приближения важно учитывать отсутствие строгой верхней границы спектра импульса. Вместо неё можно ввести симметричную полосу, содержащую 99 % энергии полной формы: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f>
          <m:fPr>
            <m:type m:val="bar"/>
          </m:fPr>
          <m:num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  <w:sz w:val="24"/>
                  </w:rPr>
                  <m:t>−F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F</m:t>
                </m:r>
              </m:sup>
              <m:e/>
            </m:nary>
            <m:r>
              <w:rPr>
                <w:rFonts w:ascii="Cambria Math" w:hAnsi="Cambria Math"/>
                <w:sz w:val="24"/>
              </w:rPr>
              <m:t>|</m:t>
            </m:r>
            <m:sSub>
              <m:e>
                <m:limUpp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</w:rPr>
                      <m:t>~</m:t>
                    </m:r>
                  </m:lim>
                </m:limUpp>
              </m:e>
              <m:sub>
                <m:r>
                  <w:rPr>
                    <w:rFonts w:ascii="Cambria Math" w:hAnsi="Cambria Math"/>
                    <w:sz w:val="24"/>
                  </w:rPr>
                  <m:t>∞</m:t>
                </m:r>
              </m:sub>
            </m:sSub>
            <m:r>
              <w:rPr>
                <w:rFonts w:ascii="Cambria Math" w:hAnsi="Cambria Math"/>
                <w:sz w:val="24"/>
              </w:rPr>
              <m:t>(f)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|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df</m:t>
            </m:r>
          </m:num>
          <m:den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∞</m:t>
                </m:r>
              </m:sub>
            </m:sSub>
          </m:den>
        </m:f>
        <m:r>
          <w:rPr>
            <w:rFonts w:ascii="Cambria Math" w:hAnsi="Cambria Math"/>
            <w:sz w:val="24"/>
          </w:rPr>
          <m:t>=1−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−4πτF</m:t>
            </m:r>
          </m:sup>
        </m:sSup>
      </m:oMath>
      <w:r>
        <w:rPr>
          <w:sz w:val="24"/>
        </w:rPr>
        <w:tab/>
        <w:t>(25)</w:t>
      </w:r>
    </w:p>
    <w:p>
      <w:pPr>
        <w:widowControl/>
      </w:pPr>
      <w:r>
        <w:t>Отсюда F₉₉ = ln(100)/(4πτ) = 7,329356 Гц. Для этой границы c/(2RF₉₉) = 13,644, то есть превышает 10. Это энергетическое обоснование принятого приближения; спектральный хвост за F₉₉ при этом сохраняется. Для синусоиды f₀ = 10 Гц параметр c/(2Rf₀) точно равен 10.</w:t>
      </w:r>
    </w:p>
    <w:p>
      <w:pPr>
        <w:pStyle w:val="Heading2"/>
      </w:pPr>
      <w:r>
        <w:t>5 Оценивание азимута и сравнение с синусоидой</w:t>
      </w:r>
    </w:p>
    <w:p>
      <w:pPr>
        <w:widowControl/>
      </w:pPr>
      <w:r>
        <w:t>Каналы АВП формируются по модели y₀⁽ᵐ⁾ = Pₘ + e₀⁽ᵐ⁾, y₁⁽ᵐ⁾ = Pₘ cos φ₀ + e₁⁽ᵐ⁾, y₂⁽ᵐ⁾ = Pₘ sin φ₀ + e₂⁽ᵐ⁾. Шумы независимы между датчиками, каналами и реализациями. Матрица X содержит 3M строк каналов и N столбцов отсчётов.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W=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X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rPr>
                    <m:scr m:val="sans-serif"/>
                    <m:sty m:val="p"/>
                  </m:rPr>
                  <m:t>T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a(φ)=[1,</m:t>
        </m:r>
        <m:r>
          <w:rPr>
            <w:rFonts w:ascii="Cambria Math" w:hAnsi="Cambria Math"/>
            <w:sz w:val="24"/>
          </w:rPr>
          <m:rPr>
            <m:sty m:val="p"/>
          </m:rPr>
          <m:t>cos</m:t>
        </m:r>
        <m:r>
          <w:rPr>
            <w:rFonts w:ascii="Cambria Math" w:hAnsi="Cambria Math"/>
            <w:sz w:val="24"/>
          </w:rPr>
          <m:t>φ,</m:t>
        </m:r>
        <m:r>
          <w:rPr>
            <w:rFonts w:ascii="Cambria Math" w:hAnsi="Cambria Math"/>
            <w:sz w:val="24"/>
          </w:rPr>
          <m:rPr>
            <m:sty m:val="p"/>
          </m:rPr>
          <m:t>sin</m:t>
        </m:r>
        <m:r>
          <w:rPr>
            <w:rFonts w:ascii="Cambria Math" w:hAnsi="Cambria Math"/>
            <w:sz w:val="24"/>
          </w:rPr>
          <m:t>φ,…</m:t>
        </m:r>
        <m:sSup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rPr>
                <m:scr m:val="sans-serif"/>
                <m:sty m:val="p"/>
              </m:rPr>
              <m:t>T</m:t>
            </m:r>
          </m:sup>
        </m:sSup>
      </m:oMath>
      <w:r>
        <w:rPr>
          <w:sz w:val="24"/>
        </w:rPr>
        <w:tab/>
        <w:t>(26)</w:t>
      </w:r>
    </w:p>
    <w:p>
      <w:pPr>
        <w:widowControl/>
      </w:pPr>
      <w:r>
        <w:t>Матрица W в исходном коде является матрицей вторых моментов без вычитания временного среднего. Для импульса с ненулевым средним это существенно: замена на центрированную ковариацию изменила бы постановку эксперимента. В направляющем векторе задержки не учитываются — применяется низкочастотное приближение исходной модели.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B(φ)=</m:t>
        </m:r>
        <m:sSup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rPr>
                <m:scr m:val="sans-serif"/>
                <m:sty m:val="p"/>
              </m:rPr>
              <m:t>T</m:t>
            </m:r>
          </m:sup>
        </m:sSup>
        <m:r>
          <w:rPr>
            <w:rFonts w:ascii="Cambria Math" w:hAnsi="Cambria Math"/>
            <w:sz w:val="24"/>
          </w:rPr>
          <m:t>(φ)Wa(φ)</m:t>
        </m:r>
      </m:oMath>
      <w:r>
        <w:rPr>
          <w:sz w:val="24"/>
        </w:rPr>
        <w:tab/>
        <w:t>(27)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C(φ)=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rPr>
                    <m:scr m:val="sans-serif"/>
                    <m:sty m:val="p"/>
                  </m:rPr>
                  <m:t>T</m:t>
                </m:r>
              </m:sup>
            </m:sSup>
            <m:r>
              <w:rPr>
                <w:rFonts w:ascii="Cambria Math" w:hAnsi="Cambria Math"/>
                <w:sz w:val="24"/>
              </w:rPr>
              <m:t>(φ)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−1</m:t>
                </m:r>
              </m:sup>
            </m:sSup>
            <m:r>
              <w:rPr>
                <w:rFonts w:ascii="Cambria Math" w:hAnsi="Cambria Math"/>
                <w:sz w:val="24"/>
              </w:rPr>
              <m:t>a(φ)</m:t>
            </m:r>
          </m:den>
        </m:f>
      </m:oMath>
      <w:r>
        <w:rPr>
          <w:sz w:val="24"/>
        </w:rPr>
        <w:tab/>
        <w:t>(28)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limUpp>
          <m:e>
            <m:r>
              <w:rPr>
                <w:rFonts w:ascii="Cambria Math" w:hAnsi="Cambria Math"/>
                <w:sz w:val="24"/>
              </w:rPr>
              <m:t>φ</m:t>
            </m:r>
          </m:e>
          <m:lim>
            <m:r>
              <w:rPr>
                <w:rFonts w:ascii="Cambria Math" w:hAnsi="Cambria Math"/>
                <w:sz w:val="24"/>
              </w:rPr>
              <m:t>^</m:t>
            </m:r>
          </m:lim>
        </m:limUpp>
        <m:r>
          <w:rPr>
            <w:rFonts w:ascii="Cambria Math" w:hAnsi="Cambria Math"/>
            <w:sz w:val="24"/>
          </w:rPr>
          <m:t>=</m:t>
        </m:r>
        <m:limLow>
          <m:e>
            <m:r>
              <w:rPr>
                <w:rFonts w:ascii="Cambria Math" w:hAnsi="Cambria Math"/>
                <w:sz w:val="24"/>
              </w:rPr>
              <m:t>argmax</m:t>
            </m:r>
          </m:e>
          <m:lim>
            <m:r>
              <w:rPr>
                <w:rFonts w:ascii="Cambria Math" w:hAnsi="Cambria Math"/>
                <w:sz w:val="24"/>
              </w:rPr>
              <m:t>φ∈Φ</m:t>
            </m:r>
          </m:lim>
        </m:limLow>
        <m:r>
          <w:rPr>
            <w:rFonts w:ascii="Cambria Math" w:hAnsi="Cambria Math"/>
            <w:sz w:val="24"/>
          </w:rPr>
          <m:t>B(φ)</m:t>
        </m:r>
        <m:r>
          <w:rPr>
            <w:rFonts w:ascii="Cambria Math" w:hAnsi="Cambria Math"/>
            <w:sz w:val="24"/>
          </w:rPr>
          <m:rPr>
            <m:nor/>
          </m:rPr>
          <m:t>или</m:t>
        </m:r>
        <m:limLow>
          <m:e>
            <m:r>
              <w:rPr>
                <w:rFonts w:ascii="Cambria Math" w:hAnsi="Cambria Math"/>
                <w:sz w:val="24"/>
              </w:rPr>
              <m:t>argmax</m:t>
            </m:r>
          </m:e>
          <m:lim>
            <m:r>
              <w:rPr>
                <w:rFonts w:ascii="Cambria Math" w:hAnsi="Cambria Math"/>
                <w:sz w:val="24"/>
              </w:rPr>
              <m:t>φ∈Φ</m:t>
            </m:r>
          </m:lim>
        </m:limLow>
        <m:r>
          <w:rPr>
            <w:rFonts w:ascii="Cambria Math" w:hAnsi="Cambria Math"/>
            <w:sz w:val="24"/>
          </w:rPr>
          <m:t>C(φ)</m:t>
        </m:r>
      </m:oMath>
      <w:r>
        <w:rPr>
          <w:sz w:val="24"/>
        </w:rPr>
        <w:tab/>
        <w:t>(29)</w:t>
      </w:r>
    </w:p>
    <w:p>
      <w:pPr>
        <w:widowControl/>
      </w:pPr>
      <w:r>
        <w:t>В реализации используются обычная обратная матрица для Кейпона и дискретный поиск максимума. Диагональная нагрузка и интерполяция максимума не добавлялись. Половина шага угловой сетки составляет около 0,02865°; это масштаб квантования, но не гарантированная граница полной ошибки при наличии шума. Метод MUSIC не включён, поскольку в текущих расчётных функциях и ноутбуках он не реализован.</w:t>
      </w:r>
    </w:p>
    <w:p>
      <w:pPr>
        <w:widowControl/>
      </w:pPr>
      <w:r>
        <w:t>Сигнал сравнения имеет вид Pₛ(t) = Aₛ sin(2πf₀t). Для обоих сигналов оставлены одинаковые окно, решётка, угловая сетка и целевой энергетический SNR; шум масштабируется отдельно по фактической энергии каждого сигнала. Это сравнение при равном SNR, а не при одинаковой пиковой амплитуде, одинаковой энергии или одной общей абсолютной дисперсии шума.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Величина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Импульс Лоренца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Синусоида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Энергия в окне, Па²·с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31,406921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0,572055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Максимальная амплитуда, Па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СКО шума при SNR = 2, Па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3,717584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0,501726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Центр / частота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tс = 0,568125 с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f₀ = 10 Гц</w:t>
            </w:r>
          </w:p>
        </w:tc>
      </w:tr>
    </w:tbl>
    <w:p>
      <w:pPr>
        <w:pStyle w:val="Heading2"/>
      </w:pPr>
      <w:r>
        <w:t>5.1 Оценки для одной реализации</w:t>
      </w:r>
    </w:p>
    <w:p>
      <w:pPr>
        <w:widowControl/>
      </w:pPr>
      <w:r>
        <w:t>В этой проверке для каждого типа сигнала заново создаётся генератор с seed = 10. Оба метода обрабатывают одну матрицу наблюдений данного сигнала. Стандартизованные шумы между типами сигналов одинаковы, но их абсолютный масштаб различается вследствие энергетической нормировки.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98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irect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5 — Нормированные диаграммы Бартлетта и Кейпона при SNR =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Сигнал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Оценка, град.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Ошибка, град.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44,921216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-0,078784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44,921216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-0,078784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45,207703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0,207703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45,207703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0,207703</w:t>
            </w:r>
          </w:p>
        </w:tc>
      </w:tr>
    </w:tbl>
    <w:p>
      <w:pPr>
        <w:widowControl/>
      </w:pPr>
      <w:r>
        <w:t>Диаграммы разделены на собственные максимумы; это сохраняет положения оценок. Более узкий максимум Кейпона сам по себе не доказывает меньшую дисперсию ошибки. Совпадение оценок двух методов в этой реализации означает совпадение выбранного узла сетки, а не тождественность алгоритмов. Одной реализации недостаточно для вывода о сравнительной точности.</w:t>
      </w:r>
    </w:p>
    <w:p>
      <w:pPr>
        <w:pStyle w:val="Heading2"/>
      </w:pPr>
      <w:r>
        <w:t>5.2 Статистический эксперимент</w:t>
      </w:r>
    </w:p>
    <w:p>
      <w:pPr>
        <w:widowControl/>
      </w:pPr>
      <w:r>
        <w:t>Для каждого типа сигнала, метода и значения SNR выполнено K = 100 реализаций. В каждой паре «сигнал — метод» генератор независимо инициализируется seed = 10 и последовательно расходуется по SNR в возрастающем порядке. Таким образом, сравниваемые методы используют одинаковые шумовые последовательности; объекты конфигурации и генераторы не разделяются между методами. Это устраняет зависимость сравнения от порядка вызова restart_rng в исходном report.ipynb.</w:t>
      </w:r>
    </w:p>
    <w:p>
      <w:pPr>
        <w:widowControl/>
      </w:pPr>
      <w:r>
        <w:t>Ошибка приводится к главному круговому интервалу, после чего рассчитываются средняя ошибка, несмещённая выборочная дисперсия и корень средней квадратичной ошибки: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=((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φ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+π)mod2π)−π</m:t>
        </m:r>
      </m:oMath>
      <w:r>
        <w:rPr>
          <w:sz w:val="24"/>
        </w:rPr>
        <w:tab/>
        <w:t>(30)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acc>
          <m:accPr>
            <m:chr m:val="―"/>
          </m:accPr>
          <m:e>
            <m:r>
              <w:rPr>
                <w:rFonts w:ascii="Cambria Math" w:hAnsi="Cambria Math"/>
                <w:sz w:val="24"/>
              </w:rPr>
              <m:t>ε</m:t>
            </m:r>
          </m:e>
        </m:acc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K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k=1</m:t>
            </m:r>
          </m:sub>
          <m:sup>
            <m:r>
              <w:rPr>
                <w:rFonts w:ascii="Cambria Math" w:hAnsi="Cambria Math"/>
                <w:sz w:val="24"/>
              </w:rPr>
              <m:t>K</m:t>
            </m:r>
          </m:sup>
          <m:e/>
        </m:nary>
        <m:sSub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,</m:t>
        </m:r>
        <m:sSubSup>
          <m:e>
            <m:r>
              <w:rPr>
                <w:rFonts w:ascii="Cambria Math" w:hAnsi="Cambria Math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ε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  <w:sz w:val="24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K</m:t>
                </m:r>
              </m:sup>
              <m:e/>
            </m:nary>
            <m:r>
              <w:rPr>
                <w:rFonts w:ascii="Cambria Math" w:hAnsi="Cambria Math"/>
                <w:sz w:val="24"/>
              </w:rPr>
              <m:t>(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</m:sSub>
            <m:r>
              <w:rPr>
                <w:rFonts w:ascii="Cambria Math" w:hAnsi="Cambria Math"/>
                <w:sz w:val="24"/>
              </w:rPr>
              <m:t>−</m:t>
            </m:r>
            <m:acc>
              <m:accPr>
                <m:chr m:val="―"/>
              </m:accPr>
              <m:e>
                <m:r>
                  <w:rPr>
                    <w:rFonts w:ascii="Cambria Math" w:hAnsi="Cambria Math"/>
                    <w:sz w:val="24"/>
                  </w:rPr>
                  <m:t>ε</m:t>
                </m:r>
              </m:e>
            </m:acc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K−1</m:t>
            </m:r>
          </m:den>
        </m:f>
      </m:oMath>
      <w:r>
        <w:rPr>
          <w:sz w:val="24"/>
        </w:rPr>
        <w:tab/>
        <w:t>(31)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rPr>
            <m:sty m:val="p"/>
          </m:rPr>
          <m:t>RMSE</m:t>
        </m:r>
        <m:r>
          <w:rPr>
            <w:rFonts w:ascii="Cambria Math" w:hAnsi="Cambria Math"/>
            <w:sz w:val="24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K</m:t>
                </m:r>
              </m:den>
            </m:f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  <w:sz w:val="24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K</m:t>
                </m:r>
              </m:sup>
              <m:e/>
            </m:nary>
            <m:sSubSup>
              <m:e>
                <m:r>
                  <w:rPr>
                    <w:rFonts w:ascii="Cambria Math" w:hAnsi="Cambria Math"/>
                    <w:sz w:val="24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e>
        </m:rad>
      </m:oMath>
      <w:r>
        <w:rPr>
          <w:sz w:val="24"/>
        </w:rPr>
        <w:tab/>
        <w:t>(32)</w:t>
      </w:r>
    </w:p>
    <w:p>
      <w:pPr>
        <w:widowControl/>
      </w:pPr>
      <w:r>
        <w:t>Различие дисперсии и средней квадратичной ошибки учитывается явно: RMSE² = [(K − 1)/K]s² + ε̄². Для наблюдаемых ошибок вблизи нуля обычные выборочные моменты круговой ошибки содержательно интерпретируемы; результаты не относятся к режиму ошибок, распределённых по всей окружности.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6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atistics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6 — Дисперсия круговой ошибки и RMSE в зависимости от энергетического SNR</w:t>
      </w:r>
    </w:p>
    <w:p>
      <w:pPr>
        <w:widowControl/>
      </w:pPr>
      <w:r>
        <w:t>Ниже приведены опорные точки; полная таблица по всем 11 значениям SNR сохранена в statistics.csv. Дисперсия указана в радианах в квадрате, RMSE — в градусах.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SNR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Сигнал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s², рад²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RMSE, град.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8.6719e-04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1,6896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8.6697e-04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1,6892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1.1461e-03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1,9317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1.1517e-03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1,9366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1.0327e-04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0,5796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1.0270e-04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0,5780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9.9804e-05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0,5705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9.9738e-05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0,5702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3.9413e-05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0,3584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3.9891e-05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0,3604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4.7907e-05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0,3949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4.8097e-05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0,3956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1.7622e-05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0,2400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1.7704e-05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0,2403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2.0128e-05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0,2558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2.0425e-05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0,2577</w:t>
            </w:r>
          </w:p>
        </w:tc>
      </w:tr>
    </w:tbl>
    <w:p>
      <w:pPr>
        <w:widowControl/>
      </w:pPr>
      <w:r>
        <w:t>При увеличении SNR общий уровень ошибки снижается, однако отдельные точки не обязаны быть монотонными из-за конечного числа реализаций. В показанной выборке оценки Бартлетта и Кейпона имеют близкую точность. При SNR = 2 RMSE импульса составляет 0,2400° и 0,2403°, а синусоиды — 0,2558° и 0,2577° соответственно. При SNR = 0,5 импульс в этой выборке немного уступает синусоиде; универсального преимущества формы сигнала результаты не устанавливают.</w:t>
      </w:r>
    </w:p>
    <w:p>
      <w:pPr>
        <w:widowControl/>
      </w:pPr>
      <w:r>
        <w:t>Чтобы оценить неопределённость сравнения в базовой точке SNR = 2, рассчитаны парные процентильные bootstrap-интервалы для отношения дисперсий «импульс / синусоида»: 20000 повторных выборок индексов реализаций с возвращением, отдельный seed = 20261023. Один и тот же набор индексов используется для обоих сигналов, поскольку стандартизованные шумы сопоставлены попарно. Интервалы приближённые и относятся к данной точке, без поправки на множественные сравнения по всей сетке SNR.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Отношение s²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Приближённый 95 % интервал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0,876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[0,563; 1,352]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0,867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[0,562; 1,326]</w:t>
            </w:r>
          </w:p>
        </w:tc>
      </w:tr>
    </w:tbl>
    <w:p>
      <w:pPr>
        <w:widowControl/>
      </w:pPr>
      <w:r>
        <w:t>Оба интервала включают единицу. Поэтому небольшое наблюдаемое различие при SNR = 2 не является достаточным основанием утверждать превосходство импульса над синусоидой по дисперсии. Неопределённость конечной выборки следует отличать от точности вычисления отдельных оценок на заданной угловой сетке.</w:t>
      </w:r>
    </w:p>
    <w:p>
      <w:pPr>
        <w:pStyle w:val="Heading2"/>
      </w:pPr>
      <w:r>
        <w:t>6 Выводы</w:t>
      </w:r>
    </w:p>
    <w:p>
      <w:pPr>
        <w:widowControl/>
      </w:pPr>
      <w:r>
        <w:t>1. Для импульсного сигнала SNR согласован с наблюдаемым окном [0; T] и определяется как Eₛ(T)/(Tσ²). Конечные пределы следуют из доступной записи. Принятый расчёт трапециями обеспечивает точное равенство средней дискретной энергии шума Tσ².</w:t>
      </w:r>
    </w:p>
    <w:p>
      <w:pPr>
        <w:widowControl/>
      </w:pPr>
      <w:r>
        <w:t>2. Положение tс = T/2 максимизирует зарегистрированную энергию опорного импульса и симметрично располагает его хвосты относительно границ окна. При τ = 0,05 с в запись попадает 99,971335 % полной энергии. Пики канальных сигналов находятся в T/2 + dₘ.</w:t>
      </w:r>
    </w:p>
    <w:p>
      <w:pPr>
        <w:widowControl/>
      </w:pPr>
      <w:r>
        <w:t>3. При выбранной нормировке преобразования Фурье модуль спектра полной формы равен π|A|exp(−2πτ|f|). Спектр конечной записи отличается из-за прямоугольного окна; доля энергии ν не определяет относительную ошибку модуля спектра в каждой частотной точке.</w:t>
      </w:r>
    </w:p>
    <w:p>
      <w:pPr>
        <w:widowControl/>
      </w:pPr>
      <w:r>
        <w:t>4. В исследованной конфигурации оба метода восстанавливают азимут вблизи 45°. Для 100 реализаций при SNR = 2 RMSE находится около 0,24° у импульса и 0,26° у синусоиды. Парные bootstrap-интервалы отношения дисперсий включают единицу; устойчивое преимущество одного сигнала или метода по этим данным не установлено.</w:t>
      </w:r>
    </w:p>
    <w:p>
      <w:pPr>
        <w:widowControl/>
      </w:pPr>
      <w:r>
        <w:t>5. Выводы относятся к текущим ширине импульса, длине записи, решётке, белому гауссовскому шуму и направляющему вектору без задержек. Изменение этих условий требует отдельного исследования. Физическая измерительная калибровка и модель окрашенного шума в данном эксперименте не рассматривались.</w:t>
      </w:r>
    </w:p>
    <w:p>
      <w:pPr>
        <w:pStyle w:val="Heading2"/>
      </w:pPr>
      <w:r>
        <w:t>Приложение. Воспроизводимость и сохранность исходного кода</w:t>
      </w:r>
    </w:p>
    <w:p>
      <w:pPr>
        <w:widowControl/>
      </w:pPr>
      <w:r>
        <w:t>Рабочий ноутбук lorentz_research.ipynb содержит выполненные ячейки, графики и числовые результаты. Ячейки исходного notebook.ipynb перенесены с добавлением сохранения рисунков; исходные функции сигнала, энергии, генерации каналов и оценивания использованы без изменений. Статистическая схема report.ipynb развёрнута через list_errors для сохранения отдельных ошибок и вычисления дополнительных статистик; её дисперсии проверены на совпадение с var_vs_params в двух контрольных точках.</w:t>
      </w:r>
    </w:p>
    <w:p>
      <w:pPr>
        <w:widowControl/>
      </w:pPr>
      <w:r>
        <w:t>Все исходные ноутбуки, файлы py_files/*.py, tests/*.py и оба исходных документа проверены по SHA-256 до и после расчёта. Контрольные суммы совпали; пользовательские изменения, существовавшие до работы, сохранены. Манифест проверки находится в source_integrity.json. Временного редактирования исходных файлов не потребовалось.</w:t>
      </w:r>
    </w:p>
    <w:p>
      <w:pPr>
        <w:widowControl/>
      </w:pPr>
      <w:r>
        <w:t>Среда расчёта: Python 3.13.5, NumPy 2.5.4, Matplotlib 3.11.2. Вызов из корня проекта: .env/Scripts/python.exe reports/lorentz_study/run_study.py; затем .env/Scripts/python.exe reports/lorentz_study/build_report.py. Для сборки документа используются python-docx, latex2mathml и таблица преобразования MathML → OMML из установленного Microsoft Office. Формулы в DOCX являются редактируемыми объектами Word.</w:t>
      </w:r>
    </w:p>
    <w:p>
      <w:pPr>
        <w:widowControl/>
      </w:pPr>
      <w:r>
        <w:t>Комплект результатов: results.json — параметры и сводные числа; statistics.csv — полная таблица статистик; errors.json — индивидуальные ошибки; comparison_intervals.json — интервалы отношения дисперсий; figures/ — исходные рисунки PNG. Время исполнения не используется как результат исследования.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fldSimple w:instr="PAGE">
      <w:r>
        <w:rPr>
          <w:rFonts w:ascii="Times New Roman" w:hAnsi="Times New Roman" w:eastAsia="Times New Roman" w:cs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ind w:firstLine="0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cstheme="majorBidi"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pplementSubtitle">
    <w:name w:val="Supplement Subtitle"/>
    <w:pPr>
      <w:keepNext/>
      <w:spacing w:after="120" w:line="360" w:lineRule="auto" w:before="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сигнал шум на конечном интервале наблюдения</dc:title>
  <dc:subject>Дополнение к info.docx: окно наблюдения, доля энергии ν и SNR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