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b/>
        </w:rPr>
        <w:t>ИССЛЕДОВАНИЕ ИМПУЛЬСА ЛОРЕНЦА</w:t>
      </w:r>
    </w:p>
    <w:p>
      <w:pPr>
        <w:widowControl/>
      </w:pPr>
      <w:r>
        <w:t>Параметры: M = 3 АВП; R = 1,7163 м; c = 343,26 м/с; fₛ = 8800 Гц; N = 10000; τ = 0,05 с; истинный азимут φ₀ = 45°. Синусоида сравнения: амплитуда 1 Па, частота 10 Гц.</w:t>
      </w:r>
    </w:p>
    <w:p>
      <w:pPr>
        <w:pStyle w:val="Heading2"/>
      </w:pPr>
      <w:r>
        <w:t>1 Отношение сигнал/шум</w:t>
      </w:r>
    </w:p>
    <w:p>
      <w:pPr>
        <w:widowControl/>
      </w:pPr>
      <w:r>
        <w:t>Отношение SNR задаётся через энергию сигнала и математическое ожидание энергии шума на одном интервале наблюдения:</w:t>
      </w:r>
    </w:p>
    <w:p>
      <w:pPr>
        <w:keepLines/>
        <w:spacing w:line="240" w:lineRule="auto" w:before="100" w:after="100"/>
        <w:ind w:firstLine="0"/>
        <w:jc w:val="center"/>
        <w:rPr>
          <w:rFonts w:ascii="Cambria Math" w:hAnsi="Cambria Math"/>
          <w:sz w:val="28"/>
          <w:szCs w:val="28"/>
        </w:rPr>
      </w:pPr>
      <m:oMathPara>
        <m:oMathParaPr>
          <m:jc m:val="center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SNR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type m:val="bar"/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(T)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𝔼[</m:t>
              </m:r>
              <m:sSub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(T)]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type m:val="bar"/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nary>
                <m:naryPr>
                  <m:chr m:val="∫"/>
                  <m:limLoc m:val="subSup"/>
                  <m:grow m:val="1"/>
                  <m:subHide m:val="off"/>
                  <m:supHide m:val="off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argPr>
                    <m:scrLvl m:val="0"/>
                  </m:argPr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argPr>
                    <m:scrLvl m:val="0"/>
                  </m:argPr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  <m:e>
                  <m:argPr>
                    <m:scrLvl m:val="0"/>
                  </m:argPr>
                </m:e>
              </m:nary>
              <m:sSup>
                <m:e>
                  <m:argPr>
                    <m:scrLvl m:val="0"/>
                  </m:argPr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p>
                  <m:argPr>
                    <m:scrLvl m:val="0"/>
                  </m:argP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(t)</m:t>
              </m:r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  <m:s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>
      <w:pPr>
        <w:widowControl/>
      </w:pPr>
      <w:r>
        <w:t>Здесь σ² — дисперсия гауссовских шумовых отсчётов. Для принятого расчёта методом трапеций средняя энергия шума равна Tσ². Длительность записи определяется первым и последним отсчётами:</w:t>
      </w:r>
    </w:p>
    <w:p>
      <w:pPr>
        <w:keepLines/>
        <w:spacing w:line="240" w:lineRule="auto" w:before="100" w:after="100"/>
        <w:ind w:firstLine="0"/>
        <w:jc w:val="center"/>
        <w:rPr>
          <w:rFonts w:ascii="Cambria Math" w:hAnsi="Cambria Math"/>
          <w:sz w:val="28"/>
          <w:szCs w:val="28"/>
        </w:rPr>
      </w:pPr>
      <m:oMathPara>
        <m:oMathParaPr>
          <m:jc m:val="center"/>
        </m:oMathParaPr>
        <m:oMath xmlns:mml="http://www.w3.org/1998/Math/MathML">
          <m:r>
            <w:rPr>
              <w:rFonts w:ascii="Cambria Math" w:hAnsi="Cambria Math"/>
              <w:sz w:val="28"/>
              <w:szCs w:val="28"/>
            </w:rPr>
            <m:t>T=</m:t>
          </m:r>
          <m:f>
            <m:fPr>
              <m:type m:val="bar"/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N−1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=1</m:t>
          </m:r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>13625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с</m:t>
          </m:r>
        </m:oMath>
      </m:oMathPara>
    </w:p>
    <w:p>
      <w:pPr>
        <w:widowControl/>
      </w:pPr>
      <w:r>
        <w:t>Интегрируем от 0 до T, поскольку алгоритм обрабатывает только эту запись. Хвосты импульса вне окна в расчёт SNR не входят. Уровень шума задаётся по фактической энергии в окне:</w:t>
      </w:r>
    </w:p>
    <w:p>
      <w:pPr>
        <w:keepLines/>
        <w:spacing w:line="240" w:lineRule="auto" w:before="100" w:after="100"/>
        <w:ind w:firstLine="0"/>
        <w:jc w:val="center"/>
        <w:rPr>
          <w:rFonts w:ascii="Cambria Math" w:hAnsi="Cambria Math"/>
          <w:sz w:val="28"/>
          <w:szCs w:val="28"/>
        </w:rPr>
      </w:pPr>
      <m:oMathPara>
        <m:oMathParaPr>
          <m:jc m:val="center"/>
        </m:oMathParaPr>
        <m:oMath xmlns:mml="http://www.w3.org/1998/Math/MathML">
          <m:r>
            <w:rPr>
              <w:rFonts w:ascii="Cambria Math" w:hAnsi="Cambria Math"/>
              <w:sz w:val="28"/>
              <w:szCs w:val="28"/>
            </w:rPr>
            <m:t>σ=</m:t>
          </m:r>
          <m:rad>
            <m:radPr>
              <m:degHide m:val="on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f>
                <m:fPr>
                  <m:type m:val="bar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b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(T)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SNR</m:t>
                  </m:r>
                </m:den>
              </m:f>
            </m:e>
          </m:rad>
        </m:oMath>
      </m:oMathPara>
    </w:p>
    <w:p>
      <w:pPr>
        <w:pStyle w:val="Heading2"/>
      </w:pPr>
      <w:r>
        <w:t>2 Импульс и положение его центра</w:t>
      </w:r>
    </w:p>
    <w:p>
      <w:pPr>
        <w:keepLines/>
        <w:spacing w:line="240" w:lineRule="auto" w:before="100" w:after="100"/>
        <w:ind w:firstLine="0"/>
        <w:jc w:val="center"/>
        <w:rPr>
          <w:rFonts w:ascii="Cambria Math" w:hAnsi="Cambria Math"/>
          <w:sz w:val="28"/>
          <w:szCs w:val="28"/>
        </w:rPr>
      </w:pPr>
      <m:oMathPara>
        <m:oMathParaPr>
          <m:jc m:val="center"/>
        </m:oMathParaPr>
        <m:oMath xmlns:mml="http://www.w3.org/1998/Math/MathML">
          <m:r>
            <w:rPr>
              <w:rFonts w:ascii="Cambria Math" w:hAnsi="Cambria Math"/>
              <w:sz w:val="28"/>
              <w:szCs w:val="28"/>
            </w:rPr>
            <m:t>P(t)=</m:t>
          </m:r>
          <m:f>
            <m:fPr>
              <m:type m:val="bar"/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Aτ</m:t>
              </m:r>
            </m:num>
            <m:den>
              <m:s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+(t−</m:t>
              </m:r>
              <m:sSub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sub>
              </m:sSub>
              <m:s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,</m:t>
          </m:r>
          <m:sSub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type m:val="bar"/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</m:oMath>
      </m:oMathPara>
    </w:p>
    <w:p>
      <w:pPr>
        <w:widowControl/>
      </w:pPr>
      <w:r>
        <w:t>В расчёте A = 1 Па·с, поэтому высота пика A/τ = 20 Па. Параметр τ — половина ширины на половине максимума; полная ширина равна 0,1 с. Центр tс = 0,568125 с.</w:t>
      </w:r>
    </w:p>
    <w:p>
      <w:pPr>
        <w:widowControl/>
      </w:pPr>
      <w:r>
        <w:t>Положение T/2 даёт одинаковый запас до границ окна. Для симметричного импульса, убывающего от центра, оно максимизирует энергию в записи. При заданных параметрах в окно попадает 99,9713 % полной энергии. На m-м АВП сигнал P(t − dₘ) имеет центр tс + dₘ, где dₘ — задержка распространения.</w:t>
      </w:r>
    </w:p>
    <w:p>
      <w:r>
        <w:br w:type="page"/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88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pul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88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line="240" w:lineRule="auto" w:after="80"/>
        <w:jc w:val="center"/>
      </w:pPr>
      <w:r>
        <w:rPr>
          <w:i w:val="0"/>
          <w:sz w:val="24"/>
        </w:rPr>
        <w:t>Рисунок 1 — Импульс Лоренца с центром T/2</w:t>
      </w:r>
    </w:p>
    <w:p>
      <w:pPr>
        <w:pStyle w:val="Heading2"/>
      </w:pPr>
      <w:r>
        <w:t>3 Спектр импульса</w:t>
      </w:r>
    </w:p>
    <w:p>
      <w:pPr>
        <w:widowControl/>
      </w:pPr>
      <w:r>
        <w:t>Для преобразования Фурье по частоте f в герцах:</w:t>
      </w:r>
    </w:p>
    <w:p>
      <w:pPr>
        <w:keepLines/>
        <w:spacing w:line="240" w:lineRule="auto" w:before="100" w:after="100"/>
        <w:ind w:firstLine="0"/>
        <w:jc w:val="center"/>
        <w:rPr>
          <w:rFonts w:ascii="Cambria Math" w:hAnsi="Cambria Math"/>
          <w:sz w:val="28"/>
          <w:szCs w:val="28"/>
        </w:rPr>
      </w:pPr>
      <m:oMathPara>
        <m:oMathParaPr>
          <m:jc m:val="center"/>
        </m:oMathParaPr>
        <m:oMath xmlns:mml="http://www.w3.org/1998/Math/MathML">
          <m:limUpp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~</m:t>
              </m:r>
            </m:lim>
          </m:limUpp>
          <m:r>
            <w:rPr>
              <w:rFonts w:ascii="Cambria Math" w:hAnsi="Cambria Math"/>
              <w:sz w:val="28"/>
              <w:szCs w:val="28"/>
            </w:rPr>
            <m:t>(f)=</m:t>
          </m:r>
          <m:nary>
            <m:naryPr>
              <m:chr m:val="∫"/>
              <m:limLoc m:val="subSup"/>
              <m:grow m:val="1"/>
              <m:subHide m:val="off"/>
              <m:supHide m:val="off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−∞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/>
          </m:nary>
          <m:r>
            <w:rPr>
              <w:rFonts w:ascii="Cambria Math" w:hAnsi="Cambria Math"/>
              <w:sz w:val="28"/>
              <w:szCs w:val="28"/>
            </w:rPr>
            <m:t>P(t)</m:t>
          </m:r>
          <m:sSup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−i2πft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dt</m:t>
          </m:r>
        </m:oMath>
      </m:oMathPara>
    </w:p>
    <w:p>
      <w:pPr>
        <w:widowControl/>
      </w:pPr>
      <w:r>
        <w:t>Спектр полной импульсной формы и его модуль равны:</w:t>
      </w:r>
    </w:p>
    <w:p>
      <w:pPr>
        <w:keepLines/>
        <w:spacing w:line="240" w:lineRule="auto" w:before="100" w:after="100"/>
        <w:ind w:firstLine="0"/>
        <w:jc w:val="center"/>
        <w:rPr>
          <w:rFonts w:ascii="Cambria Math" w:hAnsi="Cambria Math"/>
          <w:sz w:val="28"/>
          <w:szCs w:val="28"/>
        </w:rPr>
      </w:pPr>
      <m:oMathPara>
        <m:oMathParaPr>
          <m:jc m:val="center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(f)=πA</m:t>
          </m:r>
          <m:sSup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−2πτ|f|</m:t>
              </m:r>
            </m:sup>
          </m:sSup>
          <m:sSup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−i2πf</m:t>
              </m:r>
              <m:sSub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sub>
              </m:sSub>
            </m:sup>
          </m:sSup>
        </m:oMath>
      </m:oMathPara>
    </w:p>
    <w:p>
      <w:pPr>
        <w:keepLines/>
        <w:spacing w:line="240" w:lineRule="auto" w:before="100" w:after="100"/>
        <w:ind w:firstLine="0"/>
        <w:jc w:val="center"/>
        <w:rPr>
          <w:rFonts w:ascii="Cambria Math" w:hAnsi="Cambria Math"/>
          <w:sz w:val="28"/>
          <w:szCs w:val="28"/>
        </w:rPr>
      </w:pPr>
      <m:oMathPara>
        <m:oMathParaPr>
          <m:jc m:val="center"/>
        </m:oMathParaPr>
        <m:oMath xmlns:mml="http://www.w3.org/1998/Math/MathML">
          <m:r>
            <w:rPr>
              <w:rFonts w:ascii="Cambria Math" w:hAnsi="Cambria Math"/>
              <w:sz w:val="28"/>
              <w:szCs w:val="28"/>
            </w:rPr>
            <m:t>|</m:t>
          </m:r>
          <m:sSub>
            <m:e>
              <m:limUp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(f)|=π|A|</m:t>
          </m:r>
          <m:sSup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−2πτ|f|</m:t>
              </m:r>
            </m:sup>
          </m:sSup>
        </m:oMath>
      </m:oMathPara>
    </w:p>
    <w:p>
      <w:pPr>
        <w:widowControl/>
      </w:pPr>
      <w:r>
        <w:t>Сдвиг центра меняет фазу, сохраняя модуль спектра полной формы. Максимум расположен при f = 0; с ростом |f| спектр экспоненциально убывает.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88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spectr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88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line="240" w:lineRule="auto" w:after="80"/>
        <w:jc w:val="center"/>
      </w:pPr>
      <w:r>
        <w:rPr>
          <w:i w:val="0"/>
          <w:sz w:val="24"/>
        </w:rPr>
        <w:t>Рисунок 2 — Модуль спектра: ДПФ записи и аналитическая форма</w:t>
      </w:r>
    </w:p>
    <w:p>
      <w:pPr>
        <w:widowControl/>
      </w:pPr>
      <w:r>
        <w:t>ДПФ нормирована множителем 1/fₛ. Отличие около нуля вызвано конечным окном: ДПФ даёт 2,9660 Па·с, а полная форма — πA ≈ 3,1416 Па·с.</w:t>
      </w:r>
    </w:p>
    <w:p>
      <w:r>
        <w:br w:type="page"/>
      </w:r>
    </w:p>
    <w:p>
      <w:pPr>
        <w:pStyle w:val="Heading2"/>
      </w:pPr>
      <w:r>
        <w:t>4 Оценка азимута и сравнение с синусоидой</w:t>
      </w:r>
    </w:p>
    <w:p>
      <w:pPr>
        <w:widowControl/>
      </w:pPr>
      <w:r>
        <w:t>Методы Бартлетта и Кейпона сравнивались при одинаковом энергетическом SNR, одной решётке и одной записи. Для каждого сигнала шум нормировался по его энергии. На каждую точку SNR выполнено 100 реализаций; seed = 10.</w:t>
      </w:r>
    </w:p>
    <w:p>
      <w:pPr>
        <w:widowControl/>
      </w:pPr>
      <w:r>
        <w:t>Точность характеризуется корнем средней квадратичной ошибки:</w:t>
      </w:r>
    </w:p>
    <w:p>
      <w:pPr>
        <w:keepLines/>
        <w:spacing w:line="240" w:lineRule="auto" w:before="100" w:after="100"/>
        <w:ind w:firstLine="0"/>
        <w:jc w:val="center"/>
        <w:rPr>
          <w:rFonts w:ascii="Cambria Math" w:hAnsi="Cambria Math"/>
          <w:sz w:val="28"/>
          <w:szCs w:val="28"/>
        </w:rPr>
      </w:pPr>
      <m:oMathPara>
        <m:oMathParaPr>
          <m:jc m:val="center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RMSE</m:t>
          </m:r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f>
                <m:fPr>
                  <m:type m:val="bar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den>
              </m:f>
              <m:nary>
                <m:naryPr>
                  <m:chr m:val="∑"/>
                  <m:limLoc m:val="subSup"/>
                  <m:grow m:val="1"/>
                  <m:subHide m:val="off"/>
                  <m:supHide m:val="off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  <m:e/>
              </m:nary>
              <m:sSub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>K=100</m:t>
          </m:r>
        </m:oMath>
      </m:oMathPara>
    </w:p>
    <w:p>
      <w:pPr>
        <w:widowControl/>
      </w:pPr>
      <w:r>
        <w:t>Здесь εₖ — круговая разность оценки и истинного азимута. В таблице приведены оценка для одной реализации при SNR = 2 и RMSE по 100 реализациям при том же SNR.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Сигнал</w:t>
            </w:r>
          </w:p>
        </w:tc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Оценка, град.</w:t>
            </w:r>
          </w:p>
        </w:tc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RMSE, град.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Лоренц</w:t>
            </w:r>
          </w:p>
        </w:tc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Бартлетт</w:t>
            </w:r>
          </w:p>
        </w:tc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44,9212</w:t>
            </w:r>
          </w:p>
        </w:tc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0,2400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Лоренц</w:t>
            </w:r>
          </w:p>
        </w:tc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Кейпон</w:t>
            </w:r>
          </w:p>
        </w:tc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44,9212</w:t>
            </w:r>
          </w:p>
        </w:tc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0,2403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Синусоида</w:t>
            </w:r>
          </w:p>
        </w:tc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Бартлетт</w:t>
            </w:r>
          </w:p>
        </w:tc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45,2077</w:t>
            </w:r>
          </w:p>
        </w:tc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0,2558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Синусоида</w:t>
            </w:r>
          </w:p>
        </w:tc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Кейпон</w:t>
            </w:r>
          </w:p>
        </w:tc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45,2077</w:t>
            </w:r>
          </w:p>
        </w:tc>
        <w:tc>
          <w:tcPr>
            <w:tcW w:type="dxa" w:w="2339"/>
          </w:tcPr>
          <w:p>
            <w:pPr>
              <w:spacing w:line="264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0,2577</w:t>
            </w:r>
          </w:p>
        </w:tc>
      </w:tr>
    </w:tbl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5629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62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line="240" w:lineRule="auto" w:after="80"/>
        <w:jc w:val="center"/>
      </w:pPr>
      <w:r>
        <w:rPr>
          <w:i w:val="0"/>
          <w:sz w:val="24"/>
        </w:rPr>
        <w:t>Рисунок 3 — Ошибка оценки азимута в зависимости от SNR</w:t>
      </w:r>
    </w:p>
    <w:p>
      <w:pPr>
        <w:widowControl/>
      </w:pPr>
      <w:r>
        <w:t>С ростом SNR ошибки в целом уменьшаются. При SNR = 2 RMSE составляет около 0,24° для импульса и 0,26° для синусоиды. Точность методов близка. Небольшая разница между сигналами в этой выборке не доказывает устойчивого преимущества импульса.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fldSimple w:instr="PAGE">
      <w:r>
        <w:rPr>
          <w:rFonts w:ascii="Times New Roman" w:hAnsi="Times New Roman" w:eastAsia="Times New Roman" w:cs="Times New Roman"/>
          <w:sz w:val="2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0" w:before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 w:line="312" w:lineRule="auto"/>
      <w:ind w:firstLine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312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312" w:lineRule="auto" w:before="0"/>
      <w:ind w:firstLine="0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12" w:lineRule="auto" w:before="0" w:after="0"/>
      <w:ind w:firstLine="0"/>
    </w:pPr>
    <w:rPr>
      <w:rFonts w:ascii="Times New Roman" w:hAnsi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pplementSubtitle">
    <w:name w:val="Supplement Subtitle"/>
    <w:pPr>
      <w:keepNext/>
      <w:spacing w:after="120" w:line="360" w:lineRule="auto" w:before="0"/>
      <w:ind w:firstLine="0"/>
      <w:jc w:val="center"/>
    </w:pPr>
    <w:rPr>
      <w:rFonts w:ascii="Times New Roman" w:hAnsi="Times New Roman" w:cs="Times New Roman" w:eastAsia="Times New Roman"/>
      <w:i w:val="0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Отношение сигнал шум на конечном интервале наблюдения</dc:title>
  <dc:subject>Дополнение к info.docx: окно наблюдения, доля энергии ν и SNR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