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ОТНОШЕНИЕ СИГНАЛ ШУМ НА КОНЕЧНОМ ИНТЕРВАЛЕ НАБЛЮДЕНИЯ</w:t>
      </w:r>
    </w:p>
    <w:p>
      <w:pPr>
        <w:pStyle w:val="SupplementSubtitle"/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Дополнение к документу info.docx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В этом дополнении отношение сигнал/шум определяется через энергии сигнала и шума, накопленные на фактически наблюдаемом интервале. Для импульса вводится доля ν: она показывает, какая часть полной энергии импульса попадает в это окно. Такое определение согласуется с конечной временной сеткой программы и позволяет явно учесть положение центра импульса и задержки датчиков.</w:t>
      </w:r>
    </w:p>
    <w:p>
      <w:pPr>
        <w:pStyle w:val="Heading2"/>
        <w:keepNext/>
        <w:spacing w:line="360" w:lineRule="auto" w:before="40" w:after="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Интервал наблюдения в программе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В конфигурации задаются частота дискретизации fₛ = 8800 Гц и число отсчётов N = 10000. Временной вектор начинается с нуля и содержит N отсчётов с шагом Δt. Поэтому последний отсчёт расположен в момент T, а длительность интервала равна разности времён последнего и первого отсчётов.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Δt = 1 / fₛ,    tₙ = nΔt,    n = 0, 1, …, N − 1</m:t>
        </m:r>
      </m:oMath>
      <w:r>
        <w:rPr>
          <w:rFonts w:ascii="Times New Roman" w:hAnsi="Times New Roman"/>
          <w:sz w:val="28"/>
        </w:rPr>
        <w:tab/>
        <w:t>(1)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T = (N − 1)Δt = (N − 1) / fₛ = 9999 / 8800 = 1,13625 с</m:t>
        </m:r>
      </m:oMath>
      <w:r>
        <w:rPr>
          <w:rFonts w:ascii="Times New Roman" w:hAnsi="Times New Roman"/>
          <w:sz w:val="28"/>
        </w:rPr>
        <w:tab/>
        <w:t>(2)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Таким образом, в программе интервал наблюдения составляет [0; T], где T = 1,13625 с. Вычитание единицы в формуле длительности важно: N отсчётов образуют N − 1 промежутков между первым и последним отсчётами.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Параметр center_pulse равен половине длительности окна. Опорная форма импульса симметрична относительно этого момента, поэтому до обеих границ окна остаётся одинаковый временной запас.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 = center_pulse = T / 2 = 0,568125 с</m:t>
        </m:r>
      </m:oMath>
      <w:r>
        <w:rPr>
          <w:rFonts w:ascii="Times New Roman" w:hAnsi="Times New Roman"/>
          <w:sz w:val="28"/>
        </w:rPr>
        <w:tab/>
        <w:t>(3)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P(u) = Aτ / [τ² + (u −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)²]</m:t>
        </m:r>
      </m:oMath>
      <w:r>
        <w:rPr>
          <w:rFonts w:ascii="Times New Roman" w:hAnsi="Times New Roman"/>
          <w:sz w:val="28"/>
        </w:rPr>
        <w:tab/>
        <w:t>(4)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Здесь τ — параметр ширины импульса: для заданной формы сигнал убывает плавно и не обрывается на конечных границах. В функции формирования канальных сигналов временной вектор сдвигается на задержку τₘ. Поэтому пик канального импульса в исходной временной координате находится в t_c + τₘ.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Pₘ(t) = P(t − τₘ),   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,ₘ = T / 2 + τₘ</m:t>
        </m:r>
      </m:oMath>
      <w:r>
        <w:rPr>
          <w:rFonts w:ascii="Times New Roman" w:hAnsi="Times New Roman"/>
          <w:sz w:val="28"/>
        </w:rPr>
        <w:tab/>
        <w:t>(5)</w:t>
      </w:r>
    </w:p>
    <w:p>
      <w:pPr>
        <w:pStyle w:val="Heading2"/>
        <w:keepNext/>
        <w:spacing w:line="360" w:lineRule="auto" w:before="40" w:after="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Доля энергии импульса в окне наблюдения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Энергия конечного импульса в окне [a; b] обозначается E(a, b). Введём долю ν(a, b): это отношение энергии, зарегистрированной в окне, к полной энергии той же импульсной формы на всей временной оси. Переменная x отсчитывается от центра импульса: x = u − t_c.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E(a, b) = </m:t>
        </m:r>
        <m:nary>
          <m:naryPr>
            <m:chr m:val="∫"/>
            <m:limLoc m:val="undOvr"/>
            <m:grow m:val="1"/>
          </m:naryPr>
          <m:sub>
            <m:r>
              <m:rPr>
                <m:sty m:val="p"/>
              </m:rPr>
              <m:t xml:space="preserve">a</m:t>
            </m:r>
          </m:sub>
          <m:sup>
            <m:r>
              <m:rPr>
                <m:sty m:val="p"/>
              </m:rPr>
              <m:t xml:space="preserve">b</m:t>
            </m:r>
          </m:sup>
          <m:e>
            <m:r>
              <m:rPr>
                <m:sty m:val="p"/>
              </m:rPr>
              <m:t xml:space="preserve">P²(u)</m:t>
            </m:r>
          </m:e>
        </m:nary>
        <m:r>
          <m:rPr>
            <m:sty m:val="p"/>
          </m:rPr>
          <m:t xml:space="preserve"> du</m:t>
        </m:r>
      </m:oMath>
      <w:r>
        <w:rPr>
          <w:rFonts w:ascii="Times New Roman" w:hAnsi="Times New Roman"/>
          <w:sz w:val="28"/>
        </w:rPr>
        <w:tab/>
        <w:t>(6)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E∞ = A²τ² </m:t>
        </m:r>
        <m:nary>
          <m:naryPr>
            <m:chr m:val="∫"/>
            <m:limLoc m:val="undOvr"/>
            <m:grow m:val="1"/>
          </m:naryPr>
          <m:sub>
            <m:r>
              <m:rPr>
                <m:sty m:val="p"/>
              </m:rPr>
              <m:t xml:space="preserve">−∞</m:t>
            </m:r>
          </m:sub>
          <m:sup>
            <m:r>
              <m:rPr>
                <m:sty m:val="p"/>
              </m:rPr>
              <m:t xml:space="preserve">∞</m:t>
            </m:r>
          </m:sup>
          <m:e>
            <m:r>
              <m:rPr>
                <m:sty m:val="p"/>
              </m:rPr>
              <m:t xml:space="preserve">1 / (τ² + x²)²</m:t>
            </m:r>
          </m:e>
        </m:nary>
        <m:r>
          <m:rPr>
            <m:sty m:val="p"/>
          </m:rPr>
          <m:t xml:space="preserve"> dx</m:t>
        </m:r>
      </m:oMath>
      <w:r>
        <w:rPr>
          <w:rFonts w:ascii="Times New Roman" w:hAnsi="Times New Roman"/>
          <w:sz w:val="28"/>
        </w:rPr>
        <w:tab/>
        <w:t>(7)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Для вычисления интеграла используется первообразная.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F(x) = x / [2τ²(x² + τ²)] + arctan(x / τ) / (2τ³)</m:t>
        </m:r>
      </m:oMath>
      <w:r>
        <w:rPr>
          <w:rFonts w:ascii="Times New Roman" w:hAnsi="Times New Roman"/>
          <w:sz w:val="28"/>
        </w:rPr>
        <w:tab/>
        <w:t>(8)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F′(x) = 1 / (x² + τ²)²</m:t>
        </m:r>
      </m:oMath>
      <w:r>
        <w:rPr>
          <w:rFonts w:ascii="Times New Roman" w:hAnsi="Times New Roman"/>
          <w:sz w:val="28"/>
        </w:rPr>
        <w:tab/>
        <w:t>(9)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В полной энергии пределы после замены переменной стремятся к −∞ и +∞. В первообразной рациональная часть на этих пределах обращается в ноль, а разность значений арктангенса равна π.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E∞ = A²τ² [F(x)]₋∞^∞ = A²τ² · π / (2τ³) = πA² / (2τ)</m:t>
        </m:r>
      </m:oMath>
      <w:r>
        <w:rPr>
          <w:rFonts w:ascii="Times New Roman" w:hAnsi="Times New Roman"/>
          <w:sz w:val="28"/>
        </w:rPr>
        <w:tab/>
        <w:t>(10)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Для конечного окна после замены x = u − t_c границы интегрирования становятся x₁ и x₂.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x₁ = a −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,    x₂ = b −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</m:oMath>
      <w:r>
        <w:rPr>
          <w:rFonts w:ascii="Times New Roman" w:hAnsi="Times New Roman"/>
          <w:sz w:val="28"/>
        </w:rPr>
        <w:tab/>
        <w:t>(11)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E(a, b) = A²τ² </m:t>
        </m:r>
        <m:nary>
          <m:naryPr>
            <m:chr m:val="∫"/>
            <m:limLoc m:val="undOvr"/>
            <m:grow m:val="1"/>
          </m:naryPr>
          <m:sub>
            <m:r>
              <m:rPr>
                <m:sty m:val="p"/>
              </m:rPr>
              <m:t xml:space="preserve">x₁</m:t>
            </m:r>
          </m:sub>
          <m:sup>
            <m:r>
              <m:rPr>
                <m:sty m:val="p"/>
              </m:rPr>
              <m:t xml:space="preserve">x₂</m:t>
            </m:r>
          </m:sup>
          <m:e>
            <m:r>
              <m:rPr>
                <m:sty m:val="p"/>
              </m:rPr>
              <m:t xml:space="preserve">1 / (τ² + x²)²</m:t>
            </m:r>
          </m:e>
        </m:nary>
        <m:r>
          <m:rPr>
            <m:sty m:val="p"/>
          </m:rPr>
          <m:t xml:space="preserve"> dx = A²τ² [F(x₂) − F(x₁)]</m:t>
        </m:r>
      </m:oMath>
      <w:r>
        <w:rPr>
          <w:rFonts w:ascii="Times New Roman" w:hAnsi="Times New Roman"/>
          <w:sz w:val="28"/>
        </w:rPr>
        <w:tab/>
        <w:t>(12)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Доля энергии получается делением конечной энергии на полную. После подстановки F(x) и сокращения множителей A²τ² выражение зависит только от границ окна относительно центра и от параметра ширины τ.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ν(a, b;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, τ) = E(a, b) / E∞</m:t>
        </m:r>
      </m:oMath>
      <w:r>
        <w:rPr>
          <w:rFonts w:ascii="Times New Roman" w:hAnsi="Times New Roman"/>
          <w:sz w:val="28"/>
        </w:rPr>
        <w:tab/>
        <w:t>(13)</w:t>
      </w:r>
    </w:p>
    <w:p>
      <w:pPr>
        <w:keepNext/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Для компактной записи обозначим два безразмерных слагаемых: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Δθ = arctan(x₂ / τ) − arctan(x₁ / τ)</m:t>
        </m:r>
      </m:oMath>
      <w:r>
        <w:rPr>
          <w:rFonts w:ascii="Times New Roman" w:hAnsi="Times New Roman"/>
          <w:sz w:val="28"/>
        </w:rPr>
        <w:tab/>
        <w:t>(14)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Δr = x₂ / (x₂² + τ²) − x₁ / (x₁² + τ²)</m:t>
        </m:r>
      </m:oMath>
      <w:r>
        <w:rPr>
          <w:rFonts w:ascii="Times New Roman" w:hAnsi="Times New Roman"/>
          <w:sz w:val="28"/>
        </w:rPr>
        <w:tab/>
        <w:t>(15)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ν(a, b;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, τ) = (Δθ + τΔr) / π</m:t>
        </m:r>
      </m:oMath>
      <w:r>
        <w:rPr>
          <w:rFonts w:ascii="Times New Roman" w:hAnsi="Times New Roman"/>
          <w:sz w:val="28"/>
        </w:rPr>
        <w:tab/>
        <w:t>(16)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Для опорного сигнала окно равно [0; T], а центр импульса находится в T/2. Тогда x₁ = −T/2 и x₂ = T/2; нечётные слагаемые на симметричных границах объединяются.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ν(T, τ) = (2 / π) [arctan(T / (2τ)) + (τT / 2) / ((T / 2)² + τ²)]</m:t>
        </m:r>
      </m:oMath>
      <w:r>
        <w:rPr>
          <w:rFonts w:ascii="Times New Roman" w:hAnsi="Times New Roman"/>
          <w:sz w:val="28"/>
        </w:rPr>
        <w:tab/>
        <w:t>(17)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При заданных в конфигурации T = 1,13625 с и τ = 0,01 с для опорного канала без задержки получается ν ≈ 0,9999977: в окно попадает практически вся энергия импульса.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Центр T/2 выбран не только для симметрии записи. Для фиксированного окна он максимизирует энергию, попадающую в окно: если центр сдвинуть к одной границе, часть импульса с этой стороны будет потеряна сильнее, чем с противоположной стороны. Это видно из производной.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G(x) = A²τ² / (τ² + x²)²,    dE(T,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) / d(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) = G(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) − G(T − </m:t>
        </m:r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c</m:t>
            </m:r>
          </m:sub>
        </m:sSub>
        <m:r>
          <m:rPr>
            <m:sty m:val="p"/>
          </m:rPr>
          <m:t xml:space="preserve">)</m:t>
        </m:r>
      </m:oMath>
      <w:r>
        <w:rPr>
          <w:rFonts w:ascii="Times New Roman" w:hAnsi="Times New Roman"/>
          <w:sz w:val="28"/>
        </w:rPr>
        <w:tab/>
        <w:t>(18)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Функция G убывает с ростом расстояния от центра. Поэтому производная положительна при t_c &lt; T/2 и отрицательна при t_c &gt; T/2; максимум достигается при t_c = T/2. Для канала с задержкой программа интегрирует сигнал по сдвинутому временному вектору. В координате опорного импульса границы такого окна равны −τₘ и T − τₘ.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νₘ(T) = ν(−τₘ, T − τₘ; T / 2, τ)</m:t>
        </m:r>
      </m:oMath>
      <w:r>
        <w:rPr>
          <w:rFonts w:ascii="Times New Roman" w:hAnsi="Times New Roman"/>
          <w:sz w:val="28"/>
        </w:rPr>
        <w:tab/>
        <w:t>(19)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Следовательно, ν относится к выбранному окну и конкретному положению импульса. В коде энергия канала вычисляется непосредственно по отсчётам на этом сдвинутом окне. Если энергия берётся из аналитической формулы для всей временной оси, для перехода к окну её нужно умножить на соответствующую ν.</w:t>
      </w:r>
    </w:p>
    <w:p>
      <w:pPr>
        <w:pStyle w:val="Heading2"/>
        <w:keepNext/>
        <w:spacing w:line="360" w:lineRule="auto" w:before="40" w:after="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Определение отношения сигнал шум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Обозначим через Eₛ(T) энергию полезного сигнала, а через Eₙ(T) — энергию шума на том же интервале [0; T]. Для конкретной реализации шумовая энергия случайна. Поэтому заданное в программе значение SNR калибруется по её математическому ожиданию.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sSub>
          <m:e>
            <m:r>
              <m:rPr>
                <m:sty m:val="p"/>
              </m:rPr>
              <m:t xml:space="preserve">SNR</m:t>
            </m:r>
          </m:e>
          <m:sub>
            <m:r>
              <m:rPr>
                <m:sty m:val="p"/>
              </m:rPr>
              <m:t xml:space="preserve">T</m:t>
            </m:r>
          </m:sub>
        </m:sSub>
        <m:r>
          <m:rPr>
            <m:sty m:val="p"/>
          </m:rPr>
          <m:t xml:space="preserve"> = Eₛ(T) / 𝔼[Eₙ(T)]</m:t>
        </m:r>
      </m:oMath>
      <w:r>
        <w:rPr>
          <w:rFonts w:ascii="Times New Roman" w:hAnsi="Times New Roman"/>
          <w:sz w:val="28"/>
        </w:rPr>
        <w:tab/>
        <w:t>(20)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В каждом канале шум имеет нулевое среднее и дисперсию σ². Средняя энергия шума на интервале длительности T равна интегралу его дисперсии по этому интервалу.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𝔼[Eₙ(T)] = </m:t>
        </m:r>
        <m:nary>
          <m:naryPr>
            <m:chr m:val="∫"/>
            <m:limLoc m:val="undOvr"/>
            <m:grow m:val="1"/>
          </m:naryPr>
          <m:sub>
            <m:r>
              <m:rPr>
                <m:sty m:val="p"/>
              </m:rPr>
              <m:t xml:space="preserve">0</m:t>
            </m:r>
          </m:sub>
          <m:sup>
            <m:r>
              <m:rPr>
                <m:sty m:val="p"/>
              </m:rPr>
              <m:t xml:space="preserve">T</m:t>
            </m:r>
          </m:sup>
          <m:e>
            <m:r>
              <m:rPr>
                <m:sty m:val="p"/>
              </m:rPr>
              <m:t xml:space="preserve">𝔼[n²(t)]</m:t>
            </m:r>
          </m:e>
        </m:nary>
        <m:r>
          <m:rPr>
            <m:sty m:val="p"/>
          </m:rPr>
          <m:t xml:space="preserve"> dt = Tσ²</m:t>
        </m:r>
      </m:oMath>
      <w:r>
        <w:rPr>
          <w:rFonts w:ascii="Times New Roman" w:hAnsi="Times New Roman"/>
          <w:sz w:val="28"/>
        </w:rPr>
        <w:tab/>
        <w:t>(21)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sSub>
          <m:e>
            <m:r>
              <m:rPr>
                <m:sty m:val="p"/>
              </m:rPr>
              <m:t xml:space="preserve">SNR</m:t>
            </m:r>
          </m:e>
          <m:sub>
            <m:r>
              <m:rPr>
                <m:sty m:val="p"/>
              </m:rPr>
              <m:t xml:space="preserve">T</m:t>
            </m:r>
          </m:sub>
        </m:sSub>
        <m:r>
          <m:rPr>
            <m:sty m:val="p"/>
          </m:rPr>
          <m:t xml:space="preserve"> = Eₛ(T) / (Tσ²)</m:t>
        </m:r>
      </m:oMath>
      <w:r>
        <w:rPr>
          <w:rFonts w:ascii="Times New Roman" w:hAnsi="Times New Roman"/>
          <w:sz w:val="28"/>
        </w:rPr>
        <w:tab/>
        <w:t>(22)</w:t>
      </w:r>
    </w:p>
    <w:p>
      <w:pPr>
        <w:keepNext/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Решая это выражение относительно дисперсии и среднеквадратического уровня шума, получаем: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σ² = Eₛ(T) / (T · </m:t>
        </m:r>
        <m:sSub>
          <m:e>
            <m:r>
              <m:rPr>
                <m:sty m:val="p"/>
              </m:rPr>
              <m:t xml:space="preserve">SNR</m:t>
            </m:r>
          </m:e>
          <m:sub>
            <m:r>
              <m:rPr>
                <m:sty m:val="p"/>
              </m:rPr>
              <m:t xml:space="preserve">T</m:t>
            </m:r>
          </m:sub>
        </m:sSub>
        <m:r>
          <m:rPr>
            <m:sty m:val="p"/>
          </m:rPr>
          <m:t xml:space="preserve">),    σ = √[Eₛ(T) / (T · </m:t>
        </m:r>
        <m:sSub>
          <m:e>
            <m:r>
              <m:rPr>
                <m:sty m:val="p"/>
              </m:rPr>
              <m:t xml:space="preserve">SNR</m:t>
            </m:r>
          </m:e>
          <m:sub>
            <m:r>
              <m:rPr>
                <m:sty m:val="p"/>
              </m:rPr>
              <m:t xml:space="preserve">T</m:t>
            </m:r>
          </m:sub>
        </m:sSub>
        <m:r>
          <m:rPr>
            <m:sty m:val="p"/>
          </m:rPr>
          <m:t xml:space="preserve">)]</m:t>
        </m:r>
      </m:oMath>
      <w:r>
        <w:rPr>
          <w:rFonts w:ascii="Times New Roman" w:hAnsi="Times New Roman"/>
          <w:sz w:val="28"/>
        </w:rPr>
        <w:tab/>
        <w:t>(23)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Именно эта зависимость записана в calculate_noise_level: программа передаёт туда энергию импульса, целевой SNR и duration_all = T, после чего генерирует независимые гауссовы отсчёты с дисперсией σ². Энергия сигнала относится к опорному импульсу; в каналах с проекционными множителями cos φ и sin φ амплитуды умножаются на эти величины, а энергии полезных составляющих — соответственно на cos²φ и sin²φ.</w:t>
      </w:r>
    </w:p>
    <w:p>
      <w:pPr>
        <w:pStyle w:val="Heading2"/>
        <w:keepNext/>
        <w:spacing w:line="360" w:lineRule="auto" w:before="40" w:after="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Соответствие дискретному расчёту</w:t>
      </w:r>
    </w:p>
    <w:p>
      <w:pPr>
        <w:keepNext/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В программе энергия вычисляется методом трапеций по временным отсчётам. Для равномерного шага эта формула имеет следующий вид: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Eₛ(T) ≈ Δt [p₀² / 2 + Σₖ₌₁ᴺ⁻² pₖ² + </m:t>
        </m:r>
        <m:sSub>
          <m:e>
            <m:r>
              <m:rPr>
                <m:sty m:val="p"/>
              </m:rPr>
              <m:t xml:space="preserve">p</m:t>
            </m:r>
          </m:e>
          <m:sub>
            <m:r>
              <m:rPr>
                <m:sty m:val="p"/>
              </m:rPr>
              <m:t xml:space="preserve">N − 1</m:t>
            </m:r>
          </m:sub>
        </m:sSub>
        <m:r>
          <m:rPr>
            <m:sty m:val="p"/>
          </m:rPr>
          <m:t xml:space="preserve">² / 2]</m:t>
        </m:r>
      </m:oMath>
      <w:r>
        <w:rPr>
          <w:rFonts w:ascii="Times New Roman" w:hAnsi="Times New Roman"/>
          <w:sz w:val="28"/>
        </w:rPr>
        <w:tab/>
        <w:t>(24)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Для независимых шумовых отсчётов с одинаковой дисперсией сумма весов трапеций равна N − 1. Поэтому средняя шумовая энергия в дискретном расчёте точно соответствует Tσ² при T = (N − 1)Δt.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r>
          <m:rPr>
            <m:sty m:val="p"/>
          </m:rPr>
          <m:t xml:space="preserve">𝔼[Eₙ(T)] = Δt [1/2 + (N − 2) + 1/2] σ² = (N − 1)Δtσ² = Tσ²</m:t>
        </m:r>
      </m:oMath>
      <w:r>
        <w:rPr>
          <w:rFonts w:ascii="Times New Roman" w:hAnsi="Times New Roman"/>
          <w:sz w:val="28"/>
        </w:rPr>
        <w:tab/>
        <w:t>(25)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Таким образом, calculate_energy численно получает уже оконную энергию Eₛ(T), а calculate_noise_level задаёт уровень шума из отношения Eₛ(T)/(Tσ²). Дополнительно умножать эту численно рассчитанную энергию на ν не нужно: это повторно учло бы обрезание импульса окном. Множитель ν требуется, когда исходной величиной служит аналитическая полная энергия E∞.</w:t>
      </w:r>
    </w:p>
    <w:p>
      <w:pPr>
        <w:pStyle w:val="Heading2"/>
        <w:keepNext/>
        <w:spacing w:line="360" w:lineRule="auto" w:before="40" w:after="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Почему выбрано энергетическое отношение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Импульс является нестационарным сигналом: его мгновенная амплитуда заметно меняется во времени, а измерительный алгоритм располагает только конечной записью. Отношение энергий на одном интервале учитывает одновременно форму импульса, длительность записи и долю ν, которая действительно попала в наблюдение. Оно безразмерно и непосредственно связано с дисперсией генерируемого шума.</w:t>
      </w:r>
    </w:p>
    <w:p>
      <w:pPr>
        <w:keepLines/>
        <w:spacing w:after="0" w:line="360" w:lineRule="auto" w:before="0"/>
        <w:ind w:firstLine="709"/>
        <w:jc w:val="both"/>
      </w:pPr>
      <w:r>
        <w:rPr>
          <w:rFonts w:ascii="Times New Roman" w:hAnsi="Times New Roman"/>
          <w:sz w:val="28"/>
        </w:rPr>
        <w:t>Отношение средних мощностей на том же самом интервале не является здесь другим выбором: после деления обеих энергий на одинаковое T оно даёт то же значение SNR. Пиковое отношение амплитуд, напротив, описывает только локальный максимум и не учитывает энергию хвоста импульса, попавшего в запись. Отношение амплитуд также требует дополнительного перехода к квадрату и учёта временного интервала. Децибельная форма — лишь другая шкала записи того же отношения.</w:t>
      </w:r>
    </w:p>
    <w:p>
      <w:pPr>
        <w:keepLines/>
        <w:tabs>
          <w:tab w:pos="4680" w:val="center"/>
          <w:tab w:pos="9346" w:val="right"/>
        </w:tabs>
        <w:spacing w:before="100" w:after="100" w:line="360" w:lineRule="auto"/>
        <w:ind w:firstLine="0" w:left="0" w:right="0"/>
        <w:jc w:val="both"/>
      </w:pPr>
      <w:r>
        <w:rPr>
          <w:rFonts w:ascii="Times New Roman" w:hAnsi="Times New Roman"/>
          <w:sz w:val="28"/>
        </w:rPr>
        <w:tab/>
      </w:r>
      <m:oMath>
        <m:sSub>
          <m:e>
            <m:r>
              <m:rPr>
                <m:sty m:val="p"/>
              </m:rPr>
              <m:t xml:space="preserve">SNR</m:t>
            </m:r>
          </m:e>
          <m:sub>
            <m:r>
              <m:rPr>
                <m:sty m:val="p"/>
              </m:rPr>
              <m:t xml:space="preserve">T</m:t>
            </m:r>
          </m:sub>
        </m:sSub>
        <m:r>
          <m:rPr>
            <m:sty m:val="p"/>
          </m:rPr>
          <m:t xml:space="preserve"> = [Eₛ(T) / T] / [𝔼[Eₙ(T)] / T],    SNR (dB) = 10 log₁₀(</m:t>
        </m:r>
        <m:sSub>
          <m:e>
            <m:r>
              <m:rPr>
                <m:sty m:val="p"/>
              </m:rPr>
              <m:t xml:space="preserve">SNR</m:t>
            </m:r>
          </m:e>
          <m:sub>
            <m:r>
              <m:rPr>
                <m:sty m:val="p"/>
              </m:rPr>
              <m:t xml:space="preserve">T</m:t>
            </m:r>
          </m:sub>
        </m:sSub>
        <m:r>
          <m:rPr>
            <m:sty m:val="p"/>
          </m:rPr>
          <m:t xml:space="preserve">)</m:t>
        </m:r>
      </m:oMath>
      <w:r>
        <w:rPr>
          <w:rFonts w:ascii="Times New Roman" w:hAnsi="Times New Roman"/>
          <w:sz w:val="28"/>
        </w:rPr>
        <w:tab/>
        <w:t>(26)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fldSimple w:instr="PAGE">
      <w:r>
        <w:rPr>
          <w:rFonts w:ascii="Times New Roman" w:hAnsi="Times New Roman" w:eastAsia="Times New Roman" w:cs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cstheme="majorBidi"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lementSubtitle">
    <w:name w:val="Supplement Subtitle"/>
    <w:pPr>
      <w:keepNext/>
      <w:spacing w:after="120" w:line="360" w:lineRule="auto" w:before="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сигнал шум на конечном интервале наблюдения</dc:title>
  <dc:subject>Дополнение к info.docx: окно наблюдения, доля энергии ν и SNR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