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56"/>
          <w:szCs w:val="56"/>
        </w:rPr>
        <w:t xml:space="preserve">RankedTag</w:t>
      </w:r>
    </w:p>
    <w:p>
      <w:pPr>
        <w:spacing w:after="200"/>
      </w:pPr>
      <w:r>
        <w:rPr>
          <w:rFonts w:ascii="Calibri" w:cs="Calibri" w:eastAsia="Calibri" w:hAnsi="Calibri"/>
          <w:color w:val="1F2A44"/>
          <w:sz w:val="40"/>
          <w:szCs w:val="40"/>
        </w:rPr>
        <w:t xml:space="preserve">Backlink Playbook</w:t>
      </w:r>
    </w:p>
    <w:p>
      <w:pPr>
        <w:spacing w:after="400"/>
      </w:pPr>
      <w:r>
        <w:rPr>
          <w:rFonts w:ascii="Calibri" w:cs="Calibri" w:eastAsia="Calibri" w:hAnsi="Calibri"/>
          <w:color w:val="595959"/>
          <w:sz w:val="22"/>
          <w:szCs w:val="22"/>
        </w:rPr>
        <w:t xml:space="preserve">How to earn authority  ·  16 October 2026</w:t>
      </w:r>
    </w:p>
    <w:p>
      <w:pPr>
        <w:pStyle w:val="Heading1"/>
        <w:spacing w:after="160" w:before="360"/>
      </w:pPr>
      <w:r>
        <w:t xml:space="preserve">Read this after the content work, not before</w:t>
      </w:r>
    </w:p>
    <w:p>
      <w:pPr>
        <w:spacing w:after="140"/>
      </w:pPr>
      <w:r>
        <w:rPr>
          <w:rFonts w:ascii="Calibri" w:cs="Calibri" w:eastAsia="Calibri" w:hAnsi="Calibri"/>
          <w:sz w:val="22"/>
          <w:szCs w:val="22"/>
        </w:rPr>
        <w:t xml:space="preserve">This document is deliberately separate from the strategy and content plans because it runs later. Outreach should point at pages that were rebuilt to deserve a link, not at legacy or prune-bucket pages. Running it first wastes the one asset that is hardest to re-pitch: a stranger's attention.</w:t>
      </w:r>
    </w:p>
    <w:p>
      <w:pPr>
        <w:spacing w:after="140"/>
      </w:pPr>
      <w:r>
        <w:rPr>
          <w:rFonts w:ascii="Calibri" w:cs="Calibri" w:eastAsia="Calibri" w:hAnsi="Calibri"/>
          <w:b/>
          <w:bCs/>
          <w:sz w:val="22"/>
          <w:szCs w:val="22"/>
        </w:rPr>
        <w:t xml:space="preserve">That sequencing matters more here than usual. The strategy document concludes that domain authority is the binding constraint on everything RankedTag wants to rank for. This is the document that addresses the constraint. It is the highest-ceiling work available, and it is also the slowest.</w:t>
      </w:r>
    </w:p>
    <w:p>
      <w:pPr>
        <w:pStyle w:val="Heading1"/>
        <w:spacing w:after="160" w:before="360"/>
      </w:pPr>
      <w:r>
        <w:t xml:space="preserve">Start by establishing a baseline, because there is not one</w:t>
      </w:r>
    </w:p>
    <w:p>
      <w:pPr>
        <w:spacing w:after="140"/>
      </w:pPr>
      <w:r>
        <w:rPr>
          <w:rFonts w:ascii="Calibri" w:cs="Calibri" w:eastAsia="Calibri" w:hAnsi="Calibri"/>
          <w:sz w:val="22"/>
          <w:szCs w:val="22"/>
        </w:rPr>
        <w:t xml:space="preserve">The audit this playbook accompanies had no third-party backlink tool connected. RankedTag's current referring domain count, domain rank, anchor text distribution and spam exposure are therefore unknown. Recommending outreach before measuring that would be building on an unreviewed position.</w:t>
      </w:r>
    </w:p>
    <w:p>
      <w:pPr>
        <w:pStyle w:val="Heading2"/>
        <w:spacing w:after="120" w:before="280"/>
      </w:pPr>
      <w:r>
        <w:t xml:space="preserve">Do this first, and it costs nothing</w:t>
      </w:r>
    </w:p>
    <w:p>
      <w:pPr>
        <w:pStyle w:val="ListParagraph"/>
        <w:numPr>
          <w:ilvl w:val="0"/>
          <w:numId w:val="1"/>
        </w:numPr>
        <w:spacing w:after="80"/>
      </w:pPr>
      <w:r>
        <w:rPr>
          <w:rFonts w:ascii="Calibri" w:cs="Calibri" w:eastAsia="Calibri" w:hAnsi="Calibri"/>
          <w:sz w:val="22"/>
          <w:szCs w:val="22"/>
        </w:rPr>
        <w:t xml:space="preserve">Open Bing Webmaster Tools and connect it. It cross-checks the existing Google Search Console credential, so verification is already done.</w:t>
      </w:r>
    </w:p>
    <w:p>
      <w:pPr>
        <w:pStyle w:val="ListParagraph"/>
        <w:numPr>
          <w:ilvl w:val="0"/>
          <w:numId w:val="1"/>
        </w:numPr>
        <w:spacing w:after="80"/>
      </w:pPr>
      <w:r>
        <w:rPr>
          <w:rFonts w:ascii="Calibri" w:cs="Calibri" w:eastAsia="Calibri" w:hAnsi="Calibri"/>
          <w:sz w:val="22"/>
          <w:szCs w:val="22"/>
        </w:rPr>
        <w:t xml:space="preserve">Pull the full referring domain list for rankedtag.com. Bing returns backlink data for any domain, free, with spam largely filtered out.</w:t>
      </w:r>
    </w:p>
    <w:p>
      <w:pPr>
        <w:pStyle w:val="ListParagraph"/>
        <w:numPr>
          <w:ilvl w:val="0"/>
          <w:numId w:val="1"/>
        </w:numPr>
        <w:spacing w:after="80"/>
      </w:pPr>
      <w:r>
        <w:rPr>
          <w:rFonts w:ascii="Calibri" w:cs="Calibri" w:eastAsia="Calibri" w:hAnsi="Calibri"/>
          <w:sz w:val="22"/>
          <w:szCs w:val="22"/>
        </w:rPr>
        <w:t xml:space="preserve">Pull the same for the three organic competitors named below. A domain that links to two or three of them and not to RankedTag is a specific, qualified outreach lead rather than a cold guess.</w:t>
      </w:r>
    </w:p>
    <w:p>
      <w:pPr>
        <w:pStyle w:val="ListParagraph"/>
        <w:numPr>
          <w:ilvl w:val="0"/>
          <w:numId w:val="1"/>
        </w:numPr>
        <w:spacing w:after="80"/>
      </w:pPr>
      <w:r>
        <w:rPr>
          <w:rFonts w:ascii="Calibri" w:cs="Calibri" w:eastAsia="Calibri" w:hAnsi="Calibri"/>
          <w:sz w:val="22"/>
          <w:szCs w:val="22"/>
        </w:rPr>
        <w:t xml:space="preserve">Record the starting referring domain count and date it. Without a baseline, no later claim about link growth is checkable.</w:t>
      </w:r>
    </w:p>
    <w:p>
      <w:pPr>
        <w:spacing w:after="100"/>
      </w:pPr>
      <w:r>
        <w:rPr>
          <w:rFonts w:ascii="Calibri" w:cs="Calibri" w:eastAsia="Calibri" w:hAnsi="Calibri"/>
          <w:i/>
          <w:iCs/>
          <w:color w:val="595959"/>
          <w:sz w:val="18"/>
          <w:szCs w:val="18"/>
        </w:rPr>
        <w:t xml:space="preserve">Bing Webmaster Tools is recommended here specifically because it is free and requires no new vendor. If RankedTag already pays for Ahrefs or Semrush, use that instead and skip this step.</w:t>
      </w:r>
    </w:p>
    <w:p>
      <w:pPr>
        <w:pStyle w:val="Heading2"/>
        <w:spacing w:after="120" w:before="280"/>
      </w:pPr>
      <w:r>
        <w:t xml:space="preserve">Audit what is already there before adding to it</w:t>
      </w:r>
    </w:p>
    <w:p>
      <w:pPr>
        <w:spacing w:after="140"/>
      </w:pPr>
      <w:r>
        <w:rPr>
          <w:rFonts w:ascii="Calibri" w:cs="Calibri" w:eastAsia="Calibri" w:hAnsi="Calibri"/>
          <w:sz w:val="22"/>
          <w:szCs w:val="22"/>
        </w:rPr>
        <w:t xml:space="preserve">When the referring domain list comes back, check it for a large cluster from a single unusual top-level domain, or a pattern of generically registered domains. If such a cluster exists, it warrants a manual quality review before any new outreach begins.</w:t>
      </w:r>
    </w:p>
    <w:p>
      <w:pPr>
        <w:spacing w:after="140"/>
      </w:pPr>
      <w:r>
        <w:rPr>
          <w:rFonts w:ascii="Calibri" w:cs="Calibri" w:eastAsia="Calibri" w:hAnsi="Calibri"/>
          <w:sz w:val="22"/>
          <w:szCs w:val="22"/>
        </w:rPr>
        <w:t xml:space="preserve">On disavowing: do not, unless RankedTag has bought links and knows which ones. The disavow tool is routinely misused by site owners who see unfamiliar backlinks and assume harm. Unfamiliar is not the same as harmful, and user-generated and low-quality links are generally discounted rather than penalised. If no links were ever bought, there is nothing here to disavow.</w:t>
      </w:r>
    </w:p>
    <w:p>
      <w:pPr>
        <w:pStyle w:val="Heading1"/>
        <w:spacing w:after="160" w:before="360"/>
      </w:pPr>
      <w:r>
        <w:t xml:space="preserve">Priority order, specific to this business</w:t>
      </w:r>
    </w:p>
    <w:p>
      <w:pPr>
        <w:spacing w:after="140"/>
      </w:pPr>
      <w:r>
        <w:rPr>
          <w:rFonts w:ascii="Calibri" w:cs="Calibri" w:eastAsia="Calibri" w:hAnsi="Calibri"/>
          <w:sz w:val="22"/>
          <w:szCs w:val="22"/>
        </w:rPr>
        <w:t xml:space="preserve">Ranked by genuine relevance to RankedTag's actual ecosystem, not by generic best practice. The ordering would be different for a different business.</w:t>
      </w:r>
    </w:p>
    <w:p>
      <w:pPr>
        <w:pStyle w:val="Heading2"/>
        <w:spacing w:after="120" w:before="280"/>
      </w:pPr>
      <w:r>
        <w:t xml:space="preserve">Tier 1: the free tool suite is the asset. Use it.</w:t>
      </w:r>
    </w:p>
    <w:p>
      <w:pPr>
        <w:spacing w:after="140"/>
      </w:pPr>
      <w:r>
        <w:rPr>
          <w:rFonts w:ascii="Calibri" w:cs="Calibri" w:eastAsia="Calibri" w:hAnsi="Calibri"/>
          <w:sz w:val="22"/>
          <w:szCs w:val="22"/>
        </w:rPr>
        <w:t xml:space="preserve">RankedTag owns four working free tools: competitor analysis, keyword density, domain authority and page speed. This is the single most overlooked and most relevant link opportunity available, and it is already built and paid for.</w:t>
      </w:r>
    </w:p>
    <w:p>
      <w:pPr>
        <w:pStyle w:val="ListParagraph"/>
        <w:numPr>
          <w:ilvl w:val="0"/>
          <w:numId w:val="1"/>
        </w:numPr>
        <w:spacing w:after="80"/>
      </w:pPr>
      <w:r>
        <w:rPr>
          <w:rFonts w:ascii="Calibri" w:cs="Calibri" w:eastAsia="Calibri" w:hAnsi="Calibri"/>
          <w:sz w:val="22"/>
          <w:szCs w:val="22"/>
        </w:rPr>
        <w:t xml:space="preserve">Free SEO tool roundups and resource pages. These exist in large numbers, they are actively maintained, and they link to exactly this kind of asset. A working free tool with no signup wall is genuinely easy to include.</w:t>
      </w:r>
    </w:p>
    <w:p>
      <w:pPr>
        <w:pStyle w:val="ListParagraph"/>
        <w:numPr>
          <w:ilvl w:val="0"/>
          <w:numId w:val="1"/>
        </w:numPr>
        <w:spacing w:after="80"/>
      </w:pPr>
      <w:r>
        <w:rPr>
          <w:rFonts w:ascii="Calibri" w:cs="Calibri" w:eastAsia="Calibri" w:hAnsi="Calibri"/>
          <w:sz w:val="22"/>
          <w:szCs w:val="22"/>
        </w:rPr>
        <w:t xml:space="preserve">Each tool should be pitched individually rather than as "our tools page". A roundup of keyword density checkers wants the density checker URL, not the homepage.</w:t>
      </w:r>
    </w:p>
    <w:p>
      <w:pPr>
        <w:pStyle w:val="ListParagraph"/>
        <w:numPr>
          <w:ilvl w:val="0"/>
          <w:numId w:val="1"/>
        </w:numPr>
        <w:spacing w:after="80"/>
      </w:pPr>
      <w:r>
        <w:rPr>
          <w:rFonts w:ascii="Calibri" w:cs="Calibri" w:eastAsia="Calibri" w:hAnsi="Calibri"/>
          <w:sz w:val="22"/>
          <w:szCs w:val="22"/>
        </w:rPr>
        <w:t xml:space="preserve">The no-login, no-API-key angle is the differentiator worth leading with. Most competing tools gate behind an account.</w:t>
      </w:r>
    </w:p>
    <w:p>
      <w:pPr>
        <w:pStyle w:val="ListParagraph"/>
        <w:numPr>
          <w:ilvl w:val="0"/>
          <w:numId w:val="1"/>
        </w:numPr>
        <w:spacing w:after="80"/>
      </w:pPr>
      <w:r>
        <w:rPr>
          <w:rFonts w:ascii="Calibri" w:cs="Calibri" w:eastAsia="Calibri" w:hAnsi="Calibri"/>
          <w:sz w:val="22"/>
          <w:szCs w:val="22"/>
        </w:rPr>
        <w:t xml:space="preserve">Point outreach at the tool pages rebuilt in the content plan, once they are rebuilt. Not before.</w:t>
      </w:r>
    </w:p>
    <w:p>
      <w:pPr>
        <w:spacing w:after="140"/>
      </w:pPr>
      <w:r>
        <w:rPr>
          <w:rFonts w:ascii="Calibri" w:cs="Calibri" w:eastAsia="Calibri" w:hAnsi="Calibri"/>
          <w:sz w:val="22"/>
          <w:szCs w:val="22"/>
        </w:rPr>
        <w:t xml:space="preserve">Why this is first: these links are topically relevant, they point at commercial pages, and they bring qualified referral traffic from people who were already looking for a tool. That combination is rare.</w:t>
      </w:r>
    </w:p>
    <w:p>
      <w:pPr>
        <w:pStyle w:val="Heading2"/>
        <w:spacing w:after="120" w:before="280"/>
      </w:pPr>
      <w:r>
        <w:t xml:space="preserve">Tier 2: first-party data RankedTag can publish and nobody else has</w:t>
      </w:r>
    </w:p>
    <w:p>
      <w:pPr>
        <w:spacing w:after="140"/>
      </w:pPr>
      <w:r>
        <w:rPr>
          <w:rFonts w:ascii="Calibri" w:cs="Calibri" w:eastAsia="Calibri" w:hAnsi="Calibri"/>
          <w:sz w:val="22"/>
          <w:szCs w:val="22"/>
        </w:rPr>
        <w:t xml:space="preserve">Specific, sourced data is what writers actually link to. Generic advice articles are not linked to, no matter how good they are.</w:t>
      </w:r>
    </w:p>
    <w:p>
      <w:pPr>
        <w:pStyle w:val="ListParagraph"/>
        <w:numPr>
          <w:ilvl w:val="0"/>
          <w:numId w:val="1"/>
        </w:numPr>
        <w:spacing w:after="80"/>
      </w:pPr>
      <w:r>
        <w:rPr>
          <w:rFonts w:ascii="Calibri" w:cs="Calibri" w:eastAsia="Calibri" w:hAnsi="Calibri"/>
          <w:sz w:val="22"/>
          <w:szCs w:val="22"/>
        </w:rPr>
        <w:t xml:space="preserve">The tools generate usage data. Aggregated, anonymised findings across many analysed pages would be genuinely novel: typical keyword density distributions, how often pages are over-optimised, how competitor content compares on readability.</w:t>
      </w:r>
    </w:p>
    <w:p>
      <w:pPr>
        <w:pStyle w:val="ListParagraph"/>
        <w:numPr>
          <w:ilvl w:val="0"/>
          <w:numId w:val="1"/>
        </w:numPr>
        <w:spacing w:after="80"/>
      </w:pPr>
      <w:r>
        <w:rPr>
          <w:rFonts w:ascii="Calibri" w:cs="Calibri" w:eastAsia="Calibri" w:hAnsi="Calibri"/>
          <w:sz w:val="22"/>
          <w:szCs w:val="22"/>
        </w:rPr>
        <w:t xml:space="preserve">The Search Console integration built on 16 October 2026 gives RankedTag its own measurable GEO evidence. The observation that two AI-assistant prompt queries rank at positions 4.6 and 9.0, and that /llm-info holds position 16.4, is a concrete data point about how AI answer engines source citations. Very few agencies can show that with their own numbers.</w:t>
      </w:r>
    </w:p>
    <w:p>
      <w:pPr>
        <w:pStyle w:val="ListParagraph"/>
        <w:numPr>
          <w:ilvl w:val="0"/>
          <w:numId w:val="1"/>
        </w:numPr>
        <w:spacing w:after="80"/>
      </w:pPr>
      <w:r>
        <w:rPr>
          <w:rFonts w:ascii="Calibri" w:cs="Calibri" w:eastAsia="Calibri" w:hAnsi="Calibri"/>
          <w:sz w:val="22"/>
          <w:szCs w:val="22"/>
        </w:rPr>
        <w:t xml:space="preserve">Any such publication must use real figures. Anonymise and get permission where client data is involved. A fabricated or inflated statistic in a linkable asset is a long-term liability, not a shortcut.</w:t>
      </w:r>
    </w:p>
    <w:p>
      <w:pPr>
        <w:pStyle w:val="Heading2"/>
        <w:spacing w:after="120" w:before="280"/>
      </w:pPr>
      <w:r>
        <w:t xml:space="preserve">Tier 3: partner links from non-competing agencies</w:t>
      </w:r>
    </w:p>
    <w:p>
      <w:pPr>
        <w:spacing w:after="140"/>
      </w:pPr>
      <w:r>
        <w:rPr>
          <w:rFonts w:ascii="Calibri" w:cs="Calibri" w:eastAsia="Calibri" w:hAnsi="Calibri"/>
          <w:sz w:val="22"/>
          <w:szCs w:val="22"/>
        </w:rPr>
        <w:t xml:space="preserve">Legitimate and underused, and it is not a scheme: it is two reputable businesses that genuinely refer work to each other, linking to each other.</w:t>
      </w:r>
    </w:p>
    <w:p>
      <w:pPr>
        <w:pStyle w:val="ListParagraph"/>
        <w:numPr>
          <w:ilvl w:val="0"/>
          <w:numId w:val="1"/>
        </w:numPr>
        <w:spacing w:after="80"/>
      </w:pPr>
      <w:r>
        <w:rPr>
          <w:rFonts w:ascii="Calibri" w:cs="Calibri" w:eastAsia="Calibri" w:hAnsi="Calibri"/>
          <w:sz w:val="22"/>
          <w:szCs w:val="22"/>
        </w:rPr>
        <w:t xml:space="preserve">Web development and design studios that do not offer SEO. They need an SEO partner; RankedTag needs implementation partners for clients who have no developer.</w:t>
      </w:r>
    </w:p>
    <w:p>
      <w:pPr>
        <w:pStyle w:val="ListParagraph"/>
        <w:numPr>
          <w:ilvl w:val="0"/>
          <w:numId w:val="1"/>
        </w:numPr>
        <w:spacing w:after="80"/>
      </w:pPr>
      <w:r>
        <w:rPr>
          <w:rFonts w:ascii="Calibri" w:cs="Calibri" w:eastAsia="Calibri" w:hAnsi="Calibri"/>
          <w:sz w:val="22"/>
          <w:szCs w:val="22"/>
        </w:rPr>
        <w:t xml:space="preserve">Offer real help rather than a link swap. Fixing a partner's own page titles and internal linking earns a contextual mention far more reliably than asking for one.</w:t>
      </w:r>
    </w:p>
    <w:p>
      <w:pPr>
        <w:pStyle w:val="ListParagraph"/>
        <w:numPr>
          <w:ilvl w:val="0"/>
          <w:numId w:val="1"/>
        </w:numPr>
        <w:spacing w:after="80"/>
      </w:pPr>
      <w:r>
        <w:rPr>
          <w:rFonts w:ascii="Calibri" w:cs="Calibri" w:eastAsia="Calibri" w:hAnsi="Calibri"/>
          <w:sz w:val="22"/>
          <w:szCs w:val="22"/>
        </w:rPr>
        <w:t xml:space="preserve">B2B SaaS consultancies, fractional CMOs and product marketing freelancers serving the same ICP without competing.</w:t>
      </w:r>
    </w:p>
    <w:p>
      <w:pPr>
        <w:spacing w:after="100"/>
      </w:pPr>
      <w:r>
        <w:rPr>
          <w:rFonts w:ascii="Calibri" w:cs="Calibri" w:eastAsia="Calibri" w:hAnsi="Calibri"/>
          <w:i/>
          <w:iCs/>
          <w:color w:val="595959"/>
          <w:sz w:val="18"/>
          <w:szCs w:val="18"/>
        </w:rPr>
        <w:t xml:space="preserve">Keep anchor text varied and natural. A pattern of identical exact-match anchors across many partner sites is one of the clearer unnatural-link signals and is a common self-inflicted mistake.</w:t>
      </w:r>
    </w:p>
    <w:p>
      <w:pPr>
        <w:pStyle w:val="Heading2"/>
        <w:spacing w:after="120" w:before="280"/>
      </w:pPr>
      <w:r>
        <w:t xml:space="preserve">Tier 4: founder visibility</w:t>
      </w:r>
    </w:p>
    <w:p>
      <w:pPr>
        <w:pStyle w:val="ListParagraph"/>
        <w:numPr>
          <w:ilvl w:val="0"/>
          <w:numId w:val="1"/>
        </w:numPr>
        <w:spacing w:after="80"/>
      </w:pPr>
      <w:r>
        <w:rPr>
          <w:rFonts w:ascii="Calibri" w:cs="Calibri" w:eastAsia="Calibri" w:hAnsi="Calibri"/>
          <w:sz w:val="22"/>
          <w:szCs w:val="22"/>
        </w:rPr>
        <w:t xml:space="preserve">Podcast guest spots in the B2B SaaS and SEO space. Each produces a show-notes link from a site with real authority, and the time cost is roughly an hour.</w:t>
      </w:r>
    </w:p>
    <w:p>
      <w:pPr>
        <w:pStyle w:val="ListParagraph"/>
        <w:numPr>
          <w:ilvl w:val="0"/>
          <w:numId w:val="1"/>
        </w:numPr>
        <w:spacing w:after="80"/>
      </w:pPr>
      <w:r>
        <w:rPr>
          <w:rFonts w:ascii="Calibri" w:cs="Calibri" w:eastAsia="Calibri" w:hAnsi="Calibri"/>
          <w:sz w:val="22"/>
          <w:szCs w:val="22"/>
        </w:rPr>
        <w:t xml:space="preserve">Answering publicly and substantively where the ICP already is, with a name attached. Not link-dropping.</w:t>
      </w:r>
    </w:p>
    <w:p>
      <w:pPr>
        <w:spacing w:after="100"/>
      </w:pPr>
      <w:r>
        <w:rPr>
          <w:rFonts w:ascii="Calibri" w:cs="Calibri" w:eastAsia="Calibri" w:hAnsi="Calibri"/>
          <w:i/>
          <w:iCs/>
          <w:color w:val="595959"/>
          <w:sz w:val="18"/>
          <w:szCs w:val="18"/>
        </w:rPr>
        <w:t xml:space="preserve">Social profile links do not pass authority. Their value is finding the partners in Tier 3 and the podcast hosts in this tier, which is a real but indirect benefit.</w:t>
      </w:r>
    </w:p>
    <w:p>
      <w:pPr>
        <w:pStyle w:val="Heading2"/>
        <w:spacing w:after="120" w:before="280"/>
      </w:pPr>
      <w:r>
        <w:t xml:space="preserve">Tier 5: directories and review platforms</w:t>
      </w:r>
    </w:p>
    <w:p>
      <w:pPr>
        <w:spacing w:after="140"/>
      </w:pPr>
      <w:r>
        <w:rPr>
          <w:rFonts w:ascii="Calibri" w:cs="Calibri" w:eastAsia="Calibri" w:hAnsi="Calibri"/>
          <w:sz w:val="22"/>
          <w:szCs w:val="22"/>
        </w:rPr>
        <w:t xml:space="preserve">Lowest priority, highest volume, smallest individual return. Worth doing once, in a batch, and then forgetting about. Relevant agency directories and review platforms produce some referral traffic and a small amount of trust signal. Do not confuse this tier with the first four.</w:t>
      </w:r>
    </w:p>
    <w:p>
      <w:pPr>
        <w:pStyle w:val="Heading1"/>
        <w:spacing w:after="160" w:before="360"/>
      </w:pPr>
      <w:r>
        <w:t xml:space="preserve">What not to do</w:t>
      </w:r>
    </w:p>
    <w:p>
      <w:pPr>
        <w:pStyle w:val="ListParagraph"/>
        <w:numPr>
          <w:ilvl w:val="0"/>
          <w:numId w:val="1"/>
        </w:numPr>
        <w:spacing w:after="80"/>
      </w:pPr>
      <w:r>
        <w:rPr>
          <w:rFonts w:ascii="Calibri" w:cs="Calibri" w:eastAsia="Calibri" w:hAnsi="Calibri"/>
          <w:sz w:val="22"/>
          <w:szCs w:val="22"/>
        </w:rPr>
        <w:t xml:space="preserve">Do not buy links. The risk is asymmetric: the downside is a manual penalty that takes longer to recover from than starting over, and the upside is links that get discounted anyway.</w:t>
      </w:r>
    </w:p>
    <w:p>
      <w:pPr>
        <w:pStyle w:val="ListParagraph"/>
        <w:numPr>
          <w:ilvl w:val="0"/>
          <w:numId w:val="1"/>
        </w:numPr>
        <w:spacing w:after="80"/>
      </w:pPr>
      <w:r>
        <w:rPr>
          <w:rFonts w:ascii="Calibri" w:cs="Calibri" w:eastAsia="Calibri" w:hAnsi="Calibri"/>
          <w:sz w:val="22"/>
          <w:szCs w:val="22"/>
        </w:rPr>
        <w:t xml:space="preserve">Do not use automated link networks or bulk guest posting services. Volume outreach with repeated anchor text and placement patterns is precisely the footprint that gets detected, and it is detected at the network level.</w:t>
      </w:r>
    </w:p>
    <w:p>
      <w:pPr>
        <w:pStyle w:val="ListParagraph"/>
        <w:numPr>
          <w:ilvl w:val="0"/>
          <w:numId w:val="1"/>
        </w:numPr>
        <w:spacing w:after="80"/>
      </w:pPr>
      <w:r>
        <w:rPr>
          <w:rFonts w:ascii="Calibri" w:cs="Calibri" w:eastAsia="Calibri" w:hAnsi="Calibri"/>
          <w:sz w:val="22"/>
          <w:szCs w:val="22"/>
        </w:rPr>
        <w:t xml:space="preserve">Do not pursue off-topic guest posting at volume. A link from an unrelated site is worth little and the effort is better spent on Tier 1.</w:t>
      </w:r>
    </w:p>
    <w:p>
      <w:pPr>
        <w:pStyle w:val="ListParagraph"/>
        <w:numPr>
          <w:ilvl w:val="0"/>
          <w:numId w:val="1"/>
        </w:numPr>
        <w:spacing w:after="80"/>
      </w:pPr>
      <w:r>
        <w:rPr>
          <w:rFonts w:ascii="Calibri" w:cs="Calibri" w:eastAsia="Calibri" w:hAnsi="Calibri"/>
          <w:sz w:val="22"/>
          <w:szCs w:val="22"/>
        </w:rPr>
        <w:t xml:space="preserve">Do not point outreach at prune-bucket or unmodified legacy pages. Pitch the rebuilt pages.</w:t>
      </w:r>
    </w:p>
    <w:p>
      <w:pPr>
        <w:pStyle w:val="ListParagraph"/>
        <w:numPr>
          <w:ilvl w:val="0"/>
          <w:numId w:val="1"/>
        </w:numPr>
        <w:spacing w:after="80"/>
      </w:pPr>
      <w:r>
        <w:rPr>
          <w:rFonts w:ascii="Calibri" w:cs="Calibri" w:eastAsia="Calibri" w:hAnsi="Calibri"/>
          <w:sz w:val="22"/>
          <w:szCs w:val="22"/>
        </w:rPr>
        <w:t xml:space="preserve">Do not disavow links RankedTag did not buy.</w:t>
      </w:r>
    </w:p>
    <w:p>
      <w:pPr>
        <w:pStyle w:val="ListParagraph"/>
        <w:numPr>
          <w:ilvl w:val="0"/>
          <w:numId w:val="1"/>
        </w:numPr>
        <w:spacing w:after="80"/>
      </w:pPr>
      <w:r>
        <w:rPr>
          <w:rFonts w:ascii="Calibri" w:cs="Calibri" w:eastAsia="Calibri" w:hAnsi="Calibri"/>
          <w:sz w:val="22"/>
          <w:szCs w:val="22"/>
        </w:rPr>
        <w:t xml:space="preserve">Do not use click-through-rate manipulation tools. They work until they stop, the pattern is detectable, and dependence on them is self-reinforcing.</w:t>
      </w:r>
    </w:p>
    <w:p>
      <w:pPr>
        <w:pStyle w:val="Heading1"/>
        <w:spacing w:after="160" w:before="360"/>
      </w:pPr>
      <w:r>
        <w:t xml:space="preserve">Tracking</w:t>
      </w:r>
    </w:p>
    <w:p>
      <w:pPr>
        <w:spacing w:after="140"/>
      </w:pPr>
      <w:r>
        <w:rPr>
          <w:rFonts w:ascii="Calibri" w:cs="Calibri" w:eastAsia="Calibri" w:hAnsi="Calibri"/>
          <w:sz w:val="22"/>
          <w:szCs w:val="22"/>
        </w:rPr>
        <w:t xml:space="preserve">Simple is sufficient. One row per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66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goes in it</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Target domain</w:t>
            </w:r>
          </w:p>
        </w:tc>
        <w:tc>
          <w:tcPr>
            <w:tcW w:type="dxa" w:w="6626"/>
            <w:tcMar>
              <w:top w:type="dxa" w:w="60"/>
              <w:left w:type="dxa" w:w="100"/>
              <w:bottom w:type="dxa" w:w="60"/>
              <w:right w:type="dxa" w:w="100"/>
            </w:tcMar>
          </w:tcPr>
          <w:p>
            <w:r>
              <w:rPr>
                <w:rFonts w:ascii="Calibri" w:cs="Calibri" w:eastAsia="Calibri" w:hAnsi="Calibri"/>
                <w:b w:val="false"/>
                <w:bCs w:val="false"/>
                <w:color w:val="000000"/>
                <w:sz w:val="19"/>
                <w:szCs w:val="19"/>
              </w:rPr>
              <w:t xml:space="preserve">The site, not the contact</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Tier</w:t>
            </w:r>
          </w:p>
        </w:tc>
        <w:tc>
          <w:tcPr>
            <w:tcW w:type="dxa" w:w="66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 to 5, from the priority order above</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page</w:t>
            </w:r>
          </w:p>
        </w:tc>
        <w:tc>
          <w:tcPr>
            <w:tcW w:type="dxa" w:w="6626"/>
            <w:tcMar>
              <w:top w:type="dxa" w:w="60"/>
              <w:left w:type="dxa" w:w="100"/>
              <w:bottom w:type="dxa" w:w="60"/>
              <w:right w:type="dxa" w:w="100"/>
            </w:tcMar>
          </w:tcPr>
          <w:p>
            <w:r>
              <w:rPr>
                <w:rFonts w:ascii="Calibri" w:cs="Calibri" w:eastAsia="Calibri" w:hAnsi="Calibri"/>
                <w:b w:val="false"/>
                <w:bCs w:val="false"/>
                <w:color w:val="000000"/>
                <w:sz w:val="19"/>
                <w:szCs w:val="19"/>
              </w:rPr>
              <w:t xml:space="preserve">The specific RankedTag URL being pitched, never the homepage by default</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Why them</w:t>
            </w:r>
          </w:p>
        </w:tc>
        <w:tc>
          <w:tcPr>
            <w:tcW w:type="dxa" w:w="66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The specific reason: links to two competitors, runs a tools roundup, shares the ICP</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Contact and date</w:t>
            </w:r>
          </w:p>
        </w:tc>
        <w:tc>
          <w:tcPr>
            <w:tcW w:type="dxa" w:w="6626"/>
            <w:tcMar>
              <w:top w:type="dxa" w:w="60"/>
              <w:left w:type="dxa" w:w="100"/>
              <w:bottom w:type="dxa" w:w="60"/>
              <w:right w:type="dxa" w:w="100"/>
            </w:tcMar>
          </w:tcPr>
          <w:p>
            <w:r>
              <w:rPr>
                <w:rFonts w:ascii="Calibri" w:cs="Calibri" w:eastAsia="Calibri" w:hAnsi="Calibri"/>
                <w:b w:val="false"/>
                <w:bCs w:val="false"/>
                <w:color w:val="000000"/>
                <w:sz w:val="19"/>
                <w:szCs w:val="19"/>
              </w:rPr>
              <w:t xml:space="preserve">Who and when</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Outcome</w:t>
            </w:r>
          </w:p>
        </w:tc>
        <w:tc>
          <w:tcPr>
            <w:tcW w:type="dxa" w:w="66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Live, declined, no reply, or pending</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Live URL</w:t>
            </w:r>
          </w:p>
        </w:tc>
        <w:tc>
          <w:tcPr>
            <w:tcW w:type="dxa" w:w="6626"/>
            <w:tcMar>
              <w:top w:type="dxa" w:w="60"/>
              <w:left w:type="dxa" w:w="100"/>
              <w:bottom w:type="dxa" w:w="60"/>
              <w:right w:type="dxa" w:w="100"/>
            </w:tcMar>
          </w:tcPr>
          <w:p>
            <w:r>
              <w:rPr>
                <w:rFonts w:ascii="Calibri" w:cs="Calibri" w:eastAsia="Calibri" w:hAnsi="Calibri"/>
                <w:b w:val="false"/>
                <w:bCs w:val="false"/>
                <w:color w:val="000000"/>
                <w:sz w:val="19"/>
                <w:szCs w:val="19"/>
              </w:rPr>
              <w:t xml:space="preserve">The resulting link, so it can be re-checked later</w:t>
            </w:r>
          </w:p>
        </w:tc>
      </w:tr>
    </w:tbl>
    <w:p>
      <w:pPr>
        <w:spacing w:after="120"/>
      </w:pPr>
    </w:p>
    <w:p>
      <w:pPr>
        <w:spacing w:after="140"/>
      </w:pPr>
      <w:r>
        <w:rPr>
          <w:rFonts w:ascii="Calibri" w:cs="Calibri" w:eastAsia="Calibri" w:hAnsi="Calibri"/>
          <w:sz w:val="22"/>
          <w:szCs w:val="22"/>
        </w:rPr>
        <w:t xml:space="preserve">Cadence: no calendar dates are assigned in this document, because RankedTag has not confirmed that this phase is starting. Set the cadence when Phase 4 of the roadmap begins. A realistic rhythm for a small team is a weekly batch of five to ten qualified targets in Tier 1, rather than a large one-off push.</w:t>
      </w:r>
    </w:p>
    <w:p>
      <w:pPr>
        <w:pStyle w:val="Heading1"/>
        <w:spacing w:after="160" w:before="360"/>
      </w:pPr>
      <w:r>
        <w:t xml:space="preserve">What this playbook does not contain</w:t>
      </w:r>
    </w:p>
    <w:p>
      <w:pPr>
        <w:pStyle w:val="ListParagraph"/>
        <w:numPr>
          <w:ilvl w:val="0"/>
          <w:numId w:val="1"/>
        </w:numPr>
        <w:spacing w:after="80"/>
      </w:pPr>
      <w:r>
        <w:rPr>
          <w:rFonts w:ascii="Calibri" w:cs="Calibri" w:eastAsia="Calibri" w:hAnsi="Calibri"/>
          <w:sz w:val="22"/>
          <w:szCs w:val="22"/>
        </w:rPr>
        <w:t xml:space="preserve">A current backlink profile for rankedtag.com. No backlink tool was connected, so there is no baseline, no referring domain count, no anchor text distribution and no spam assessment. Establishing this is the first action above.</w:t>
      </w:r>
    </w:p>
    <w:p>
      <w:pPr>
        <w:pStyle w:val="ListParagraph"/>
        <w:numPr>
          <w:ilvl w:val="0"/>
          <w:numId w:val="1"/>
        </w:numPr>
        <w:spacing w:after="80"/>
      </w:pPr>
      <w:r>
        <w:rPr>
          <w:rFonts w:ascii="Calibri" w:cs="Calibri" w:eastAsia="Calibri" w:hAnsi="Calibri"/>
          <w:sz w:val="22"/>
          <w:szCs w:val="22"/>
        </w:rPr>
        <w:t xml:space="preserve">A measured competitor backlink gap. The competitive set used in the strategy document (Semrush, Ahrefs, Similarweb) was inferred from observed queries and positions, not pulled from a domain intersection query.</w:t>
      </w:r>
    </w:p>
    <w:p>
      <w:pPr>
        <w:pStyle w:val="ListParagraph"/>
        <w:numPr>
          <w:ilvl w:val="0"/>
          <w:numId w:val="1"/>
        </w:numPr>
        <w:spacing w:after="80"/>
      </w:pPr>
      <w:r>
        <w:rPr>
          <w:rFonts w:ascii="Calibri" w:cs="Calibri" w:eastAsia="Calibri" w:hAnsi="Calibri"/>
          <w:sz w:val="22"/>
          <w:szCs w:val="22"/>
        </w:rPr>
        <w:t xml:space="preserve">Named outreach targets. Producing a credible target list requires the referring domain data from step one. Inventing plausible-sounding target sites without it would be guesswork presented as research.</w:t>
      </w:r>
    </w:p>
    <w:p>
      <w:pPr>
        <w:spacing w:after="140"/>
      </w:pPr>
      <w:r>
        <w:rPr>
          <w:rFonts w:ascii="Calibri" w:cs="Calibri" w:eastAsia="Calibri" w:hAnsi="Calibri"/>
          <w:sz w:val="22"/>
          <w:szCs w:val="22"/>
        </w:rPr>
        <w:t xml:space="preserve">Once the Bing Webmaster Tools baseline exists, a specific target list can be built from it in an afternoon. That is the natural next step for this document.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RankedTag Backlink Playbook</dc:title>
  <dc:creator>RankedTag</dc:creator>
  <dc:description>How to earn authority</dc:description>
  <cp:lastModifiedBy>Un-named</cp:lastModifiedBy>
  <cp:revision>1</cp:revision>
  <dcterms:created xsi:type="dcterms:W3CDTF">2026-10-16T17:28:54.410Z</dcterms:created>
  <dcterms:modified xsi:type="dcterms:W3CDTF">2026-10-16T17:28:54.413Z</dcterms:modified>
</cp:coreProperties>
</file>

<file path=docProps/custom.xml><?xml version="1.0" encoding="utf-8"?>
<Properties xmlns="http://schemas.openxmlformats.org/officeDocument/2006/custom-properties" xmlns:vt="http://schemas.openxmlformats.org/officeDocument/2006/docPropsVTypes"/>
</file>