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Article</w:t>
      </w:r>
    </w:p>
    <w:p>
      <w:pPr>
        <w:pStyle w:val="MDPI12title"/>
        <w:rPr/>
      </w:pPr>
      <w:r>
        <w:rPr>
          <w:b/>
        </w:rPr>
        <w:t>Digital Soil Mapping of the Steppe Zone of Northern Kazakhstan: Relationships Between Agrochemical Soil Properties and Multimodal Remote Sensing Data—</w:t>
      </w:r>
      <w:r>
        <w:rPr>
          <w:b/>
          <w:highlight w:val="green"/>
        </w:rPr>
        <w:t>Systematic Screening of 512 Features with Emphasis on 140 Spectral Indices Across Four Seasonal Configurations and Their 110 Composites</w:t>
      </w:r>
    </w:p>
    <w:p>
      <w:pPr>
        <w:pStyle w:val="MDPI13authornames"/>
        <w:rPr/>
      </w:pPr>
      <w:r>
        <w:rPr/>
        <w:t xml:space="preserve">Aliya Yskak </w:t>
      </w:r>
      <w:r>
        <w:rPr>
          <w:vertAlign w:val="superscript"/>
          <w:lang w:val="en-CA"/>
        </w:rPr>
        <w:t>1</w:t>
      </w:r>
      <w:r>
        <w:rPr/>
        <w:t xml:space="preserve">, Seitbek Kuanyshbayev </w:t>
      </w:r>
      <w:r>
        <w:rPr>
          <w:vertAlign w:val="superscript"/>
        </w:rPr>
        <w:t>1</w:t>
      </w:r>
      <w:r>
        <w:rPr/>
        <w:t xml:space="preserve">, Zhumash Bekmyrza </w:t>
      </w:r>
      <w:r>
        <w:rPr>
          <w:vertAlign w:val="superscript"/>
        </w:rPr>
        <w:t>1,</w:t>
      </w:r>
      <w:r>
        <w:rPr/>
        <w:t>*, Gulnaz T. Yermoldina</w:t>
      </w:r>
      <w:r>
        <w:rPr>
          <w:vertAlign w:val="superscript"/>
          <w:lang w:val="en-CA"/>
        </w:rPr>
        <w:t xml:space="preserve"> 1</w:t>
      </w:r>
      <w:r>
        <w:rPr/>
        <w:t>, Almabek B. Nugmanov</w:t>
      </w:r>
      <w:r>
        <w:rPr>
          <w:vertAlign w:val="superscript"/>
          <w:lang w:val="en-CA"/>
        </w:rPr>
        <w:t xml:space="preserve"> 1</w:t>
      </w:r>
      <w:r>
        <w:rPr/>
        <w:t xml:space="preserve">, Vladimir D. Fominov </w:t>
      </w:r>
      <w:r>
        <w:rPr>
          <w:vertAlign w:val="superscript"/>
          <w:lang w:val="en-CA"/>
        </w:rPr>
        <w:t>1,</w:t>
      </w:r>
      <w:r>
        <w:rPr>
          <w:lang w:val="en-CA"/>
        </w:rPr>
        <w:t>*</w:t>
      </w:r>
      <w:r>
        <w:rPr/>
        <w:t>, Zhanna B. Suimenbayeva</w:t>
      </w:r>
      <w:r>
        <w:rPr>
          <w:vertAlign w:val="superscript"/>
          <w:lang w:val="en-CA"/>
        </w:rPr>
        <w:t xml:space="preserve"> 1</w:t>
      </w:r>
      <w:r>
        <w:rPr/>
        <w:t xml:space="preserve">, Zhassulan B. Irzhanov </w:t>
      </w:r>
      <w:r>
        <w:rPr>
          <w:vertAlign w:val="superscript"/>
          <w:lang w:val="en-CA"/>
        </w:rPr>
        <w:t>1</w:t>
      </w:r>
      <w:r>
        <w:rPr/>
        <w:t xml:space="preserve">, Petr Lyanga </w:t>
      </w:r>
      <w:r>
        <w:rPr>
          <w:vertAlign w:val="superscript"/>
          <w:lang w:val="en-CA"/>
        </w:rPr>
        <w:t>1</w:t>
      </w:r>
      <w:r>
        <w:rPr/>
        <w:t xml:space="preserve">, Kuanysh Zhumalynov </w:t>
      </w:r>
      <w:r>
        <w:rPr>
          <w:vertAlign w:val="superscript"/>
          <w:lang w:val="en-CA"/>
        </w:rPr>
        <w:t>1</w:t>
      </w:r>
      <w:r>
        <w:rPr/>
        <w:t xml:space="preserve">, Aleksandr G. Bulaev </w:t>
      </w:r>
      <w:r>
        <w:rPr>
          <w:vertAlign w:val="superscript"/>
        </w:rPr>
        <w:t xml:space="preserve">2 </w:t>
      </w:r>
    </w:p>
    <w:p>
      <w:pPr>
        <w:pStyle w:val="MDPI13authornames"/>
        <w:rPr/>
      </w:pPr>
      <w:r>
        <w:rPr/>
      </w:r>
    </w:p>
    <w:tbl>
      <w:tblPr>
        <w:tblpPr w:vertAnchor="page" w:horzAnchor="margin" w:leftFromText="198" w:rightFromText="198" w:tblpX="0" w:tblpY="12541"/>
        <w:bidiVisual w:val="true"/>
        <w:tblW w:w="2410" w:type="dxa"/>
        <w:jc w:val="start"/>
        <w:tblInd w:w="0" w:type="dxa"/>
        <w:tblLayout w:type="fixed"/>
        <w:tblCellMar>
          <w:top w:w="0" w:type="dxa"/>
          <w:start w:w="0" w:type="dxa"/>
          <w:bottom w:w="0" w:type="dxa"/>
          <w:end w:w="0" w:type="dxa"/>
        </w:tblCellMar>
        <w:tblLook w:firstRow="1" w:noVBand="1" w:lastRow="0" w:firstColumn="1" w:lastColumn="0" w:noHBand="0" w:val="04a0"/>
      </w:tblPr>
      <w:tblGrid>
        <w:gridCol w:w="2410"/>
      </w:tblGrid>
      <w:tr>
        <w:trPr/>
        <w:tc>
          <w:tcPr>
            <w:tcW w:w="2410" w:type="dxa"/>
            <w:tcBorders/>
          </w:tcPr>
          <w:p>
            <w:pPr>
              <w:pStyle w:val="MDPI15academiceditor"/>
              <w:spacing w:before="0" w:after="120"/>
              <w:rPr/>
            </w:pPr>
            <w:r>
              <w:rPr/>
              <w:t>Academic Editor: Firstname Lastname</w:t>
            </w:r>
          </w:p>
          <w:p>
            <w:pPr>
              <w:pStyle w:val="MDPI14history"/>
              <w:spacing w:before="120" w:after="0"/>
              <w:rPr/>
            </w:pPr>
            <w:r>
              <w:rPr/>
              <w:t>Received: date</w:t>
            </w:r>
          </w:p>
          <w:p>
            <w:pPr>
              <w:pStyle w:val="MDPI14history"/>
              <w:rPr/>
            </w:pPr>
            <w:r>
              <w:rPr/>
              <w:t>Revised: date</w:t>
            </w:r>
          </w:p>
          <w:p>
            <w:pPr>
              <w:pStyle w:val="MDPI14history"/>
              <w:rPr/>
            </w:pPr>
            <w:r>
              <w:rPr/>
              <w:t>Accepted: date</w:t>
            </w:r>
          </w:p>
          <w:p>
            <w:pPr>
              <w:pStyle w:val="MDPI14history"/>
              <w:spacing w:before="0" w:after="120"/>
              <w:rPr/>
            </w:pPr>
            <w:r>
              <w:rPr/>
              <w:t>Published: date</w:t>
            </w:r>
          </w:p>
          <w:p>
            <w:pPr>
              <w:pStyle w:val="MDPI72copyright"/>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Hyperlink"/>
                  <w:rFonts w:eastAsia="DengXian"/>
                  <w:u w:val="none"/>
                  <w:lang w:val="en-US" w:bidi="en-US"/>
                </w:rPr>
                <w:t>Creative Commons Attribution (CC BY) license</w:t>
              </w:r>
            </w:hyperlink>
            <w:r>
              <w:rPr>
                <w:rFonts w:eastAsia="DengXian"/>
                <w:lang w:val="en-US" w:bidi="en-US"/>
              </w:rPr>
              <w:t>.</w:t>
            </w:r>
          </w:p>
        </w:tc>
      </w:tr>
    </w:tbl>
    <w:p>
      <w:pPr>
        <w:pStyle w:val="MDPI16affiliation"/>
        <w:jc w:val="both"/>
        <w:rPr>
          <w:color w:val="EE0000"/>
        </w:rPr>
      </w:pPr>
      <w:r/>
      <w:r>
        <w:rPr>
          <w:vertAlign w:val="superscript"/>
        </w:rPr>
        <w:t>1</w:t>
      </w:r>
      <w:r>
        <w:rPr/>
        <w:tab/>
      </w:r>
      <w:r>
        <w:rPr>
          <w:lang w:val="en-CA"/>
        </w:rPr>
        <w:t xml:space="preserve">Akhmet Baitursynuly Kostanay Regional University, 47A Baitursynov str., Kostanay 110000, Kazakhstan; </w:t>
        <w:br/>
        <w:t xml:space="preserve">alia-almaz@mail.ru (A.Y.); </w:t>
      </w:r>
      <w:r>
        <w:rPr>
          <w:color w:themeColor="text1" w:val="000000"/>
          <w:lang w:val="en-CA"/>
        </w:rPr>
        <w:t xml:space="preserve">seitbek_b@ksu.edu.kz (S.K.); </w:t>
      </w:r>
      <w:r>
        <w:rPr>
          <w:lang w:val="en-CA"/>
        </w:rPr>
        <w:t xml:space="preserve">5112431@mail.ru (Zh.B.); </w:t>
      </w:r>
      <w:r>
        <w:rPr>
          <w:color w:themeColor="text1" w:val="000000"/>
          <w:lang w:val="en-CA"/>
        </w:rPr>
        <w:t>gulnazyermoldina@gmail.com (G.T.Y.);</w:t>
      </w:r>
      <w:r>
        <w:rPr>
          <w:color w:themeColor="text1" w:val="000000"/>
        </w:rPr>
        <w:t xml:space="preserve"> </w:t>
      </w:r>
      <w:r>
        <w:rPr>
          <w:color w:themeColor="text1" w:val="000000"/>
          <w:lang w:val="en-CA"/>
        </w:rPr>
        <w:t xml:space="preserve">almabek.nugmanov@bk.ru </w:t>
      </w:r>
      <w:r>
        <w:rPr>
          <w:color w:themeColor="text1" w:val="000000"/>
        </w:rPr>
        <w:t>(A.B.N.); vladimirfominov49eng@gmail.com (V.D.F.); zhannaspace@gmail.com (Z.B.S.); jayzikskif@gmail.com (Z.B.I.); sadhgy19@gmail.com (P.L.); zhumalynov.k@mail.ru (K.Z.)</w:t>
      </w:r>
    </w:p>
    <w:p>
      <w:pPr>
        <w:pStyle w:val="MDPI16affiliation"/>
        <w:rPr/>
      </w:pPr>
      <w:r>
        <w:rPr>
          <w:vertAlign w:val="superscript"/>
        </w:rPr>
        <w:t>2</w:t>
      </w:r>
      <w:r>
        <w:rPr/>
        <w:tab/>
      </w:r>
      <w:r>
        <w:rPr>
          <w:lang w:val="en-CA"/>
        </w:rPr>
        <w:t xml:space="preserve">Research Center of Biotechnology, Russian Academy of Sciences, 7/2 60-letiya Oktyabrya Ave., </w:t>
        <w:br/>
        <w:t>117312 Moscow, Russia; bulaev.inmi@yandex.ru (A.B.)</w:t>
      </w:r>
    </w:p>
    <w:p>
      <w:pPr>
        <w:pStyle w:val="MDPI16affiliation"/>
        <w:rPr/>
      </w:pPr>
      <w:r>
        <w:rPr>
          <w:b/>
        </w:rPr>
        <w:t>*</w:t>
      </w:r>
      <w:r>
        <w:rPr/>
        <w:tab/>
        <w:t xml:space="preserve">Correspondence: </w:t>
      </w:r>
      <w:r>
        <w:rPr>
          <w:lang w:val="en-CA"/>
        </w:rPr>
        <w:t xml:space="preserve">5112431@mail.ru (B.Zh); </w:t>
      </w:r>
      <w:r>
        <w:rPr/>
        <w:t>vladimirfominov49eng@gmail.com (F.V.)</w:t>
      </w:r>
    </w:p>
    <w:p>
      <w:pPr>
        <w:pStyle w:val="MDPI17abstract"/>
        <w:jc w:val="start"/>
        <w:rPr>
          <w:b/>
        </w:rPr>
      </w:pPr>
      <w:r>
        <w:rPr>
          <w:b/>
        </w:rPr>
        <w:t>Abstract</w:t>
      </w:r>
    </w:p>
    <w:p>
      <w:pPr>
        <w:pStyle w:val="MDPI17abstract"/>
        <w:spacing w:before="0" w:after="0"/>
        <w:rPr/>
      </w:pPr>
      <w:r>
        <w:rPr>
          <w:highlight w:val="green"/>
        </w:rPr>
        <w:t>For rational monitoring of soil fertility over vast territories, it is necessary to understand which soil properties are actually reflected in satellite data and which spectral configurations carry the greatest information. Such a systematic analysis has not been previously conducted for the steppe zone of Central Asia. In the present work, the relationships between six agrochemical properties of the arable horizon (pH, SOC, NO3, P2O5, K2O, S) and 512 features extracted from multimodal satellite data (Sentinel-2, Landsat-8, Sentinel-1 SAR, SRTM, ERA5-Land) were investigated. The central element of the work is a systematic screening of 140 base spectral features of Sentinel-2 and Landsat-8 (10 bands and 7 indices of S2 + 6 bands and 3 indices of L8, multiplied by four phenological windows: spring, summer, late summer, autumn), extended through 100 engineered features (PCA, normalised differences, band ratios), 100 temporal statistics, 64 multi-seasonal deltas, and 110 composite configurations (48 inter-index, 42 multi-seasonal, 20 normalised band differences). The sample comprised 1,085 specimens from 81 fields across 20 farms in Northern Kazakhstan (2022–2023). Main results. A hierarchy of predictability was established: pH (|ρ| = 0.670 with GNDVI_L8,spring) ≫ P2O5 (0.525, GLCM entropy of the Red band in autumn) &gt; K2O (0.478, BSI_spring) &gt; NO3 (0.431, SAVI_spring) &gt; S (0.383, SAVI_late-summer) &gt; SOC (0.368, slope). The informativeness of spectral indices depends significantly on the season of acquisition: spring composites (bare soil) are statistically significantly more informative than summer ones for K2O (Wilcoxon test, p &lt; 10⁻⁴, 26/26 indices) and P2O5; summer indices dominate for NO3 at peak vegetation. Of the 110 composite configurations, only one — GNDVI×BSI_spring for K2O (ρ = −0.488 vs −0.478 for single BSI, Δ|ρ| = +0.010) — robustly outperformed its best single counterpart. For NO3 (GNDVI−NDRE: −0.416) and S (mean_NDVI: +0.360) the composites approached the singles (ρ_SAVI = −0.431 and +0.383, respectively) but did not surpass them, indicating saturation of the informativeness of simple indices. Spatial analysis revealed that properties with zonal control (pH, SOC, K2O; ICC 0.54–0.71) are characterised by a pronounced spatial structure (Moran I = 0.51–0.86) and are accessible for satellite prediction, whereas available sulfur is practically unpredictable (ICC = 0.17, I_declustered = 0.15). It was also established that pH mediates about 42% of the observed SOC–NDVI correlation, which requires acidity control when modeling organic carbon via vegetation indices. The obtained estimates of the predictability hierarchy, seasonal modulation of informativeness, and the inventory of informative composite configurations form an empirically grounded basis for building predictive models of soil properties in the steppe zone.</w:t>
      </w:r>
    </w:p>
    <w:p>
      <w:pPr>
        <w:pStyle w:val="MDPI18keywords"/>
        <w:rPr>
          <w:szCs w:val="18"/>
        </w:rPr>
      </w:pPr>
      <w:r>
        <w:rPr>
          <w:b/>
          <w:szCs w:val="18"/>
        </w:rPr>
        <w:t xml:space="preserve">Keywords: </w:t>
      </w:r>
      <w:r>
        <w:rPr>
          <w:szCs w:val="18"/>
        </w:rPr>
        <w:t>correlation analysis; remote sensing; spectral indices; spatial autocorrelation; Moran’s I; variance decomposition; confounding; soil physicochemical properties; Chernozems; Sentinel-2; Northern Kazakhstan</w:t>
      </w:r>
    </w:p>
    <w:p>
      <w:pPr>
        <w:pStyle w:val="MDPI21heading1"/>
        <w:rPr/>
      </w:pPr>
      <w:r>
        <w:rPr/>
        <w:t>1. Introduction</w:t>
      </w:r>
    </w:p>
    <w:p>
      <w:pPr>
        <w:pStyle w:val="MDPI31text"/>
        <w:rPr/>
      </w:pPr>
      <w:r>
        <w:rPr/>
        <w:t>Agricultural soils are the foundation of food security. Their degradation affects approximately one-third of global land resources [1], with economic losses estimated at billions of dollars annually. Transitioning to precision agriculture requires spatially detailed monitoring of agrochemical properties [2]. However, the traditional approach — soil sampling followed by laboratory analysis — takes 2 to 4 weeks and costs 15 to 50 USD per sample [3]. Across vast territories, this method is impractical for regular monitoring.</w:t>
      </w:r>
    </w:p>
    <w:p>
      <w:pPr>
        <w:pStyle w:val="MDPI31text"/>
        <w:rPr/>
      </w:pPr>
      <w:r>
        <w:rPr/>
        <w:t>Northern Kazakhstan is one of the world's largest grain-producing regions, encompassing over 20 million hectares of arable land [4]. A sharply continental climate, a short growing season, and high soil vulnerability to wind erosion [5] make the region particularly susceptible to degradation. In contrast to the well-studied regions of Europe, China, and South America, systematic studies on the relationship between soil properties and remote sensing (RS) data have rarely been conducted for this territory.</w:t>
      </w:r>
    </w:p>
    <w:p>
      <w:pPr>
        <w:pStyle w:val="MDPI31text"/>
        <w:rPr/>
      </w:pPr>
      <w:bookmarkStart w:id="0" w:name="Xbe5d42434d4fc2183c54460419abd95c2123ab6"/>
      <w:r>
        <w:rPr/>
        <w:t xml:space="preserve">Satellite data reflect soil properties through several physical mechanisms. In the visible and near-infrared (VNIR, 400–1000 nm) spectrum, reflectance depends on organic matter content and iron oxides. The short-wave infrared region (SWIR, 1000–2500 nm) is sensitive to moisture content and clay minerals [6; 7]. The Sentinel-2 [8] and Landsat-8 [9] multispectral systems provide imagery at a 10–30 m resolution every 5–16 days. Sentinel-1 radar data [10] operate independently of cloud cover and carry information about surface dielectric properties. Digital elevation models (Shuttle Radar Topography Mission, SRTM) describe geomorphology, including slope, aspect, and moisture distribution [11]. SoilGrids v2.0 global soil maps [12] and ERA5-Land climate data [13] complement the satellite information with background characteristics. </w:t>
      </w:r>
      <w:bookmarkEnd w:id="0"/>
    </w:p>
    <w:p>
      <w:pPr>
        <w:pStyle w:val="MDPI31text"/>
        <w:rPr/>
      </w:pPr>
      <w:r>
        <w:rPr/>
        <w:t xml:space="preserve">A number of studies have demonstrated the potential of satellite data for assessing soil properties. For instance, [14] achieved an </w:t>
      </w:r>
      <w:r>
        <w:rPr>
          <w:i/>
          <w:iCs/>
        </w:rPr>
        <w:t>R</w:t>
      </w:r>
      <w:r>
        <w:rPr>
          <w:i/>
          <w:iCs/>
          <w:vertAlign w:val="superscript"/>
        </w:rPr>
        <w:t>2</w:t>
      </w:r>
      <w:r>
        <w:rPr/>
        <w:t xml:space="preserve"> of up to 0.70 for SOC using Sentinel-2 on bare soils in Belgium. [15] demonstrated the feasibility of mapping pH and SOC in France, while a meta-analysis by [16] yielded median </w:t>
      </w:r>
      <w:r>
        <w:rPr>
          <w:i/>
          <w:iCs/>
        </w:rPr>
        <w:t>R</w:t>
      </w:r>
      <w:r>
        <w:rPr>
          <w:i/>
          <w:iCs/>
          <w:vertAlign w:val="superscript"/>
        </w:rPr>
        <w:t>2</w:t>
      </w:r>
      <w:r>
        <w:rPr/>
        <w:t xml:space="preserve"> values of 0.50–0.75 for SOC and pH. In a regional context, [17] mapped SOC and N in the soils of Kazakhstan, albeit with a limited set of covariates. However, several questions issues unresolved. To the best of our knowledge, a systematic multi-source analysis has not yet been conducted for the steppe zone of Central Asia, including chernozems and kastanozems of the sharply continental belt. While most published studies utilize a set of 20–80 covariates, the screening of several hundred multimodal features using diverse satellite platforms remains largely unaddressed. Equally important, the ratio of zonal and local (including anthropogenic) components of spatial variability is rarely quantified. Finally, the prediction of available forms of phosphorus, potassium, and sulfur is significantly less studied compared to SOC and pH.</w:t>
      </w:r>
    </w:p>
    <w:p>
      <w:pPr>
        <w:pStyle w:val="MDPI31text"/>
        <w:rPr>
          <w:highlight w:val="green"/>
        </w:rPr>
      </w:pPr>
      <w:r>
        <w:rPr>
          <w:highlight w:val="green"/>
        </w:rPr>
        <w:t>The objectives of this study were to: (i) identify which of the 140 base spectral features (S2+L8) are the most informative for each of the six soil properties; (ii) quantify how the season of acquisition (spring/summer/late summer/autumn) modulates the informativeness of spectral indices for different properties; (iii) evaluate whether the 110 composite configurations (inter-index, multi-seasonal, normalised band differences) outperform single indices, and for which properties; and (iv) assess which spatial covariates (MAP, latitude) confound the observed relationships and quantify the magnitude of this confounding.</w:t>
      </w:r>
    </w:p>
    <w:p>
      <w:pPr>
        <w:pStyle w:val="MDPI31text"/>
        <w:rPr>
          <w:highlight w:val="green"/>
        </w:rPr>
      </w:pPr>
      <w:r>
        <w:rPr>
          <w:highlight w:val="green"/>
        </w:rPr>
        <w:t>Particular attention is paid to spectral configurations: 140 base spectral features × 4 seasons are complemented by 100 engineered features (PCA, NDI, band ratios) and 110 composite configurations (inter-index, multi-seasonal, normalised differences), which for the first time for the steppe zone of Central Asia allows a quantitative assessment of which spectral data configurations carry the most information about specific soil properties.</w:t>
      </w:r>
    </w:p>
    <w:p>
      <w:pPr>
        <w:pStyle w:val="MDPI31text"/>
        <w:rPr>
          <w:lang w:val="ru-RU"/>
        </w:rPr>
      </w:pPr>
      <w:r>
        <w:rPr>
          <w:highlight w:val="green"/>
        </w:rPr>
        <w:t>Based on the literature, it is expected that (i) properties with pronounced zonal control (pH, SOC) will demonstrate more stable relationships with optical data than properties determined predominantly by anthropogenic factors (S, NO3); (ii) spring composites (bare soil) will be more informative for properties affecting the reflectance of the bare surface (K2O, P2O5), and summer indices — for NO3 at peak vegetation; (iii) composite configurations will give an advantage only for K2O (mineralogical basis), but not for other properties where single indices already capture the dominant physical signal.</w:t>
      </w:r>
    </w:p>
    <w:p>
      <w:pPr>
        <w:pStyle w:val="MDPI31text"/>
        <w:rPr/>
      </w:pPr>
      <w:r>
        <w:rPr>
          <w:highlight w:val="green"/>
        </w:rPr>
        <w:t>In contrast to our previous study [18], which focused on the spatial-validation hierarchy and on benchmarking ML and DL architectures, the present manuscript provides the first comprehensive, knowledge-driven exploration of the underlying soil–spectroscopy relationships in the Central Asian steppe; its aim is to establish the fundamental limits of remote sensing for individual agrochemical properties.</w:t>
      </w:r>
    </w:p>
    <w:p>
      <w:pPr>
        <w:pStyle w:val="MDPI21heading1"/>
        <w:rPr/>
      </w:pPr>
      <w:r>
        <w:rPr>
          <w:lang w:eastAsia="zh-CN"/>
        </w:rPr>
        <w:t xml:space="preserve">2. </w:t>
      </w:r>
      <w:r>
        <w:rPr/>
        <w:t>Materials and Methods</w:t>
      </w:r>
    </w:p>
    <w:p>
      <w:pPr>
        <w:pStyle w:val="MDPI22heading2"/>
        <w:spacing w:before="240" w:after="60"/>
        <w:rPr/>
      </w:pPr>
      <w:r>
        <w:rPr/>
        <w:t>2.1. Research area</w:t>
      </w:r>
    </w:p>
    <w:p>
      <w:pPr>
        <w:pStyle w:val="MDPI31text"/>
        <w:rPr/>
      </w:pPr>
      <w:r>
        <w:rPr>
          <w:highlight w:val="green"/>
        </w:rPr>
        <w:t>Field sites were distributed across rainfed cropland in three administrative regions of Northern Kazakhstan — Kostanay, Akmola and North Kazakhstan (approximately 50–54° N, 64–72° E; Figure 1). This belt forms part of the historic Virgin Lands (‘Tselina’) zone, which accounts for roughly four-fifths of the country’s arable area and is thus representative of the dryland grain systems addressed in this study.</w:t>
      </w:r>
    </w:p>
    <w:p>
      <w:pPr>
        <w:pStyle w:val="MDPI31text"/>
        <w:rPr/>
      </w:pPr>
      <w:r>
        <w:rPr>
          <w:highlight w:val="green"/>
        </w:rPr>
        <w:t>The regional climate is sharply continental (Köppen Dfb/BSk): mean annual air temperature lies between +0.5 and +3.0 °C and swings across an extreme −40 to +35 °C range, while annual precipitation of 250–400 mm is concentrated (up to ~40%) in June–August. The short 130–150-day growing season accumulates 2,000–2,600 °C·days above 10 °C [19]. Soils are dominated by Haplic and Aridic Chernozems and Kastanozems of medium-to-heavy loam texture, with humus contents of 2–6% and pH spanning 5.3–8.0. Continuous cultivation since the 1954 Virgin Lands campaign has progressively depleted humus and heightened susceptibility to wind erosion.</w:t>
      </w:r>
    </w:p>
    <w:p>
      <w:pPr>
        <w:pStyle w:val="MDPI31text"/>
        <w:rPr>
          <w:bCs/>
        </w:rPr>
      </w:pPr>
      <w:r>
        <w:rPr>
          <w:highlight w:val="green"/>
        </w:rPr>
        <w:t>Topographically the area is a gently undulating plain (180–420 m a.s.l.; slopes 0–3°) on which wind erosion outweighs water erosion. Cropping is dominated by spring wheat, barley and oilseeds, with no-till adoption near 45% (2023). Nutrient management is markedly uneven: nitrogen inputs range from nil to 90 kg ha⁻¹ and phosphorus up to 40 kg ha⁻¹ (active ingredient), with pronounced between-farm heterogeneity — a management mosaic that, as shown below, leaves a strong farm-level imprint on the agrochemical properties screened here.</w:t>
      </w:r>
    </w:p>
    <w:tbl>
      <w:tblPr>
        <w:tblStyle w:val="aff1"/>
        <w:tblW w:w="10462"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10462"/>
      </w:tblGrid>
      <w:tr>
        <w:trPr>
          <w:trHeight w:val="2786" w:hRule="atLeast"/>
        </w:trPr>
        <w:tc>
          <w:tcPr>
            <w:tcW w:w="10462" w:type="dxa"/>
            <w:tcBorders>
              <w:top w:val="nil"/>
              <w:start w:val="nil"/>
              <w:bottom w:val="nil"/>
              <w:end w:val="nil"/>
            </w:tcBorders>
          </w:tcPr>
          <w:p>
            <w:pPr>
              <w:pStyle w:val="Normal"/>
              <w:widowControl/>
              <w:spacing w:lineRule="auto" w:line="240" w:beforeAutospacing="1" w:after="0"/>
              <w:jc w:val="start"/>
              <w:rPr>
                <w:rFonts w:ascii="Times New Roman" w:hAnsi="Times New Roman" w:eastAsia="Times New Roman"/>
                <w:color w:val="auto"/>
                <w:sz w:val="24"/>
                <w:szCs w:val="24"/>
                <w:lang w:eastAsia="ru-RU"/>
              </w:rPr>
            </w:pPr>
            <w:r>
              <w:rPr>
                <w:rFonts w:cs="Times New Roman"/>
                <w:kern w:val="0"/>
                <w:lang w:val="en-US" w:bidi="ar-SA"/>
              </w:rPr>
              <w:drawing>
                <wp:inline distT="0" distB="0" distL="0" distR="0">
                  <wp:extent cx="6490970" cy="17056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3"/>
                          <a:stretch>
                            <a:fillRect/>
                          </a:stretch>
                        </pic:blipFill>
                        <pic:spPr bwMode="auto">
                          <a:xfrm>
                            <a:off x="0" y="0"/>
                            <a:ext cx="6490970" cy="1705610"/>
                          </a:xfrm>
                          <a:prstGeom prst="rect">
                            <a:avLst/>
                          </a:prstGeom>
                          <a:noFill/>
                        </pic:spPr>
                      </pic:pic>
                    </a:graphicData>
                  </a:graphic>
                </wp:inline>
              </w:drawing>
            </w:r>
          </w:p>
        </w:tc>
      </w:tr>
    </w:tbl>
    <w:p>
      <w:pPr>
        <w:pStyle w:val="MDPI31text"/>
        <w:spacing w:before="120" w:after="240"/>
        <w:ind w:hanging="0" w:start="2608"/>
        <w:rPr>
          <w:sz w:val="18"/>
          <w:szCs w:val="18"/>
        </w:rPr>
      </w:pPr>
      <w:r>
        <w:rPr>
          <w:b/>
          <w:sz w:val="18"/>
          <w:szCs w:val="18"/>
        </w:rPr>
        <w:t xml:space="preserve">Figure 1. </w:t>
      </w:r>
      <w:r>
        <w:rPr>
          <w:sz w:val="18"/>
          <w:szCs w:val="18"/>
        </w:rPr>
        <w:t>Map of the research area. Northern Kazakhstan (Kostanay, Akmola, and North Kazakhstan regions). Points indicate the locations of the 81 surveyed fields across 20 farms; the symbol size is proportional to the number of samples per field (</w:t>
      </w:r>
      <w:r>
        <w:rPr>
          <w:i/>
          <w:iCs/>
          <w:sz w:val="18"/>
          <w:szCs w:val="18"/>
        </w:rPr>
        <w:t>n</w:t>
      </w:r>
      <w:r>
        <w:rPr>
          <w:sz w:val="18"/>
          <w:szCs w:val="18"/>
        </w:rPr>
        <w:t xml:space="preserve"> = 1085, 2022–2023).</w:t>
      </w:r>
    </w:p>
    <w:p>
      <w:pPr>
        <w:pStyle w:val="MDPI22heading2"/>
        <w:spacing w:before="240" w:after="60"/>
        <w:rPr/>
      </w:pPr>
      <w:r>
        <w:rPr/>
        <w:t>2.2. Soil data</w:t>
      </w:r>
    </w:p>
    <w:p>
      <w:pPr>
        <w:pStyle w:val="MDPI31text"/>
        <w:rPr/>
      </w:pPr>
      <w:r>
        <w:rPr/>
        <w:t>The dataset contained 1,085 topsoil samples (0–25 cm) collected from 20 farms, comprising 81 unique fields, across two field seasons (2022–2023). In 2022, 174 samples were surveyed across 18 fields on 5 farms; in 2023, 911 samples were surveyed across 64 fields on 15 farms (one field was sampled in both years, yielding 18+64-1=81 unique fields). On each field, sampling was performed using a regular grid with a spacing of ~200 m and a buffer of at least 20 m from the boundaries. At each point, a composite sample was collected from 15–20 cores within a radius of ~10 m.</w:t>
      </w:r>
    </w:p>
    <w:p>
      <w:pPr>
        <w:pStyle w:val="MDPI31text"/>
        <w:rPr/>
      </w:pPr>
      <w:r>
        <w:rPr>
          <w:b/>
          <w:bCs/>
        </w:rPr>
        <w:t>Hierarchical sampling structure.</w:t>
      </w:r>
      <w:r>
        <w:rPr/>
        <w:t xml:space="preserve"> The data had a three-level hierarchical structure: 20 farms </w:t>
      </w:r>
      <w:r>
        <w:rPr>
          <w:rFonts w:cs="Cambria Math" w:ascii="Cambria Math" w:hAnsi="Cambria Math"/>
        </w:rPr>
        <w:t>⊃</w:t>
      </w:r>
      <w:r>
        <w:rPr/>
        <w:t xml:space="preserve"> 81 fields </w:t>
      </w:r>
      <w:r>
        <w:rPr>
          <w:rFonts w:cs="Cambria Math" w:ascii="Cambria Math" w:hAnsi="Cambria Math"/>
        </w:rPr>
        <w:t>⊃</w:t>
      </w:r>
      <w:r>
        <w:rPr/>
        <w:t xml:space="preserve"> 1,085 samples. The number of fields per farm varied from 1 to 17 (median 3.5), and the number of samples per field ranges from 3 to 20 (median 11). This hierarchy dictates the choice of the variance decomposition method (section 2.4.4): grouping by fields isolated within-field variability from between-field variability, while grouping by farms allowed for estimating the scale of between-farm correlation.</w:t>
      </w:r>
    </w:p>
    <w:p>
      <w:pPr>
        <w:pStyle w:val="MDPI31text"/>
        <w:rPr/>
      </w:pPr>
      <w:r>
        <w:rPr>
          <w:highlight w:val="green"/>
        </w:rPr>
        <w:t>Six agrochemical properties were quantified for every sample — pH (KCl), soil organic carbon (SOC), nitrate nitrogen (NO₃), mobile phosphorus and potassium (P₂O₅, K₂O) and available sulfur (S). Collection took place in two campaigns: a spring window (March–May, 817 samples) and a post-harvest window (September–October, 268 samples), so that roughly three-quarters of the dataset reflects bare-soil spring conditions.</w:t>
      </w:r>
    </w:p>
    <w:p>
      <w:pPr>
        <w:pStyle w:val="MDPI31text"/>
        <w:rPr/>
      </w:pPr>
      <w:r>
        <w:rPr/>
        <w:t>Sampling design had the limitation. The 2022 and 2023 samples cover virtually non-overlapping areas (5 vs. 15 farms, 18 vs. 64 fields; with only one shared field). This implies that interannual differences were confounded with spatial variations; therefore, interannual stability tests (Section 2.4.1) should be interpreted with this limitation in mind. Combining data from both years into a single correlation analysis was justified by the uniform methodology of sampling and laboratory analysis; however, it expanded the spatial coverage, which might inflate the observed correlations.</w:t>
      </w:r>
    </w:p>
    <w:p>
      <w:pPr>
        <w:pStyle w:val="MDPI31text"/>
        <w:rPr/>
      </w:pPr>
      <w:r>
        <w:rPr/>
        <w:t>Laboratory determinations were carried out using the following methods:</w:t>
      </w:r>
    </w:p>
    <w:p>
      <w:pPr>
        <w:pStyle w:val="MDPI31text"/>
        <w:numPr>
          <w:ilvl w:val="0"/>
          <w:numId w:val="5"/>
        </w:numPr>
        <w:ind w:hanging="0" w:start="2608"/>
        <w:rPr/>
      </w:pPr>
      <w:r>
        <w:rPr>
          <w:b/>
          <w:bCs/>
        </w:rPr>
        <w:t>pH</w:t>
      </w:r>
      <w:r>
        <w:rPr>
          <w:b/>
          <w:bCs/>
          <w:vertAlign w:val="subscript"/>
        </w:rPr>
        <w:t>KCl</w:t>
      </w:r>
      <w:r>
        <w:rPr/>
        <w:t xml:space="preserve"> — potentiometry in 1 M KCl (GOST 26483-85);</w:t>
      </w:r>
    </w:p>
    <w:p>
      <w:pPr>
        <w:pStyle w:val="MDPI31text"/>
        <w:numPr>
          <w:ilvl w:val="0"/>
          <w:numId w:val="5"/>
        </w:numPr>
        <w:ind w:hanging="0" w:start="2608"/>
        <w:rPr/>
      </w:pPr>
      <w:r>
        <w:rPr>
          <w:b/>
          <w:bCs/>
        </w:rPr>
        <w:t>SOC, %</w:t>
      </w:r>
      <w:r>
        <w:rPr/>
        <w:t xml:space="preserve"> — Tyurin method (GOST 26213-91) with van Bemmelen conversion factor: SOC = HU × 0.58 [</w:t>
      </w:r>
      <w:r>
        <w:rPr>
          <w:highlight w:val="yellow"/>
        </w:rPr>
        <w:t>20</w:t>
      </w:r>
      <w:r>
        <w:rPr/>
        <w:t>];</w:t>
      </w:r>
    </w:p>
    <w:p>
      <w:pPr>
        <w:pStyle w:val="MDPI31text"/>
        <w:numPr>
          <w:ilvl w:val="0"/>
          <w:numId w:val="5"/>
        </w:numPr>
        <w:ind w:hanging="0" w:start="2608"/>
        <w:rPr/>
      </w:pPr>
      <w:r>
        <w:rPr>
          <w:b/>
          <w:bCs/>
        </w:rPr>
        <w:t>NO</w:t>
      </w:r>
      <w:r>
        <w:rPr>
          <w:b/>
          <w:bCs/>
          <w:vertAlign w:val="subscript"/>
        </w:rPr>
        <w:t>3</w:t>
      </w:r>
      <w:r>
        <w:rPr>
          <w:b/>
          <w:bCs/>
        </w:rPr>
        <w:t>, mg/kg</w:t>
      </w:r>
      <w:r>
        <w:rPr/>
        <w:t xml:space="preserve"> — ionometric determination (GOST 26951-86);</w:t>
      </w:r>
    </w:p>
    <w:p>
      <w:pPr>
        <w:pStyle w:val="MDPI31text"/>
        <w:numPr>
          <w:ilvl w:val="0"/>
          <w:numId w:val="5"/>
        </w:numPr>
        <w:ind w:hanging="0" w:start="2608"/>
        <w:rPr/>
      </w:pPr>
      <w:r>
        <w:rPr>
          <w:b/>
          <w:bCs/>
        </w:rPr>
        <w:t>P</w:t>
      </w:r>
      <w:r>
        <w:rPr>
          <w:b/>
          <w:bCs/>
          <w:vertAlign w:val="subscript"/>
        </w:rPr>
        <w:t>2</w:t>
      </w:r>
      <w:r>
        <w:rPr>
          <w:b/>
          <w:bCs/>
        </w:rPr>
        <w:t>O</w:t>
      </w:r>
      <w:r>
        <w:rPr>
          <w:b/>
          <w:bCs/>
          <w:vertAlign w:val="subscript"/>
        </w:rPr>
        <w:t>5</w:t>
      </w:r>
      <w:r>
        <w:rPr>
          <w:b/>
          <w:bCs/>
        </w:rPr>
        <w:t xml:space="preserve"> and K</w:t>
      </w:r>
      <w:r>
        <w:rPr>
          <w:b/>
          <w:bCs/>
          <w:vertAlign w:val="subscript"/>
        </w:rPr>
        <w:t>2</w:t>
      </w:r>
      <w:r>
        <w:rPr>
          <w:b/>
          <w:bCs/>
        </w:rPr>
        <w:t>O, mg/kg</w:t>
      </w:r>
      <w:r>
        <w:rPr/>
        <w:t xml:space="preserve"> — Machigin method, 1% (NH</w:t>
      </w:r>
      <w:r>
        <w:rPr>
          <w:vertAlign w:val="subscript"/>
        </w:rPr>
        <w:t>4</w:t>
      </w:r>
      <w:r>
        <w:rPr/>
        <w:t>)</w:t>
      </w:r>
      <w:r>
        <w:rPr>
          <w:vertAlign w:val="subscript"/>
        </w:rPr>
        <w:t>2</w:t>
      </w:r>
      <w:r>
        <w:rPr/>
        <w:t>CO</w:t>
      </w:r>
      <w:r>
        <w:rPr>
          <w:vertAlign w:val="subscript"/>
        </w:rPr>
        <w:t>3</w:t>
      </w:r>
      <w:r>
        <w:rPr/>
        <w:t xml:space="preserve"> (GOST 26205-91);</w:t>
      </w:r>
    </w:p>
    <w:p>
      <w:pPr>
        <w:pStyle w:val="MDPI31text"/>
        <w:numPr>
          <w:ilvl w:val="0"/>
          <w:numId w:val="5"/>
        </w:numPr>
        <w:ind w:hanging="0" w:start="2608"/>
        <w:rPr/>
      </w:pPr>
      <w:r>
        <w:rPr>
          <w:b/>
          <w:bCs/>
        </w:rPr>
        <w:t>S, mg/kg</w:t>
      </w:r>
      <w:r>
        <w:rPr/>
        <w:t xml:space="preserve"> — turbidimetric determination in KCl extract.</w:t>
      </w:r>
    </w:p>
    <w:p>
      <w:pPr>
        <w:pStyle w:val="MDPI31text"/>
        <w:rPr/>
      </w:pPr>
      <w:r>
        <w:rPr/>
        <w:t>Descriptive statistics for soil agrochemical properties are presented in Section 2.4.1.</w:t>
      </w:r>
      <w:r>
        <w:rPr>
          <w:color w:val="auto"/>
        </w:rPr>
        <w:t xml:space="preserve"> The Shapiro–Wilk test confirmed the non-normal distribution of all 6 properties (</w:t>
      </w:r>
      <w:r>
        <w:rPr>
          <w:i/>
          <w:iCs/>
        </w:rPr>
        <w:t>p</w:t>
      </w:r>
      <w:r>
        <w:rPr/>
        <w:t>&lt;0.001</w:t>
      </w:r>
      <w:r>
        <w:rPr>
          <w:color w:val="auto"/>
        </w:rPr>
        <w:t>), which justifies the use of the non-parametric Spearman rank correlation coefficient (</w:t>
      </w:r>
      <w:r>
        <w:rPr>
          <w:lang w:val="ru-RU"/>
        </w:rPr>
        <w:t>ρ</w:t>
      </w:r>
      <w:r>
        <w:rPr>
          <w:color w:val="auto"/>
        </w:rPr>
        <w:t>) as the primary statistic for the correlation analysis.</w:t>
      </w:r>
    </w:p>
    <w:p>
      <w:pPr>
        <w:pStyle w:val="MDPI22heading2"/>
        <w:spacing w:before="240" w:after="60"/>
        <w:rPr/>
      </w:pPr>
      <w:r>
        <w:rPr/>
        <w:t>2.3. Methods</w:t>
      </w:r>
    </w:p>
    <w:p>
      <w:pPr>
        <w:pStyle w:val="MDPI31text"/>
        <w:ind w:firstLine="425" w:start="1134"/>
        <w:jc w:val="start"/>
        <w:rPr/>
      </w:pPr>
      <w:r>
        <w:rPr/>
        <w:t>The general analysis workflow is shown in Figure 2.</w:t>
      </w:r>
      <w:r>
        <w:rPr/>
        <w:drawing>
          <wp:inline distT="0" distB="0" distL="0" distR="0">
            <wp:extent cx="6041390" cy="228981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6041390" cy="2289810"/>
                    </a:xfrm>
                    <a:prstGeom prst="rect">
                      <a:avLst/>
                    </a:prstGeom>
                    <a:noFill/>
                  </pic:spPr>
                </pic:pic>
              </a:graphicData>
            </a:graphic>
          </wp:inline>
        </w:drawing>
      </w:r>
    </w:p>
    <w:p>
      <w:pPr>
        <w:pStyle w:val="MDPI31text"/>
        <w:spacing w:before="120" w:after="240"/>
        <w:ind w:hanging="0" w:start="2608"/>
        <w:rPr>
          <w:sz w:val="18"/>
          <w:szCs w:val="18"/>
        </w:rPr>
      </w:pPr>
      <w:r>
        <w:rPr>
          <w:b/>
          <w:sz w:val="18"/>
          <w:szCs w:val="18"/>
        </w:rPr>
        <w:t xml:space="preserve">Figure 2. </w:t>
      </w:r>
      <w:r>
        <w:rPr>
          <w:sz w:val="18"/>
          <w:szCs w:val="18"/>
        </w:rPr>
        <w:t>Analysis workflow. Green blocks represent input data, blue blocks indicate analytical stages, and the orange block represents the final result.</w:t>
      </w:r>
    </w:p>
    <w:p>
      <w:pPr>
        <w:pStyle w:val="MDPI31text"/>
        <w:spacing w:before="60" w:after="60"/>
        <w:ind w:hanging="0" w:start="2608"/>
        <w:rPr/>
      </w:pPr>
      <w:r>
        <w:rPr/>
        <w:t>2.3.1. Remote sensing data sources</w:t>
      </w:r>
    </w:p>
    <w:p>
      <w:pPr>
        <w:pStyle w:val="MDPI31text"/>
        <w:rPr/>
      </w:pPr>
      <w:r>
        <w:rPr>
          <w:highlight w:val="green"/>
        </w:rPr>
        <w:t>All remote-sensing covariates were retrieved and composited on the Google Earth Engine platform [21]; the characteristics of each source are summarised in Table 1.</w:t>
      </w:r>
    </w:p>
    <w:p>
      <w:pPr>
        <w:pStyle w:val="MDPI31text"/>
        <w:rPr/>
      </w:pPr>
      <w:r>
        <w:rPr/>
        <w:t>Optical data from Sentinel-2 (L2A, Sen2Cor) and Landsat-8 (Collection 2, L2) were aggregated into seasonal median composites across four phenological windows: spring (April–May), summer (June–July), late summer (August), and autumn (September–October). Cloud masking was performed using the QA60 band (≤10%). For each season, standard vegetation and soil indices (NDVI, GNDVI, NDRE, EVI, SAVI, BSI, etc.) were calculated [</w:t>
      </w:r>
      <w:r>
        <w:rPr>
          <w:highlight w:val="yellow"/>
        </w:rPr>
        <w:t>22</w:t>
      </w:r>
      <w:r>
        <w:rPr/>
        <w:t>].</w:t>
      </w:r>
    </w:p>
    <w:p>
      <w:pPr>
        <w:pStyle w:val="MDPI31text"/>
        <w:spacing w:before="240" w:after="120"/>
        <w:ind w:hanging="0" w:start="2608"/>
        <w:rPr/>
      </w:pPr>
      <w:r>
        <w:rPr>
          <w:b/>
          <w:sz w:val="18"/>
          <w:szCs w:val="18"/>
        </w:rPr>
        <w:t xml:space="preserve">Table 1. </w:t>
      </w:r>
      <w:r>
        <w:rPr>
          <w:sz w:val="18"/>
          <w:szCs w:val="18"/>
        </w:rPr>
        <w:t>Satellite and ancillary data sources used in the study.</w:t>
      </w:r>
    </w:p>
    <w:tbl>
      <w:tblPr>
        <w:bidiVisual w:val="true"/>
        <w:tblW w:w="10176" w:type="dxa"/>
        <w:jc w:val="start"/>
        <w:tblInd w:w="218" w:type="dxa"/>
        <w:tblLayout w:type="fixed"/>
        <w:tblCellMar>
          <w:top w:w="0" w:type="dxa"/>
          <w:start w:w="0" w:type="dxa"/>
          <w:bottom w:w="0" w:type="dxa"/>
          <w:end w:w="0" w:type="dxa"/>
        </w:tblCellMar>
        <w:tblLook w:firstRow="1" w:noVBand="1" w:lastRow="0" w:firstColumn="1" w:lastColumn="0" w:noHBand="0" w:val="04a0"/>
      </w:tblPr>
      <w:tblGrid>
        <w:gridCol w:w="2032"/>
        <w:gridCol w:w="2145"/>
        <w:gridCol w:w="4110"/>
        <w:gridCol w:w="1889"/>
      </w:tblGrid>
      <w:tr>
        <w:trPr>
          <w:trHeight w:val="236" w:hRule="atLeast"/>
        </w:trPr>
        <w:tc>
          <w:tcPr>
            <w:tcW w:w="2032" w:type="dxa"/>
            <w:tcBorders>
              <w:top w:val="single" w:sz="8" w:space="0" w:color="000000"/>
              <w:bottom w:val="single" w:sz="4" w:space="0" w:color="000000"/>
            </w:tcBorders>
            <w:vAlign w:val="center"/>
          </w:tcPr>
          <w:p>
            <w:pPr>
              <w:pStyle w:val="MDPI42tablebody"/>
              <w:spacing w:lineRule="auto" w:line="240"/>
              <w:rPr>
                <w:b/>
                <w:lang w:val="ru-RU"/>
              </w:rPr>
            </w:pPr>
            <w:r>
              <w:rPr>
                <w:rFonts w:eastAsia="MS Mincho"/>
                <w:b/>
                <w:sz w:val="18"/>
              </w:rPr>
              <w:t>Source</w:t>
            </w:r>
          </w:p>
        </w:tc>
        <w:tc>
          <w:tcPr>
            <w:tcW w:w="2145" w:type="dxa"/>
            <w:tcBorders>
              <w:top w:val="single" w:sz="8" w:space="0" w:color="000000"/>
              <w:bottom w:val="single" w:sz="4" w:space="0" w:color="000000"/>
            </w:tcBorders>
            <w:vAlign w:val="center"/>
          </w:tcPr>
          <w:p>
            <w:pPr>
              <w:pStyle w:val="MDPI42tablebody"/>
              <w:spacing w:lineRule="auto" w:line="240"/>
              <w:rPr>
                <w:rFonts w:eastAsia="MS Mincho"/>
                <w:b/>
                <w:sz w:val="18"/>
              </w:rPr>
            </w:pPr>
            <w:r>
              <w:rPr>
                <w:rFonts w:eastAsia="MS Mincho"/>
                <w:b/>
                <w:sz w:val="18"/>
              </w:rPr>
              <w:t>Resolution</w:t>
            </w:r>
          </w:p>
        </w:tc>
        <w:tc>
          <w:tcPr>
            <w:tcW w:w="4110" w:type="dxa"/>
            <w:tcBorders>
              <w:top w:val="single" w:sz="8" w:space="0" w:color="000000"/>
              <w:bottom w:val="single" w:sz="4" w:space="0" w:color="000000"/>
            </w:tcBorders>
            <w:vAlign w:val="center"/>
          </w:tcPr>
          <w:p>
            <w:pPr>
              <w:pStyle w:val="MDPI42tablebody"/>
              <w:spacing w:lineRule="auto" w:line="240"/>
              <w:rPr>
                <w:b/>
                <w:lang w:val="ru-RU"/>
              </w:rPr>
            </w:pPr>
            <w:r>
              <w:rPr>
                <w:rFonts w:eastAsia="MS Mincho"/>
                <w:b/>
                <w:sz w:val="18"/>
              </w:rPr>
              <w:t>Parameters extracted</w:t>
            </w:r>
          </w:p>
        </w:tc>
        <w:tc>
          <w:tcPr>
            <w:tcW w:w="1889" w:type="dxa"/>
            <w:tcBorders>
              <w:top w:val="single" w:sz="8" w:space="0" w:color="000000"/>
              <w:bottom w:val="single" w:sz="4" w:space="0" w:color="000000"/>
            </w:tcBorders>
            <w:vAlign w:val="center"/>
          </w:tcPr>
          <w:p>
            <w:pPr>
              <w:pStyle w:val="MDPI42tablebody"/>
              <w:spacing w:lineRule="auto" w:line="240"/>
              <w:rPr>
                <w:b/>
                <w:lang w:val="ru-RU"/>
              </w:rPr>
            </w:pPr>
            <w:r>
              <w:rPr>
                <w:rFonts w:eastAsia="MS Mincho"/>
                <w:b/>
                <w:sz w:val="18"/>
              </w:rPr>
              <w:t>Period</w:t>
            </w:r>
          </w:p>
        </w:tc>
      </w:tr>
      <w:tr>
        <w:trPr>
          <w:trHeight w:val="236" w:hRule="atLeast"/>
        </w:trPr>
        <w:tc>
          <w:tcPr>
            <w:tcW w:w="2032" w:type="dxa"/>
            <w:tcBorders>
              <w:top w:val="single" w:sz="4" w:space="0" w:color="000000"/>
            </w:tcBorders>
            <w:vAlign w:val="center"/>
          </w:tcPr>
          <w:p>
            <w:pPr>
              <w:pStyle w:val="MDPI42tablebody"/>
              <w:spacing w:lineRule="auto" w:line="240"/>
              <w:rPr/>
            </w:pPr>
            <w:r>
              <w:rPr>
                <w:rFonts w:eastAsia="MS Mincho"/>
                <w:sz w:val="18"/>
              </w:rPr>
              <w:t>Sentinel-2</w:t>
            </w:r>
          </w:p>
        </w:tc>
        <w:tc>
          <w:tcPr>
            <w:tcW w:w="2145" w:type="dxa"/>
            <w:tcBorders>
              <w:top w:val="single" w:sz="4" w:space="0" w:color="000000"/>
            </w:tcBorders>
            <w:vAlign w:val="center"/>
          </w:tcPr>
          <w:p>
            <w:pPr>
              <w:pStyle w:val="MDPI42tablebody"/>
              <w:spacing w:lineRule="auto" w:line="240"/>
              <w:rPr>
                <w:rFonts w:eastAsia="MS Mincho"/>
                <w:sz w:val="18"/>
              </w:rPr>
            </w:pPr>
            <w:r>
              <w:rPr>
                <w:rFonts w:eastAsia="MS Mincho"/>
                <w:sz w:val="18"/>
              </w:rPr>
              <w:t>10–60 m</w:t>
            </w:r>
          </w:p>
        </w:tc>
        <w:tc>
          <w:tcPr>
            <w:tcW w:w="4110" w:type="dxa"/>
            <w:tcBorders>
              <w:top w:val="single" w:sz="4" w:space="0" w:color="000000"/>
            </w:tcBorders>
            <w:vAlign w:val="center"/>
          </w:tcPr>
          <w:p>
            <w:pPr>
              <w:pStyle w:val="MDPI42tablebody"/>
              <w:spacing w:lineRule="auto" w:line="240"/>
              <w:rPr/>
            </w:pPr>
            <w:r>
              <w:rPr>
                <w:rFonts w:eastAsia="MS Mincho"/>
                <w:sz w:val="18"/>
                <w:lang w:val="ru-RU"/>
              </w:rPr>
              <w:t>Spectral channels, vegetation indices</w:t>
            </w:r>
          </w:p>
        </w:tc>
        <w:tc>
          <w:tcPr>
            <w:tcW w:w="1889" w:type="dxa"/>
            <w:tcBorders>
              <w:top w:val="single" w:sz="4" w:space="0" w:color="000000"/>
            </w:tcBorders>
            <w:vAlign w:val="center"/>
          </w:tcPr>
          <w:p>
            <w:pPr>
              <w:pStyle w:val="MDPI42tablebody"/>
              <w:spacing w:lineRule="auto" w:line="240"/>
              <w:rPr>
                <w:lang w:val="ru-RU"/>
              </w:rPr>
            </w:pPr>
            <w:r>
              <w:rPr>
                <w:rFonts w:eastAsia="MS Mincho"/>
                <w:sz w:val="18"/>
              </w:rPr>
              <w:t>Apr–Oct 2022–2023</w:t>
            </w:r>
          </w:p>
        </w:tc>
      </w:tr>
      <w:tr>
        <w:trPr>
          <w:trHeight w:val="236" w:hRule="atLeast"/>
        </w:trPr>
        <w:tc>
          <w:tcPr>
            <w:tcW w:w="2032" w:type="dxa"/>
            <w:tcBorders/>
            <w:vAlign w:val="center"/>
          </w:tcPr>
          <w:p>
            <w:pPr>
              <w:pStyle w:val="MDPI42tablebody"/>
              <w:spacing w:lineRule="auto" w:line="240"/>
              <w:rPr/>
            </w:pPr>
            <w:r>
              <w:rPr>
                <w:rFonts w:eastAsia="MS Mincho"/>
                <w:sz w:val="18"/>
                <w:lang w:val="fr-FR"/>
              </w:rPr>
              <w:t>Landsat-8</w:t>
            </w:r>
          </w:p>
        </w:tc>
        <w:tc>
          <w:tcPr>
            <w:tcW w:w="2145" w:type="dxa"/>
            <w:tcBorders/>
            <w:vAlign w:val="center"/>
          </w:tcPr>
          <w:p>
            <w:pPr>
              <w:pStyle w:val="MDPI42tablebody"/>
              <w:spacing w:lineRule="auto" w:line="240"/>
              <w:rPr>
                <w:rFonts w:eastAsia="MS Mincho"/>
                <w:sz w:val="18"/>
              </w:rPr>
            </w:pPr>
            <w:r>
              <w:rPr>
                <w:rFonts w:eastAsia="MS Mincho"/>
                <w:sz w:val="18"/>
              </w:rPr>
              <w:t>30 m</w:t>
            </w:r>
          </w:p>
        </w:tc>
        <w:tc>
          <w:tcPr>
            <w:tcW w:w="4110" w:type="dxa"/>
            <w:tcBorders/>
            <w:vAlign w:val="center"/>
          </w:tcPr>
          <w:p>
            <w:pPr>
              <w:pStyle w:val="MDPI42tablebody"/>
              <w:spacing w:lineRule="auto" w:line="240"/>
              <w:rPr>
                <w:lang w:val="ru-RU"/>
              </w:rPr>
            </w:pPr>
            <w:r>
              <w:rPr>
                <w:rFonts w:eastAsia="MS Mincho"/>
                <w:sz w:val="18"/>
                <w:lang w:val="ru-RU"/>
              </w:rPr>
              <w:t>Spectral channels, vegetation indices</w:t>
            </w:r>
          </w:p>
        </w:tc>
        <w:tc>
          <w:tcPr>
            <w:tcW w:w="1889" w:type="dxa"/>
            <w:tcBorders/>
            <w:vAlign w:val="center"/>
          </w:tcPr>
          <w:p>
            <w:pPr>
              <w:pStyle w:val="MDPI42tablebody"/>
              <w:spacing w:lineRule="auto" w:line="240"/>
              <w:rPr>
                <w:lang w:val="ru-RU"/>
              </w:rPr>
            </w:pPr>
            <w:r>
              <w:rPr>
                <w:rFonts w:eastAsia="MS Mincho"/>
                <w:sz w:val="18"/>
              </w:rPr>
              <w:t>Apr–Oct 2022–2023</w:t>
            </w:r>
          </w:p>
        </w:tc>
      </w:tr>
      <w:tr>
        <w:trPr>
          <w:trHeight w:val="236" w:hRule="atLeast"/>
        </w:trPr>
        <w:tc>
          <w:tcPr>
            <w:tcW w:w="2032" w:type="dxa"/>
            <w:tcBorders/>
            <w:vAlign w:val="center"/>
          </w:tcPr>
          <w:p>
            <w:pPr>
              <w:pStyle w:val="MDPI42tablebody"/>
              <w:spacing w:lineRule="auto" w:line="240"/>
              <w:rPr>
                <w:rFonts w:eastAsia="MS Mincho"/>
                <w:sz w:val="18"/>
              </w:rPr>
            </w:pPr>
            <w:r>
              <w:rPr>
                <w:rFonts w:eastAsia="MS Mincho"/>
                <w:sz w:val="18"/>
              </w:rPr>
              <w:t>Sentinel-1</w:t>
            </w:r>
          </w:p>
        </w:tc>
        <w:tc>
          <w:tcPr>
            <w:tcW w:w="2145" w:type="dxa"/>
            <w:tcBorders/>
            <w:vAlign w:val="center"/>
          </w:tcPr>
          <w:p>
            <w:pPr>
              <w:pStyle w:val="MDPI42tablebody"/>
              <w:spacing w:lineRule="auto" w:line="240"/>
              <w:rPr>
                <w:rFonts w:eastAsia="MS Mincho"/>
                <w:sz w:val="18"/>
              </w:rPr>
            </w:pPr>
            <w:r>
              <w:rPr>
                <w:rFonts w:eastAsia="MS Mincho"/>
                <w:sz w:val="18"/>
              </w:rPr>
              <w:t>10 m</w:t>
            </w:r>
          </w:p>
        </w:tc>
        <w:tc>
          <w:tcPr>
            <w:tcW w:w="4110" w:type="dxa"/>
            <w:tcBorders/>
            <w:vAlign w:val="center"/>
          </w:tcPr>
          <w:p>
            <w:pPr>
              <w:pStyle w:val="MDPI42tablebody"/>
              <w:spacing w:lineRule="auto" w:line="240"/>
              <w:rPr>
                <w:rFonts w:eastAsia="MS Mincho"/>
                <w:sz w:val="18"/>
              </w:rPr>
            </w:pPr>
            <w:r>
              <w:rPr>
                <w:rFonts w:eastAsia="MS Mincho"/>
                <w:sz w:val="18"/>
              </w:rPr>
              <w:t>Backscatter (VV and VH</w:t>
            </w:r>
            <w:r>
              <w:rPr/>
              <w:t xml:space="preserve"> </w:t>
            </w:r>
            <w:r>
              <w:rPr>
                <w:rFonts w:eastAsia="MS Mincho"/>
                <w:sz w:val="18"/>
              </w:rPr>
              <w:t>polarization)</w:t>
            </w:r>
          </w:p>
        </w:tc>
        <w:tc>
          <w:tcPr>
            <w:tcW w:w="1889" w:type="dxa"/>
            <w:tcBorders/>
            <w:vAlign w:val="center"/>
          </w:tcPr>
          <w:p>
            <w:pPr>
              <w:pStyle w:val="MDPI42tablebody"/>
              <w:spacing w:lineRule="auto" w:line="240"/>
              <w:rPr>
                <w:rFonts w:eastAsia="MS Mincho"/>
                <w:sz w:val="18"/>
                <w:lang w:val="ru-RU"/>
              </w:rPr>
            </w:pPr>
            <w:r>
              <w:rPr>
                <w:rFonts w:eastAsia="MS Mincho"/>
                <w:sz w:val="18"/>
              </w:rPr>
              <w:t>2022–2023</w:t>
            </w:r>
          </w:p>
        </w:tc>
      </w:tr>
      <w:tr>
        <w:trPr>
          <w:trHeight w:val="236" w:hRule="atLeast"/>
        </w:trPr>
        <w:tc>
          <w:tcPr>
            <w:tcW w:w="2032" w:type="dxa"/>
            <w:tcBorders/>
            <w:vAlign w:val="center"/>
          </w:tcPr>
          <w:p>
            <w:pPr>
              <w:pStyle w:val="MDPI42tablebody"/>
              <w:spacing w:lineRule="auto" w:line="240"/>
              <w:rPr>
                <w:rFonts w:eastAsia="MS Mincho"/>
                <w:sz w:val="18"/>
                <w:lang w:val="fr-FR"/>
              </w:rPr>
            </w:pPr>
            <w:r>
              <w:rPr>
                <w:rFonts w:eastAsia="MS Mincho"/>
                <w:sz w:val="18"/>
                <w:lang w:val="fr-FR"/>
              </w:rPr>
              <w:t>SRTM DEM]</w:t>
            </w:r>
          </w:p>
        </w:tc>
        <w:tc>
          <w:tcPr>
            <w:tcW w:w="2145" w:type="dxa"/>
            <w:tcBorders/>
            <w:vAlign w:val="center"/>
          </w:tcPr>
          <w:p>
            <w:pPr>
              <w:pStyle w:val="MDPI42tablebody"/>
              <w:spacing w:lineRule="auto" w:line="240"/>
              <w:rPr>
                <w:rFonts w:eastAsia="MS Mincho"/>
                <w:sz w:val="18"/>
              </w:rPr>
            </w:pPr>
            <w:r>
              <w:rPr>
                <w:rFonts w:eastAsia="MS Mincho"/>
                <w:sz w:val="18"/>
              </w:rPr>
              <w:t>30 m</w:t>
            </w:r>
          </w:p>
        </w:tc>
        <w:tc>
          <w:tcPr>
            <w:tcW w:w="4110" w:type="dxa"/>
            <w:tcBorders/>
            <w:vAlign w:val="center"/>
          </w:tcPr>
          <w:p>
            <w:pPr>
              <w:pStyle w:val="MDPI42tablebody"/>
              <w:spacing w:lineRule="auto" w:line="240"/>
              <w:rPr>
                <w:rFonts w:eastAsia="MS Mincho"/>
                <w:sz w:val="18"/>
              </w:rPr>
            </w:pPr>
            <w:r>
              <w:rPr>
                <w:rFonts w:eastAsia="MS Mincho"/>
                <w:sz w:val="18"/>
              </w:rPr>
              <w:t>Elevation, slope, aspect, curvature, and Topographic Position Index (TPI)</w:t>
            </w:r>
          </w:p>
        </w:tc>
        <w:tc>
          <w:tcPr>
            <w:tcW w:w="1889" w:type="dxa"/>
            <w:tcBorders/>
            <w:vAlign w:val="center"/>
          </w:tcPr>
          <w:p>
            <w:pPr>
              <w:pStyle w:val="MDPI42tablebody"/>
              <w:spacing w:lineRule="auto" w:line="240"/>
              <w:rPr>
                <w:rFonts w:eastAsia="MS Mincho"/>
                <w:sz w:val="18"/>
                <w:lang w:val="ru-RU"/>
              </w:rPr>
            </w:pPr>
            <w:r>
              <w:rPr>
                <w:rFonts w:eastAsia="MS Mincho"/>
                <w:sz w:val="18"/>
              </w:rPr>
              <w:t>Static</w:t>
            </w:r>
          </w:p>
        </w:tc>
      </w:tr>
      <w:tr>
        <w:trPr>
          <w:trHeight w:val="236" w:hRule="atLeast"/>
        </w:trPr>
        <w:tc>
          <w:tcPr>
            <w:tcW w:w="2032" w:type="dxa"/>
            <w:tcBorders/>
            <w:vAlign w:val="center"/>
          </w:tcPr>
          <w:p>
            <w:pPr>
              <w:pStyle w:val="MDPI42tablebody"/>
              <w:spacing w:lineRule="auto" w:line="240"/>
              <w:rPr>
                <w:rFonts w:eastAsia="MS Mincho"/>
                <w:sz w:val="18"/>
              </w:rPr>
            </w:pPr>
            <w:r>
              <w:rPr>
                <w:rFonts w:eastAsia="MS Mincho"/>
                <w:sz w:val="18"/>
                <w:lang w:val="fr-FR"/>
              </w:rPr>
              <w:t>SoilGrids v 2.0</w:t>
            </w:r>
          </w:p>
        </w:tc>
        <w:tc>
          <w:tcPr>
            <w:tcW w:w="2145" w:type="dxa"/>
            <w:tcBorders/>
            <w:vAlign w:val="center"/>
          </w:tcPr>
          <w:p>
            <w:pPr>
              <w:pStyle w:val="MDPI42tablebody"/>
              <w:spacing w:lineRule="auto" w:line="240"/>
              <w:rPr>
                <w:rFonts w:eastAsia="MS Mincho"/>
                <w:sz w:val="18"/>
              </w:rPr>
            </w:pPr>
            <w:r>
              <w:rPr>
                <w:rFonts w:eastAsia="MS Mincho"/>
                <w:sz w:val="18"/>
              </w:rPr>
              <w:t>250 m</w:t>
            </w:r>
          </w:p>
        </w:tc>
        <w:tc>
          <w:tcPr>
            <w:tcW w:w="4110" w:type="dxa"/>
            <w:tcBorders/>
            <w:vAlign w:val="center"/>
          </w:tcPr>
          <w:p>
            <w:pPr>
              <w:pStyle w:val="MDPI42tablebody"/>
              <w:spacing w:lineRule="auto" w:line="240"/>
              <w:rPr>
                <w:rFonts w:eastAsia="MS Mincho"/>
                <w:sz w:val="18"/>
                <w:lang w:val="ru-RU"/>
              </w:rPr>
            </w:pPr>
            <w:r>
              <w:rPr>
                <w:rFonts w:eastAsia="MS Mincho"/>
                <w:sz w:val="18"/>
                <w:lang w:val="ru-RU"/>
              </w:rPr>
              <w:t>Reference Soil Properties (7 × 6 depths)</w:t>
            </w:r>
          </w:p>
        </w:tc>
        <w:tc>
          <w:tcPr>
            <w:tcW w:w="1889" w:type="dxa"/>
            <w:tcBorders/>
            <w:vAlign w:val="center"/>
          </w:tcPr>
          <w:p>
            <w:pPr>
              <w:pStyle w:val="MDPI42tablebody"/>
              <w:spacing w:lineRule="auto" w:line="240"/>
              <w:rPr>
                <w:rFonts w:eastAsia="MS Mincho"/>
                <w:sz w:val="18"/>
                <w:lang w:val="ru-RU"/>
              </w:rPr>
            </w:pPr>
            <w:r>
              <w:rPr>
                <w:rFonts w:eastAsia="MS Mincho"/>
                <w:sz w:val="18"/>
              </w:rPr>
              <w:t>Static</w:t>
            </w:r>
          </w:p>
        </w:tc>
      </w:tr>
      <w:tr>
        <w:trPr>
          <w:trHeight w:val="236" w:hRule="atLeast"/>
        </w:trPr>
        <w:tc>
          <w:tcPr>
            <w:tcW w:w="2032" w:type="dxa"/>
            <w:tcBorders>
              <w:bottom w:val="single" w:sz="8" w:space="0" w:color="000000"/>
            </w:tcBorders>
            <w:vAlign w:val="center"/>
          </w:tcPr>
          <w:p>
            <w:pPr>
              <w:pStyle w:val="MDPI42tablebody"/>
              <w:spacing w:lineRule="auto" w:line="240"/>
              <w:rPr>
                <w:rFonts w:eastAsia="MS Mincho"/>
                <w:sz w:val="18"/>
              </w:rPr>
            </w:pPr>
            <w:r>
              <w:rPr>
                <w:rFonts w:eastAsia="MS Mincho"/>
                <w:sz w:val="18"/>
                <w:lang w:val="fr-FR"/>
              </w:rPr>
              <w:t>ERA 5-Land</w:t>
            </w:r>
          </w:p>
        </w:tc>
        <w:tc>
          <w:tcPr>
            <w:tcW w:w="2145" w:type="dxa"/>
            <w:tcBorders>
              <w:bottom w:val="single" w:sz="8" w:space="0" w:color="000000"/>
            </w:tcBorders>
            <w:vAlign w:val="center"/>
          </w:tcPr>
          <w:p>
            <w:pPr>
              <w:pStyle w:val="MDPI42tablebody"/>
              <w:spacing w:lineRule="auto" w:line="240"/>
              <w:rPr>
                <w:rFonts w:eastAsia="MS Mincho"/>
                <w:sz w:val="18"/>
              </w:rPr>
            </w:pPr>
            <w:r>
              <w:rPr>
                <w:rFonts w:eastAsia="MS Mincho"/>
                <w:sz w:val="18"/>
              </w:rPr>
              <w:t>9 km</w:t>
            </w:r>
          </w:p>
        </w:tc>
        <w:tc>
          <w:tcPr>
            <w:tcW w:w="4110" w:type="dxa"/>
            <w:tcBorders>
              <w:bottom w:val="single" w:sz="8" w:space="0" w:color="000000"/>
            </w:tcBorders>
            <w:vAlign w:val="center"/>
          </w:tcPr>
          <w:p>
            <w:pPr>
              <w:pStyle w:val="MDPI42tablebody"/>
              <w:spacing w:lineRule="auto" w:line="240"/>
              <w:rPr>
                <w:rFonts w:eastAsia="MS Mincho"/>
                <w:sz w:val="18"/>
              </w:rPr>
            </w:pPr>
            <w:r>
              <w:rPr>
                <w:rFonts w:eastAsia="MS Mincho"/>
                <w:sz w:val="18"/>
              </w:rPr>
              <w:t>Mean annual temperature/precipitation, GDD</w:t>
            </w:r>
          </w:p>
        </w:tc>
        <w:tc>
          <w:tcPr>
            <w:tcW w:w="1889" w:type="dxa"/>
            <w:tcBorders>
              <w:bottom w:val="single" w:sz="8" w:space="0" w:color="000000"/>
            </w:tcBorders>
            <w:vAlign w:val="center"/>
          </w:tcPr>
          <w:p>
            <w:pPr>
              <w:pStyle w:val="MDPI42tablebody"/>
              <w:spacing w:lineRule="auto" w:line="240"/>
              <w:rPr>
                <w:rFonts w:eastAsia="MS Mincho"/>
                <w:sz w:val="18"/>
                <w:lang w:val="ru-RU"/>
              </w:rPr>
            </w:pPr>
            <w:r>
              <w:rPr>
                <w:rFonts w:eastAsia="MS Mincho"/>
                <w:sz w:val="18"/>
              </w:rPr>
              <w:t>2022–2023</w:t>
            </w:r>
          </w:p>
        </w:tc>
      </w:tr>
    </w:tbl>
    <w:p>
      <w:pPr>
        <w:pStyle w:val="MDPI31text"/>
        <w:rPr/>
      </w:pPr>
      <w:r>
        <w:rPr/>
        <w:t xml:space="preserve">Seasonal medians of VV and VH backscatter from Sentinel-1 SAR along with their temporal statistics were used. Topographic attributes (elevation, slope, aspect, curvature, TPI) were derived from SRTM DEM. Aspect was transformed into two variables — </w:t>
      </w:r>
      <w:r>
        <w:rPr>
          <w:i/>
          <w:iCs/>
        </w:rPr>
        <w:t>sin</w:t>
      </w:r>
      <w:r>
        <w:rPr/>
        <w:t xml:space="preserve">(aspect) and </w:t>
      </w:r>
      <w:r>
        <w:rPr>
          <w:i/>
          <w:iCs/>
        </w:rPr>
        <w:t>cos</w:t>
      </w:r>
      <w:r>
        <w:rPr/>
        <w:t>(aspect) to eliminate the cyclic nature of the angular measurement [</w:t>
      </w:r>
      <w:r>
        <w:rPr>
          <w:highlight w:val="yellow"/>
        </w:rPr>
        <w:t>23</w:t>
      </w:r>
      <w:r>
        <w:rPr/>
        <w:t xml:space="preserve">]. </w:t>
      </w:r>
      <w:r>
        <w:rPr>
          <w:iCs/>
          <w:szCs w:val="20"/>
        </w:rPr>
        <w:t xml:space="preserve">The </w:t>
      </w:r>
      <w:r>
        <w:rPr>
          <w:i/>
          <w:szCs w:val="20"/>
        </w:rPr>
        <w:t>sin</w:t>
      </w:r>
      <w:r>
        <w:rPr>
          <w:iCs/>
          <w:szCs w:val="20"/>
        </w:rPr>
        <w:t xml:space="preserve">(aspect) and </w:t>
      </w:r>
      <w:r>
        <w:rPr>
          <w:i/>
          <w:szCs w:val="20"/>
        </w:rPr>
        <w:t>cos</w:t>
      </w:r>
      <w:r>
        <w:rPr>
          <w:iCs/>
          <w:szCs w:val="20"/>
        </w:rPr>
        <w:t>(aspect) captured the east–west and north–south components, respectively.</w:t>
      </w:r>
      <w:r>
        <w:rPr/>
        <w:t xml:space="preserve"> SoilGrids v2.0 data [12] (7 variables across 6 depth intervals) were included as a reference background. Five bioclimatic variables (MAT, MAP, GS_temp, GS_precip, GDD) were extracted from the ERA5-Land dataset [13].</w:t>
      </w:r>
    </w:p>
    <w:p>
      <w:pPr>
        <w:pStyle w:val="MDPI31text"/>
        <w:rPr/>
      </w:pPr>
      <w:r>
        <w:rPr>
          <w:b/>
          <w:bCs/>
        </w:rPr>
        <w:t>Spatial data extraction.</w:t>
      </w:r>
      <w:r>
        <w:rPr/>
        <w:t xml:space="preserve"> For each sampling point, satellite data values were extracted as the mean within a buffer zone with a radius of 15 m (Sentinel-1 and Sentinel-2) or 30 m (Landsat-8 and SRTM) around the GPS coordinates (using GEE ee.Image.reduceRegion function). For ERA5-Land (~9 km) and SoilGrids (250 m), bilinear interpolation to the sampling point was applied.</w:t>
      </w:r>
    </w:p>
    <w:p>
      <w:pPr>
        <w:pStyle w:val="MDPI31text"/>
        <w:rPr/>
      </w:pPr>
      <w:r>
        <w:rPr/>
        <w:t>Consequently, spatial data extraction was limited due to a scale and point-support mismatch.</w:t>
      </w:r>
      <w:r>
        <w:rPr>
          <w:rFonts w:eastAsia="SimSun"/>
          <w:szCs w:val="20"/>
          <w:lang w:eastAsia="zh-CN" w:bidi="ar-SA"/>
        </w:rPr>
        <w:t xml:space="preserve"> </w:t>
      </w:r>
      <w:r>
        <w:rPr/>
        <w:t xml:space="preserve">Matching point soil data (with a support of ~10 m) with coarse-scale predictors from ERA5 (~9 km) and SoilGrids (250 m) inevitably led to spatial smoothing of the predictors. This could artificially inflate correlations with the latitudinal gradient, as coarse pixels 'average out' local variability and reflect only the regional trend [16]. Therefore, correlations with ERA5 and SoilGrids should be interpreted as estimates of the association with regional climatic and pedological gradients, rather than indicators of local predictive performance. To minimize this effect, the ERA5 and SoilGrids features were isolated into separate groups and excluded from the aggregated metrics of the 'top' predictors. </w:t>
      </w:r>
    </w:p>
    <w:p>
      <w:pPr>
        <w:pStyle w:val="MDPI31text"/>
        <w:spacing w:before="60" w:after="60"/>
        <w:ind w:hanging="0" w:start="2608"/>
        <w:rPr/>
      </w:pPr>
      <w:r>
        <w:rPr/>
        <w:t>2.3.2. Feature Extraction and Engineering</w:t>
      </w:r>
    </w:p>
    <w:p>
      <w:pPr>
        <w:pStyle w:val="MDPI31text"/>
        <w:rPr/>
      </w:pPr>
      <w:r>
        <w:rPr/>
        <w:t>The extraction process was implemented as a 12-stage workflow (s01–s12), producing a combined dataset of 512 features (following the exclusion of 42 SoilGrids v2.0 variables used solely as reference background):</w:t>
      </w:r>
    </w:p>
    <w:p>
      <w:pPr>
        <w:pStyle w:val="MDPI31text"/>
        <w:numPr>
          <w:ilvl w:val="0"/>
          <w:numId w:val="6"/>
        </w:numPr>
        <w:ind w:hanging="357" w:start="2965"/>
        <w:rPr/>
      </w:pPr>
      <w:r>
        <w:rPr/>
        <w:t>Spectral bands and indices (S2, L8): ~164 features;</w:t>
      </w:r>
    </w:p>
    <w:p>
      <w:pPr>
        <w:pStyle w:val="MDPI31text"/>
        <w:numPr>
          <w:ilvl w:val="0"/>
          <w:numId w:val="6"/>
        </w:numPr>
        <w:ind w:hanging="357" w:start="2965"/>
        <w:rPr/>
      </w:pPr>
      <w:r>
        <w:rPr/>
        <w:t>Temporal characteristics (</w:t>
      </w:r>
      <w:r>
        <w:rPr>
          <w:i/>
          <w:iCs/>
          <w:lang w:val="ru-RU"/>
        </w:rPr>
        <w:t>Δ</w:t>
      </w:r>
      <w:r>
        <w:rPr/>
        <w:t>, amplitudes, std): ~120 features;</w:t>
      </w:r>
    </w:p>
    <w:p>
      <w:pPr>
        <w:pStyle w:val="MDPI31text"/>
        <w:numPr>
          <w:ilvl w:val="0"/>
          <w:numId w:val="6"/>
        </w:numPr>
        <w:ind w:hanging="357" w:start="2965"/>
        <w:rPr/>
      </w:pPr>
      <w:r>
        <w:rPr/>
        <w:t>SAR VV/VH + statistics: 16 features;</w:t>
      </w:r>
    </w:p>
    <w:p>
      <w:pPr>
        <w:pStyle w:val="MDPI31text"/>
        <w:numPr>
          <w:ilvl w:val="0"/>
          <w:numId w:val="6"/>
        </w:numPr>
        <w:ind w:hanging="357" w:start="2965"/>
        <w:rPr/>
      </w:pPr>
      <w:r>
        <w:rPr>
          <w:lang w:val="ru-RU"/>
        </w:rPr>
        <w:t>Topographic variables (SRTM): 5 features;</w:t>
      </w:r>
      <w:r>
        <w:rPr/>
        <w:t xml:space="preserve"> </w:t>
      </w:r>
    </w:p>
    <w:p>
      <w:pPr>
        <w:pStyle w:val="MDPI31text"/>
        <w:numPr>
          <w:ilvl w:val="0"/>
          <w:numId w:val="6"/>
        </w:numPr>
        <w:ind w:hanging="357" w:start="2965"/>
        <w:rPr/>
      </w:pPr>
      <w:r>
        <w:rPr/>
        <w:t>Background soil properties (SoilGrids): 42 features (excluded from the 512 total and included in the correlation analysis for reference comparison);</w:t>
      </w:r>
    </w:p>
    <w:p>
      <w:pPr>
        <w:pStyle w:val="MDPI31text"/>
        <w:numPr>
          <w:ilvl w:val="0"/>
          <w:numId w:val="6"/>
        </w:numPr>
        <w:ind w:hanging="357" w:start="2965"/>
        <w:rPr>
          <w:lang w:val="ru-RU"/>
        </w:rPr>
      </w:pPr>
      <w:r>
        <w:rPr>
          <w:lang w:val="ru-RU"/>
        </w:rPr>
        <w:t>Climatic variables (ERA5): 5 features;</w:t>
      </w:r>
    </w:p>
    <w:p>
      <w:pPr>
        <w:pStyle w:val="MDPI31text"/>
        <w:numPr>
          <w:ilvl w:val="0"/>
          <w:numId w:val="6"/>
        </w:numPr>
        <w:ind w:hanging="357" w:start="2965"/>
        <w:rPr/>
      </w:pPr>
      <w:r>
        <w:rPr/>
        <w:t>GLCM texture features [</w:t>
      </w:r>
      <w:r>
        <w:rPr>
          <w:highlight w:val="yellow"/>
        </w:rPr>
        <w:t>24</w:t>
      </w:r>
      <w:r>
        <w:rPr/>
        <w:t>] (contrast, entropy, dissimilarity, ASM, IDM; 5×5-pixel window, all four directions [0°, 45°, 90°, 135°] averaged to achieve rotational invariance; calculated for Sentinel-2 NIR and SWIR1 bands × 4 seasons): 40 features;</w:t>
      </w:r>
    </w:p>
    <w:p>
      <w:pPr>
        <w:pStyle w:val="MDPI31text"/>
        <w:numPr>
          <w:ilvl w:val="0"/>
          <w:numId w:val="6"/>
        </w:numPr>
        <w:ind w:hanging="357" w:start="2965"/>
        <w:rPr/>
      </w:pPr>
      <w:r>
        <w:rPr/>
        <w:t>Engineered features (band ratios B5/B4, B11/B8, B6/B5, etc.; PCA—first 3 components derived from 10 Sentinel-2 bands [B2–B8A, B11, B12], explaining &gt;95% of the variance): ~30 features;</w:t>
      </w:r>
    </w:p>
    <w:p>
      <w:pPr>
        <w:pStyle w:val="MDPI31text"/>
        <w:numPr>
          <w:ilvl w:val="0"/>
          <w:numId w:val="6"/>
        </w:numPr>
        <w:ind w:hanging="357" w:start="2965"/>
        <w:rPr/>
      </w:pPr>
      <w:r>
        <w:rPr/>
        <w:t>Multi-sensor cross-platform features (products and ratios of S2 and L8 spectral indices: NDVI</w:t>
      </w:r>
      <w:r>
        <w:rPr>
          <w:vertAlign w:val="subscript"/>
        </w:rPr>
        <w:t>S2</w:t>
      </w:r>
      <w:r>
        <w:rPr/>
        <w:t>/NDVI</w:t>
      </w:r>
      <w:r>
        <w:rPr>
          <w:vertAlign w:val="subscript"/>
        </w:rPr>
        <w:t>L8</w:t>
      </w:r>
      <w:r>
        <w:rPr/>
        <w:t xml:space="preserve">, </w:t>
      </w:r>
      <w:r>
        <w:rPr>
          <w:i/>
          <w:iCs/>
        </w:rPr>
        <w:t>Δ</w:t>
      </w:r>
      <w:r>
        <w:rPr/>
        <w:t>GNDVI</w:t>
      </w:r>
      <w:r>
        <w:rPr>
          <w:vertAlign w:val="subscript"/>
        </w:rPr>
        <w:t>S2-L8</w:t>
      </w:r>
      <w:r>
        <w:rPr/>
        <w:t>, VH/NDVI, VV/BSI, etc.): ~14 features;</w:t>
      </w:r>
    </w:p>
    <w:p>
      <w:pPr>
        <w:pStyle w:val="MDPI31text"/>
        <w:numPr>
          <w:ilvl w:val="0"/>
          <w:numId w:val="6"/>
        </w:numPr>
        <w:ind w:hanging="357" w:start="2965"/>
        <w:rPr>
          <w:lang w:val="ru-RU"/>
        </w:rPr>
      </w:pPr>
      <w:r>
        <w:rPr>
          <w:lang w:val="ru-RU"/>
        </w:rPr>
        <w:t>110</w:t>
      </w:r>
      <w:r>
        <w:rPr/>
        <w:t xml:space="preserve"> c</w:t>
      </w:r>
      <w:r>
        <w:rPr>
          <w:lang w:val="ru-RU"/>
        </w:rPr>
        <w:t>omposite features.</w:t>
      </w:r>
    </w:p>
    <w:p>
      <w:pPr>
        <w:pStyle w:val="MDPI31text"/>
        <w:rPr/>
      </w:pPr>
      <w:r>
        <w:rPr/>
        <w:t>These categories partially overlap (composite features combine elements of spectral, temporal, and engineered variables). The final total of 512 unique features was obtained after deduplication and the removal of variables with near-zero variance (</w:t>
      </w:r>
      <w:r>
        <w:rPr>
          <w:lang w:val="ru-RU"/>
        </w:rPr>
        <w:t>σ</w:t>
      </w:r>
      <w:r>
        <w:rPr>
          <w:vertAlign w:val="superscript"/>
        </w:rPr>
        <w:t>2</w:t>
      </w:r>
      <w:r>
        <w:rPr/>
        <w:t xml:space="preserve"> &lt; 10</w:t>
      </w:r>
      <w:r>
        <w:rPr>
          <w:vertAlign w:val="superscript"/>
        </w:rPr>
        <w:t>-6</w:t>
      </w:r>
      <w:r>
        <w:rPr/>
        <w:t>).</w:t>
      </w:r>
    </w:p>
    <w:p>
      <w:pPr>
        <w:pStyle w:val="MDPI31text"/>
        <w:rPr/>
      </w:pPr>
      <w:r>
        <w:rPr/>
        <w:t>Notably, the SoilGrids v2.0 variables (42 features) were excluded from the 512 primary features due to their coarse resolution (250 m vs. 10–30 m for the primary data sources). However, they were included in the correlation analysis for reference comparison and are marked with an 'SG' label in the results tables.</w:t>
      </w:r>
    </w:p>
    <w:p>
      <w:pPr>
        <w:pStyle w:val="MDPI31text"/>
        <w:rPr/>
      </w:pPr>
      <w:r>
        <w:rPr/>
        <w:t>Missing values (&lt;0.3% of the combined dataset) were imputed using linear interpolation across adjacent seasons. Features with near-zero variance (</w:t>
      </w:r>
      <w:r>
        <w:rPr>
          <w:lang w:val="ru-RU"/>
        </w:rPr>
        <w:t>σ</w:t>
      </w:r>
      <w:r>
        <w:rPr>
          <w:vertAlign w:val="superscript"/>
        </w:rPr>
        <w:t>2</w:t>
      </w:r>
      <w:r>
        <w:rPr/>
        <w:t xml:space="preserve"> &lt; 10</w:t>
      </w:r>
      <w:r>
        <w:rPr>
          <w:vertAlign w:val="superscript"/>
        </w:rPr>
        <w:t>-6</w:t>
      </w:r>
      <w:r>
        <w:rPr/>
        <w:t>) were removed, thereby eliminating variables lacking meaningful variability (e.g., bands saturated by the cloud mask) [3]. The removal of highly intercorrelated features (|r| &gt; 0.95) was intentionally omitted during the correlation analysis phase to preserve the full structure of the feature space; multicollinearity was explicitly accounted for during predictive modeling.</w:t>
      </w:r>
    </w:p>
    <w:p>
      <w:pPr>
        <w:pStyle w:val="MDPI31text"/>
        <w:rPr/>
      </w:pPr>
      <w:r>
        <w:rPr>
          <w:b/>
          <w:bCs/>
        </w:rPr>
        <w:t>Feature categorization.</w:t>
      </w:r>
      <w:r>
        <w:rPr/>
        <w:t xml:space="preserve"> To improve interpretability, the feature categories are summarized in Table 2.</w:t>
      </w:r>
    </w:p>
    <w:p>
      <w:pPr>
        <w:pStyle w:val="MDPI31text"/>
        <w:spacing w:before="240" w:after="120"/>
        <w:ind w:hanging="0" w:start="2608"/>
        <w:rPr>
          <w:sz w:val="18"/>
          <w:szCs w:val="18"/>
          <w:lang w:val="ru-RU"/>
        </w:rPr>
      </w:pPr>
      <w:r>
        <w:rPr>
          <w:b/>
          <w:sz w:val="18"/>
          <w:szCs w:val="18"/>
        </w:rPr>
        <w:t>Table</w:t>
      </w:r>
      <w:r>
        <w:rPr>
          <w:b/>
          <w:sz w:val="18"/>
          <w:szCs w:val="18"/>
          <w:lang w:val="ru-RU"/>
        </w:rPr>
        <w:t xml:space="preserve"> 2. </w:t>
      </w:r>
      <w:r>
        <w:rPr>
          <w:sz w:val="18"/>
          <w:szCs w:val="18"/>
          <w:lang w:val="ru-RU"/>
        </w:rPr>
        <w:t xml:space="preserve">Feature </w:t>
      </w:r>
      <w:r>
        <w:rPr>
          <w:sz w:val="18"/>
          <w:szCs w:val="18"/>
        </w:rPr>
        <w:t>groups</w:t>
      </w:r>
      <w:r>
        <w:rPr>
          <w:sz w:val="18"/>
          <w:szCs w:val="18"/>
          <w:lang w:val="ru-RU"/>
        </w:rPr>
        <w:t>.</w:t>
      </w:r>
    </w:p>
    <w:tbl>
      <w:tblPr>
        <w:tblStyle w:val="aff1"/>
        <w:tblW w:w="9890" w:type="dxa"/>
        <w:jc w:val="start"/>
        <w:tblInd w:w="540" w:type="dxa"/>
        <w:tblLayout w:type="fixed"/>
        <w:tblCellMar>
          <w:top w:w="0" w:type="dxa"/>
          <w:start w:w="108" w:type="dxa"/>
          <w:bottom w:w="0" w:type="dxa"/>
          <w:end w:w="108" w:type="dxa"/>
        </w:tblCellMar>
        <w:tblLook w:firstRow="1" w:noVBand="1" w:lastRow="0" w:firstColumn="1" w:lastColumn="0" w:noHBand="0" w:val="04a0"/>
      </w:tblPr>
      <w:tblGrid>
        <w:gridCol w:w="2581"/>
        <w:gridCol w:w="841"/>
        <w:gridCol w:w="1561"/>
        <w:gridCol w:w="4907"/>
      </w:tblGrid>
      <w:tr>
        <w:trPr>
          <w:trHeight w:val="290" w:hRule="atLeast"/>
        </w:trPr>
        <w:tc>
          <w:tcPr>
            <w:tcW w:w="2581" w:type="dxa"/>
            <w:tcBorders>
              <w:start w:val="nil"/>
              <w:end w:val="nil"/>
            </w:tcBorders>
            <w:vAlign w:val="center"/>
          </w:tcPr>
          <w:p>
            <w:pPr>
              <w:pStyle w:val="MDPI31text"/>
              <w:widowControl/>
              <w:suppressAutoHyphens w:val="true"/>
              <w:spacing w:before="0" w:after="0"/>
              <w:ind w:hanging="0" w:start="0"/>
              <w:jc w:val="center"/>
              <w:rPr>
                <w:rFonts w:cs="Times New Roman"/>
                <w:kern w:val="0"/>
                <w:sz w:val="18"/>
                <w:szCs w:val="18"/>
                <w:lang w:val="en-US"/>
              </w:rPr>
            </w:pPr>
            <w:r>
              <w:rPr>
                <w:rFonts w:cs="Times New Roman"/>
                <w:b/>
                <w:bCs/>
                <w:kern w:val="0"/>
                <w:sz w:val="18"/>
                <w:szCs w:val="18"/>
                <w:lang w:val="en-US"/>
              </w:rPr>
              <w:t>Group</w:t>
            </w:r>
          </w:p>
        </w:tc>
        <w:tc>
          <w:tcPr>
            <w:tcW w:w="841" w:type="dxa"/>
            <w:tcBorders>
              <w:start w:val="nil"/>
              <w:end w:val="nil"/>
            </w:tcBorders>
            <w:vAlign w:val="center"/>
          </w:tcPr>
          <w:p>
            <w:pPr>
              <w:pStyle w:val="MDPI31text"/>
              <w:widowControl/>
              <w:suppressAutoHyphens w:val="true"/>
              <w:spacing w:before="0" w:after="0"/>
              <w:ind w:hanging="0" w:start="0"/>
              <w:jc w:val="center"/>
              <w:rPr>
                <w:rFonts w:cs="Times New Roman"/>
                <w:kern w:val="0"/>
                <w:sz w:val="18"/>
                <w:szCs w:val="18"/>
                <w:lang w:val="en-US"/>
              </w:rPr>
            </w:pPr>
            <w:r>
              <w:rPr>
                <w:rFonts w:cs="Times New Roman"/>
                <w:b/>
                <w:bCs/>
                <w:kern w:val="0"/>
                <w:sz w:val="18"/>
                <w:szCs w:val="18"/>
                <w:lang w:val="en-US"/>
              </w:rPr>
              <w:t>N</w:t>
            </w:r>
          </w:p>
        </w:tc>
        <w:tc>
          <w:tcPr>
            <w:tcW w:w="1561" w:type="dxa"/>
            <w:tcBorders>
              <w:start w:val="nil"/>
              <w:end w:val="nil"/>
            </w:tcBorders>
            <w:vAlign w:val="center"/>
          </w:tcPr>
          <w:p>
            <w:pPr>
              <w:pStyle w:val="MDPI31text"/>
              <w:widowControl/>
              <w:suppressAutoHyphens w:val="true"/>
              <w:spacing w:before="0" w:after="0"/>
              <w:ind w:hanging="0" w:start="0"/>
              <w:jc w:val="center"/>
              <w:rPr>
                <w:rFonts w:cs="Times New Roman"/>
                <w:kern w:val="0"/>
                <w:sz w:val="18"/>
                <w:szCs w:val="18"/>
                <w:lang w:val="en-US"/>
              </w:rPr>
            </w:pPr>
            <w:r>
              <w:rPr>
                <w:rFonts w:cs="Times New Roman"/>
                <w:b/>
                <w:bCs/>
                <w:kern w:val="0"/>
                <w:sz w:val="18"/>
                <w:szCs w:val="18"/>
                <w:lang w:val="en-US"/>
              </w:rPr>
              <w:t>Source</w:t>
            </w:r>
          </w:p>
        </w:tc>
        <w:tc>
          <w:tcPr>
            <w:tcW w:w="4907" w:type="dxa"/>
            <w:tcBorders>
              <w:start w:val="nil"/>
              <w:end w:val="nil"/>
            </w:tcBorders>
            <w:vAlign w:val="center"/>
          </w:tcPr>
          <w:p>
            <w:pPr>
              <w:pStyle w:val="MDPI31text"/>
              <w:widowControl/>
              <w:suppressAutoHyphens w:val="true"/>
              <w:spacing w:before="0" w:after="0"/>
              <w:ind w:hanging="0" w:start="0"/>
              <w:jc w:val="center"/>
              <w:rPr>
                <w:rFonts w:cs="Times New Roman"/>
                <w:kern w:val="0"/>
                <w:sz w:val="18"/>
                <w:szCs w:val="18"/>
                <w:lang w:val="en-US"/>
              </w:rPr>
            </w:pPr>
            <w:r>
              <w:rPr>
                <w:rFonts w:cs="Times New Roman"/>
                <w:b/>
                <w:bCs/>
                <w:kern w:val="0"/>
                <w:sz w:val="18"/>
                <w:szCs w:val="18"/>
                <w:lang w:val="en-US"/>
              </w:rPr>
              <w:t>Determination</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Base spectral S2</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104</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Sentinel-2</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10 bands + 7 indices + additional generated × 4 seasons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Base spectral L8</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36</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Landsat-8</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6 bands + 3 indices × 4 seasons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Spectral engineering</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100</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S2 (s11 module)</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PCA1-3, NDI(Bi,Bj), band ratios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Temporal statistics</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100</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S2, L8</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mean, std, cv, slope of indices across 4 seasons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Multi-seasonal deltas</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64</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S2, L8</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Δseason_i − season_j, all pairs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Range statistics</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16</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S2, L8</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range (max−min) of indices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GLCM texture</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56</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S2 (NIR, SWIR, Red)</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5 statistics × 2–3 bands × 4 seasons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Cross-sensor</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24</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S2 × L8</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diff, ratio of indices × 4 seasons</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Topographic</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8</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SRTM</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DEM, slope, aspect sin/cos, TWI, TPI, plan/profile curvature</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Climate</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4</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ERA5-Land</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MAT, MAP, GS_temp, GS_precip</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Total features</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512</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lang w:val="en-US" w:eastAsia="zh-CN" w:bidi="ar-SA"/>
              </w:rPr>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10 categories above (verified against master_dataset_old.csv)</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Composite (on top of base)</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110</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S2, L8</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inter-index (48), multi-seasonal (42), NDI (20)</w:t>
            </w:r>
          </w:p>
        </w:tc>
      </w:tr>
      <w:tr>
        <w:trPr/>
        <w:tc>
          <w:tcPr>
            <w:tcW w:w="258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Pedological (reference)</w:t>
            </w:r>
          </w:p>
        </w:tc>
        <w:tc>
          <w:tcPr>
            <w:tcW w:w="84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42</w:t>
            </w:r>
          </w:p>
        </w:tc>
        <w:tc>
          <w:tcPr>
            <w:tcW w:w="156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SoilGrids v2.0</w:t>
            </w:r>
          </w:p>
        </w:tc>
        <w:tc>
          <w:tcPr>
            <w:tcW w:w="4907"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7 variables × 6 depths (excluded from the 512 features)</w:t>
            </w:r>
          </w:p>
        </w:tc>
      </w:tr>
    </w:tbl>
    <w:p>
      <w:pPr>
        <w:pStyle w:val="MDPI31text"/>
        <w:rPr/>
      </w:pPr>
      <w:r>
        <w:rPr/>
        <w:t>In addition to individual indices, three types of composite spectral features were computed, totaling 110 features:</w:t>
      </w:r>
    </w:p>
    <w:p>
      <w:pPr>
        <w:pStyle w:val="MDPI31text"/>
        <w:numPr>
          <w:ilvl w:val="0"/>
          <w:numId w:val="7"/>
        </w:numPr>
        <w:ind w:hanging="357" w:start="2965"/>
        <w:rPr/>
      </w:pPr>
      <w:r>
        <w:rPr/>
        <w:t>Inter-index combinations (48 features): pairwise products, differences, and ratios of 7 vegetation indices (NDVI, NDRE, GNDVI, EVI, SAVI, BSI, MSI) across 4 seasons (12 pairs × 4 seasons);</w:t>
      </w:r>
    </w:p>
    <w:p>
      <w:pPr>
        <w:pStyle w:val="MDPI31text"/>
        <w:numPr>
          <w:ilvl w:val="0"/>
          <w:numId w:val="7"/>
        </w:numPr>
        <w:ind w:hanging="357" w:start="2965"/>
        <w:rPr/>
      </w:pPr>
      <w:r>
        <w:rPr/>
        <w:t xml:space="preserve">Multi-seasonal differences (42 features): </w:t>
      </w:r>
      <w:r>
        <w:rPr>
          <w:i/>
          <w:iCs/>
          <w:lang w:val="ru-RU"/>
        </w:rPr>
        <w:t>Δ</w:t>
      </w:r>
      <w:r>
        <w:rPr/>
        <w:t>NDVI</w:t>
      </w:r>
      <w:r>
        <w:rPr>
          <w:b/>
          <w:bCs/>
          <w:vertAlign w:val="subscript"/>
        </w:rPr>
        <w:t>summer-spring</w:t>
      </w:r>
      <w:r>
        <w:rPr/>
        <w:t>, amplitude (max–min), and seasonal mean values (7 indices × 6 combinations);</w:t>
      </w:r>
    </w:p>
    <w:p>
      <w:pPr>
        <w:pStyle w:val="MDPI31text"/>
        <w:numPr>
          <w:ilvl w:val="0"/>
          <w:numId w:val="7"/>
        </w:numPr>
        <w:ind w:hanging="357" w:start="2965"/>
        <w:rPr/>
      </w:pPr>
      <w:r>
        <w:rPr/>
        <w:t>Normalized difference indices (20 features): NDI (B5, B4), NDI (B11, B12), B11/B8, SWIR/NIR, etc. (5 formulas × 4 seasons).</w:t>
      </w:r>
    </w:p>
    <w:p>
      <w:pPr>
        <w:pStyle w:val="MDPI31text"/>
        <w:rPr/>
      </w:pPr>
      <w:r>
        <w:rPr/>
        <w:t>To expand the analytical space, 9 derived soil indicators were computed:</w:t>
      </w:r>
    </w:p>
    <w:p>
      <w:pPr>
        <w:pStyle w:val="MDPI31text"/>
        <w:numPr>
          <w:ilvl w:val="0"/>
          <w:numId w:val="8"/>
        </w:numPr>
        <w:ind w:hanging="357" w:start="2965"/>
        <w:rPr/>
      </w:pPr>
      <w:r>
        <w:rPr/>
        <w:t>SOC/NO</w:t>
      </w:r>
      <w:r>
        <w:rPr>
          <w:vertAlign w:val="subscript"/>
        </w:rPr>
        <w:t>3</w:t>
      </w:r>
      <w:r>
        <w:rPr/>
        <w:t xml:space="preserve"> — a proxy for the C:N ratio;</w:t>
      </w:r>
    </w:p>
    <w:p>
      <w:pPr>
        <w:pStyle w:val="MDPI31text"/>
        <w:numPr>
          <w:ilvl w:val="0"/>
          <w:numId w:val="8"/>
        </w:numPr>
        <w:ind w:hanging="357" w:start="2965"/>
        <w:rPr/>
      </w:pPr>
      <w:r>
        <w:rPr/>
        <w:t>SOC</w:t>
      </w:r>
      <w:r>
        <w:rPr/>
      </w:r>
      <m:oMath xmlns:m="http://schemas.openxmlformats.org/officeDocument/2006/math">
        <m:r>
          <m:t xml:space="preserve">×</m:t>
        </m:r>
      </m:oMath>
      <w:r>
        <w:rPr/>
        <w:t>NO</w:t>
      </w:r>
      <w:r>
        <w:rPr>
          <w:vertAlign w:val="subscript"/>
        </w:rPr>
        <w:t>3</w:t>
      </w:r>
      <w:r>
        <w:rPr/>
        <w:t xml:space="preserve"> — organic nitrogen pool proxy;</w:t>
      </w:r>
    </w:p>
    <w:p>
      <w:pPr>
        <w:pStyle w:val="MDPI31text"/>
        <w:numPr>
          <w:ilvl w:val="0"/>
          <w:numId w:val="8"/>
        </w:numPr>
        <w:ind w:hanging="357" w:start="2965"/>
        <w:rPr/>
      </w:pPr>
      <w:r>
        <w:rPr/>
        <w:t>S/NO</w:t>
      </w:r>
      <w:r>
        <w:rPr>
          <w:vertAlign w:val="subscript"/>
        </w:rPr>
        <w:t>3</w:t>
      </w:r>
      <w:r>
        <w:rPr/>
        <w:t xml:space="preserve"> — S–N balance;</w:t>
      </w:r>
    </w:p>
    <w:p>
      <w:pPr>
        <w:pStyle w:val="MDPI31text"/>
        <w:numPr>
          <w:ilvl w:val="0"/>
          <w:numId w:val="8"/>
        </w:numPr>
        <w:ind w:hanging="357" w:start="2965"/>
        <w:rPr>
          <w:lang w:val="ru-RU"/>
        </w:rPr>
      </w:pPr>
      <w:r>
        <w:rPr/>
        <w:t>NO</w:t>
      </w:r>
      <w:r>
        <w:rPr>
          <w:vertAlign w:val="subscript"/>
        </w:rPr>
        <w:t>3</w:t>
      </w:r>
      <w:r>
        <w:rPr/>
        <w:t xml:space="preserve"> + 0.5 S</w:t>
      </w:r>
      <w:r>
        <w:rPr>
          <w:lang w:val="ru-RU"/>
        </w:rPr>
        <w:t xml:space="preserve"> — </w:t>
      </w:r>
      <w:r>
        <w:rPr/>
        <w:t>m</w:t>
      </w:r>
      <w:r>
        <w:rPr>
          <w:lang w:val="ru-RU"/>
        </w:rPr>
        <w:t>ineralization index;</w:t>
      </w:r>
    </w:p>
    <w:p>
      <w:pPr>
        <w:pStyle w:val="MDPI31text"/>
        <w:numPr>
          <w:ilvl w:val="0"/>
          <w:numId w:val="8"/>
        </w:numPr>
        <w:ind w:hanging="357" w:start="2965"/>
        <w:rPr>
          <w:lang w:val="ru-RU"/>
        </w:rPr>
      </w:pPr>
      <w:r>
        <w:rPr/>
        <w:t>P</w:t>
      </w:r>
      <w:r>
        <w:rPr>
          <w:vertAlign w:val="subscript"/>
          <w:lang w:val="ru-RU"/>
        </w:rPr>
        <w:t>2</w:t>
      </w:r>
      <w:r>
        <w:rPr/>
        <w:t>O</w:t>
      </w:r>
      <w:r>
        <w:rPr>
          <w:vertAlign w:val="subscript"/>
          <w:lang w:val="ru-RU"/>
        </w:rPr>
        <w:t>5</w:t>
      </w:r>
      <w:r>
        <w:rPr>
          <w:lang w:val="ru-RU"/>
        </w:rPr>
        <w:t>/</w:t>
      </w:r>
      <w:r>
        <w:rPr/>
        <w:t>K</w:t>
      </w:r>
      <w:r>
        <w:rPr>
          <w:vertAlign w:val="subscript"/>
        </w:rPr>
        <w:t>2</w:t>
      </w:r>
      <w:r>
        <w:rPr/>
        <w:t>O</w:t>
      </w:r>
      <w:r>
        <w:rPr>
          <w:lang w:val="ru-RU"/>
        </w:rPr>
        <w:t xml:space="preserve"> — </w:t>
      </w:r>
      <w:r>
        <w:rPr/>
        <w:t>m</w:t>
      </w:r>
      <w:r>
        <w:rPr>
          <w:lang w:val="ru-RU"/>
        </w:rPr>
        <w:t>acronutrient balance;</w:t>
      </w:r>
    </w:p>
    <w:p>
      <w:pPr>
        <w:pStyle w:val="MDPI31text"/>
        <w:numPr>
          <w:ilvl w:val="0"/>
          <w:numId w:val="8"/>
        </w:numPr>
        <w:ind w:hanging="357" w:start="2965"/>
        <w:rPr>
          <w:lang w:val="ru-RU"/>
        </w:rPr>
      </w:pPr>
      <w:r>
        <w:rPr>
          <w:lang w:val="ru-RU"/>
        </w:rPr>
        <w:t>|</w:t>
      </w:r>
      <w:r>
        <w:rPr/>
        <w:t>pH</w:t>
      </w:r>
      <w:r>
        <w:rPr>
          <w:lang w:val="ru-RU"/>
        </w:rPr>
        <w:t xml:space="preserve"> – 7.0|— </w:t>
      </w:r>
      <w:r>
        <w:rPr/>
        <w:t>d</w:t>
      </w:r>
      <w:r>
        <w:rPr>
          <w:lang w:val="ru-RU"/>
        </w:rPr>
        <w:t>eviation from neutrality;</w:t>
      </w:r>
    </w:p>
    <w:p>
      <w:pPr>
        <w:pStyle w:val="MDPI31text"/>
        <w:numPr>
          <w:ilvl w:val="0"/>
          <w:numId w:val="8"/>
        </w:numPr>
        <w:ind w:hanging="357" w:start="2965"/>
        <w:rPr>
          <w:lang w:val="ru-RU"/>
        </w:rPr>
      </w:pPr>
      <w:r>
        <w:rPr/>
        <w:t>SOC × pH</w:t>
      </w:r>
      <w:r>
        <w:rPr>
          <w:lang w:val="ru-RU"/>
        </w:rPr>
        <w:t xml:space="preserve"> — interaction effect;</w:t>
      </w:r>
    </w:p>
    <w:p>
      <w:pPr>
        <w:pStyle w:val="MDPI31text"/>
        <w:numPr>
          <w:ilvl w:val="0"/>
          <w:numId w:val="8"/>
        </w:numPr>
        <w:ind w:hanging="357" w:start="2965"/>
        <w:rPr>
          <w:lang w:val="ru-RU"/>
        </w:rPr>
      </w:pPr>
      <w:r>
        <w:rPr>
          <w:lang w:val="ru-RU"/>
        </w:rPr>
        <w:t>Normalized fertility index;</w:t>
      </w:r>
    </w:p>
    <w:p>
      <w:pPr>
        <w:pStyle w:val="MDPI31text"/>
        <w:numPr>
          <w:ilvl w:val="0"/>
          <w:numId w:val="8"/>
        </w:numPr>
        <w:ind w:hanging="357" w:start="2965"/>
        <w:rPr>
          <w:lang w:val="ru-RU"/>
        </w:rPr>
      </w:pPr>
      <w:bookmarkStart w:id="1" w:name="sec%25253Afeature_pipeline"/>
      <w:bookmarkStart w:id="2" w:name="sec%25253Aderived_indicators"/>
      <w:r>
        <w:rPr>
          <w:lang w:val="ru-RU"/>
        </w:rPr>
        <w:t>Sum of nutrients.</w:t>
      </w:r>
      <w:bookmarkEnd w:id="1"/>
      <w:bookmarkEnd w:id="2"/>
    </w:p>
    <w:p>
      <w:pPr>
        <w:pStyle w:val="MDPI22heading2"/>
        <w:spacing w:before="240" w:after="60"/>
        <w:rPr>
          <w:lang w:val="ru-RU"/>
        </w:rPr>
      </w:pPr>
      <w:r>
        <w:rPr>
          <w:lang w:val="ru-RU"/>
        </w:rPr>
        <w:t>2.</w:t>
      </w:r>
      <w:r>
        <w:rPr/>
        <w:t>4.</w:t>
      </w:r>
      <w:r>
        <w:rPr>
          <w:lang w:val="ru-RU"/>
        </w:rPr>
        <w:t xml:space="preserve"> </w:t>
      </w:r>
      <w:r>
        <w:rPr/>
        <w:t>Statistical Methods</w:t>
      </w:r>
    </w:p>
    <w:p>
      <w:pPr>
        <w:pStyle w:val="MDPI31text"/>
        <w:spacing w:before="60" w:after="60"/>
        <w:ind w:hanging="0" w:start="2608"/>
        <w:rPr/>
      </w:pPr>
      <w:r>
        <w:rPr/>
        <w:t>2.4.1. Descriptive statistics and normality tests</w:t>
      </w:r>
    </w:p>
    <w:p>
      <w:pPr>
        <w:pStyle w:val="MDPI31text"/>
        <w:rPr/>
      </w:pPr>
      <w:r>
        <w:rPr/>
        <w:t>For each property, the mean, median, standard deviation (SD), coefficient of variation (CV), skewness, and kurtosis were calculated. Normality was assessed using the Shapiro–Wilk test (</w:t>
      </w:r>
      <w:r>
        <w:rPr>
          <w:i/>
          <w:iCs/>
          <w:lang w:val="ru-RU"/>
        </w:rPr>
        <w:t>α</w:t>
      </w:r>
      <w:r>
        <w:rPr/>
        <w:t xml:space="preserve"> = 0.05). Interannual differences were evaluated using the Kruskal–Wallis test (</w:t>
      </w:r>
      <w:r>
        <w:rPr>
          <w:i/>
          <w:iCs/>
        </w:rPr>
        <w:t>H</w:t>
      </w:r>
      <w:r>
        <w:rPr>
          <w:vertAlign w:val="subscript"/>
        </w:rPr>
        <w:t>0</w:t>
      </w:r>
      <w:r>
        <w:rPr/>
        <w:t xml:space="preserve">:  medians are equal), which is equivalent to the Mann–Whitney U test when </w:t>
      </w:r>
      <w:r>
        <w:rPr>
          <w:i/>
          <w:iCs/>
        </w:rPr>
        <w:t>k = 2</w:t>
      </w:r>
      <w:r>
        <w:rPr/>
        <w:t xml:space="preserve"> years.</w:t>
      </w:r>
    </w:p>
    <w:p>
      <w:pPr>
        <w:pStyle w:val="MDPI31text"/>
        <w:spacing w:before="60" w:after="60"/>
        <w:ind w:hanging="0" w:start="2608"/>
        <w:rPr/>
      </w:pPr>
      <w:r>
        <w:rPr/>
        <w:t>2.4.2. Spearman's rank correlation</w:t>
      </w:r>
    </w:p>
    <w:p>
      <w:pPr>
        <w:pStyle w:val="MDPI31text"/>
        <w:rPr/>
      </w:pPr>
      <w:r>
        <w:rPr/>
        <w:t xml:space="preserve">For each 'property </w:t>
      </w:r>
      <w:r>
        <w:rPr>
          <w:i/>
          <w:iCs/>
        </w:rPr>
        <w:t>y</w:t>
      </w:r>
      <w:r>
        <w:rPr>
          <w:i/>
          <w:iCs/>
          <w:vertAlign w:val="subscript"/>
        </w:rPr>
        <w:t>i</w:t>
      </w:r>
      <w:r>
        <w:rPr/>
        <w:t xml:space="preserve"> — feature </w:t>
      </w:r>
      <w:r>
        <w:rPr>
          <w:i/>
          <w:iCs/>
        </w:rPr>
        <w:t>x</w:t>
      </w:r>
      <w:r>
        <w:rPr>
          <w:i/>
          <w:iCs/>
          <w:vertAlign w:val="subscript"/>
        </w:rPr>
        <w:t>i</w:t>
      </w:r>
      <w:r>
        <w:rPr/>
        <w:t>' pair, the coefficient was calculated using the equation (1):</w:t>
      </w:r>
    </w:p>
    <w:p>
      <w:pPr>
        <w:pStyle w:val="MDPI31text"/>
        <w:ind w:hanging="0" w:start="2608"/>
        <w:jc w:val="center"/>
        <w:rPr/>
      </w:pPr>
      <w:r>
        <w:rPr/>
      </w:r>
      <m:oMath xmlns:m="http://schemas.openxmlformats.org/officeDocument/2006/math">
        <m:r>
          <m:t xml:space="preserve">ρ</m:t>
        </m:r>
        <m:r>
          <m:rPr>
            <m:lit/>
            <m:nor/>
          </m:rPr>
          <m:t xml:space="preserve">=</m:t>
        </m:r>
        <m:r>
          <m:t xml:space="preserve">1</m:t>
        </m:r>
        <m:r>
          <m:rPr>
            <m:lit/>
            <m:nor/>
          </m:rPr>
          <m:t xml:space="preserve">-</m:t>
        </m:r>
        <m:f>
          <m:num>
            <m:r>
              <m:t xml:space="preserve">6</m:t>
            </m:r>
            <m:nary>
              <m:naryPr>
                <m:chr m:val="∑"/>
              </m:naryPr>
              <m:sub>
                <m:r>
                  <m:t xml:space="preserve">k</m:t>
                </m:r>
                <m:r>
                  <m:rPr>
                    <m:lit/>
                    <m:nor/>
                  </m:rPr>
                  <m:t xml:space="preserve">=</m:t>
                </m:r>
                <m:r>
                  <m:t xml:space="preserve">1</m:t>
                </m:r>
              </m:sub>
              <m:sup>
                <m:r>
                  <m:t xml:space="preserve">n</m:t>
                </m:r>
              </m:sup>
              <m:e>
                <m:sSubSup>
                  <m:e>
                    <m:r>
                      <m:t xml:space="preserve">d</m:t>
                    </m:r>
                  </m:e>
                  <m:sub>
                    <m:r>
                      <m:t xml:space="preserve">k</m:t>
                    </m:r>
                  </m:sub>
                  <m:sup>
                    <m:r>
                      <m:t xml:space="preserve">2</m:t>
                    </m:r>
                  </m:sup>
                </m:sSubSup>
              </m:e>
            </m:nary>
          </m:num>
          <m:den>
            <m:r>
              <m:t xml:space="preserve">n</m:t>
            </m:r>
            <m:d>
              <m:dPr>
                <m:begChr m:val="("/>
                <m:endChr m:val=")"/>
              </m:dPr>
              <m:e>
                <m:sSup>
                  <m:e>
                    <m:r>
                      <m:t xml:space="preserve">n</m:t>
                    </m:r>
                  </m:e>
                  <m:sup>
                    <m:r>
                      <m:t xml:space="preserve">2</m:t>
                    </m:r>
                  </m:sup>
                </m:sSup>
                <m:r>
                  <m:rPr>
                    <m:lit/>
                    <m:nor/>
                  </m:rPr>
                  <m:t xml:space="preserve">-</m:t>
                </m:r>
                <m:r>
                  <m:t xml:space="preserve">1</m:t>
                </m:r>
              </m:e>
            </m:d>
          </m:den>
        </m:f>
        <m:r>
          <m:t xml:space="preserve">,</m:t>
        </m:r>
      </m:oMath>
      <w:r>
        <w:rPr/>
        <w:t xml:space="preserve">    </w:t>
      </w:r>
      <w:r>
        <w:rPr/>
        <w:t>(1)</w:t>
      </w:r>
    </w:p>
    <w:p>
      <w:pPr>
        <w:pStyle w:val="MDPI31text"/>
        <w:ind w:hanging="0" w:start="2608"/>
        <w:rPr/>
      </w:pPr>
      <w:r>
        <w:rPr/>
        <w:t xml:space="preserve">where </w:t>
      </w:r>
      <w:r>
        <w:rPr>
          <w:i/>
          <w:iCs/>
        </w:rPr>
        <w:t>d</w:t>
      </w:r>
      <w:r>
        <w:rPr>
          <w:i/>
          <w:iCs/>
          <w:vertAlign w:val="subscript"/>
        </w:rPr>
        <w:t>k</w:t>
      </w:r>
      <w:r>
        <w:rPr/>
        <w:t xml:space="preserve"> is the difference between the ranks of the </w:t>
      </w:r>
      <w:r>
        <w:rPr>
          <w:i/>
          <w:iCs/>
        </w:rPr>
        <w:t>k</w:t>
      </w:r>
      <w:r>
        <w:rPr/>
        <w:t>-th observation</w:t>
      </w:r>
    </w:p>
    <w:p>
      <w:pPr>
        <w:pStyle w:val="MDPI31text"/>
        <w:rPr/>
      </w:pPr>
      <w:r>
        <w:rPr/>
        <w:t xml:space="preserve">Equation (1) is presented in a simplified form without adjustment for tied ranks; the actual computations were performed using the scipy.stats.spearmanr implementation, which calculates the Pearson correlation on ranks with proper handling of ties. Rank correlation was chosen due to: (i) the confirmed non-normality of all target variables; (ii) its robustness to non-linear monotonic relationships; and (iii) its resistance to outliers [3]. </w:t>
      </w:r>
    </w:p>
    <w:p>
      <w:pPr>
        <w:pStyle w:val="MDPI31text"/>
        <w:rPr/>
      </w:pPr>
      <w:r>
        <w:rPr/>
        <w:t xml:space="preserve">Correction for multiple comparisons (&gt;3200 pairs) was performed using the Benjamini–Hochberg procedure (BH FDR, </w:t>
      </w:r>
      <w:r>
        <w:rPr>
          <w:i/>
          <w:iCs/>
          <w:lang w:val="ru-RU"/>
        </w:rPr>
        <w:t>α</w:t>
      </w:r>
      <w:r>
        <w:rPr/>
        <w:t xml:space="preserve"> = 0.05), applied separately for each target property. The BH FDR procedure is valid under the assumption of test independence or positive regression dependency on each subset (PRDS) [</w:t>
      </w:r>
      <w:r>
        <w:rPr>
          <w:highlight w:val="yellow"/>
        </w:rPr>
        <w:t>25</w:t>
      </w:r>
      <w:r>
        <w:rPr/>
        <w:t xml:space="preserve">]. Under high feature multicollinearity (typical for spectral indices calculated from shared bands), the PRDS condition holds, and the adjusted </w:t>
      </w:r>
      <w:r>
        <w:rPr>
          <w:i/>
          <w:iCs/>
        </w:rPr>
        <w:t>p</w:t>
      </w:r>
      <w:r>
        <w:rPr/>
        <w:t>-values remain valid [</w:t>
      </w:r>
      <w:r>
        <w:rPr>
          <w:highlight w:val="yellow"/>
        </w:rPr>
        <w:t>25</w:t>
      </w:r>
      <w:r>
        <w:rPr/>
        <w:t>]. Nevertheless, given the generative nature of the feature space (512 features, including 110 composite ones), the observed maximum correlations were additionally validated using a spatial permutation test (</w:t>
      </w:r>
      <w:r>
        <w:rPr>
          <w:color w:val="auto"/>
        </w:rPr>
        <w:t xml:space="preserve">section </w:t>
      </w:r>
      <w:hyperlink w:anchor="sec%25253Aspatial_permutation">
        <w:r>
          <w:rPr>
            <w:rStyle w:val="Hyperlink"/>
            <w:color w:val="auto"/>
            <w:u w:val="none"/>
          </w:rPr>
          <w:t>2.4.6</w:t>
        </w:r>
      </w:hyperlink>
      <w:r>
        <w:rPr/>
        <w:t>).</w:t>
      </w:r>
    </w:p>
    <w:p>
      <w:pPr>
        <w:pStyle w:val="MDPI31text"/>
        <w:rPr/>
      </w:pPr>
      <w:r>
        <w:rPr/>
        <w:t xml:space="preserve">It should be noted that the standard </w:t>
      </w:r>
      <w:r>
        <w:rPr>
          <w:i/>
          <w:iCs/>
        </w:rPr>
        <w:t>p</w:t>
      </w:r>
      <w:r>
        <w:rPr/>
        <w:t>-value formula for the Spearman coefficient assumes observation independence, whereas under pronounced spatial autocorrelation (</w:t>
      </w:r>
      <w:r>
        <w:rPr>
          <w:i/>
          <w:iCs/>
        </w:rPr>
        <w:t>I</w:t>
      </w:r>
      <w:r>
        <w:rPr/>
        <w:t xml:space="preserve"> &gt; 0.5, section 2.4.3), the effective sample size </w:t>
      </w:r>
      <w:r>
        <w:rPr>
          <w:i/>
          <w:iCs/>
        </w:rPr>
        <w:t>n</w:t>
      </w:r>
      <w:r>
        <w:rPr>
          <w:vertAlign w:val="subscript"/>
        </w:rPr>
        <w:t>eff</w:t>
      </w:r>
      <w:r>
        <w:rPr/>
        <w:t xml:space="preserve"> is substantially lower than the actual sample size </w:t>
      </w:r>
      <w:r>
        <w:rPr>
          <w:i/>
          <w:iCs/>
        </w:rPr>
        <w:t>n</w:t>
      </w:r>
      <w:r>
        <w:rPr/>
        <w:t xml:space="preserve"> </w:t>
      </w:r>
      <w:r>
        <w:rPr>
          <w:highlight w:val="yellow"/>
        </w:rPr>
        <w:t>[26; 27</w:t>
      </w:r>
      <w:r>
        <w:rPr/>
        <w:t xml:space="preserve">]. Estimating </w:t>
      </w:r>
      <w:r>
        <w:rPr>
          <w:i/>
          <w:iCs/>
        </w:rPr>
        <w:t>n</w:t>
      </w:r>
      <w:r>
        <w:rPr>
          <w:vertAlign w:val="subscript"/>
        </w:rPr>
        <w:t>eff</w:t>
      </w:r>
      <w:r>
        <w:rPr/>
        <w:t xml:space="preserve"> using Clifford's formula (3) for data with Moran’s </w:t>
      </w:r>
      <w:r>
        <w:rPr>
          <w:i/>
          <w:iCs/>
        </w:rPr>
        <w:t xml:space="preserve">I </w:t>
      </w:r>
      <w:r>
        <w:rPr>
          <w:vertAlign w:val="subscript"/>
        </w:rPr>
        <w:t xml:space="preserve">≈ </w:t>
      </w:r>
      <w:r>
        <w:rPr/>
        <w:t xml:space="preserve">0.7 yields </w:t>
      </w:r>
      <w:r>
        <w:rPr>
          <w:i/>
          <w:iCs/>
        </w:rPr>
        <w:t>n</w:t>
      </w:r>
      <w:r>
        <w:rPr>
          <w:vertAlign w:val="subscript"/>
        </w:rPr>
        <w:t>eff</w:t>
      </w:r>
      <w:r>
        <w:rPr/>
        <w:t xml:space="preserve"> ≈ 100-250 (vs </w:t>
      </w:r>
      <w:r>
        <w:rPr>
          <w:i/>
          <w:iCs/>
        </w:rPr>
        <w:t>n</w:t>
      </w:r>
      <w:r>
        <w:rPr/>
        <w:t xml:space="preserve">=1085). Consequently, the absolute </w:t>
      </w:r>
      <w:r>
        <w:rPr>
          <w:i/>
          <w:iCs/>
        </w:rPr>
        <w:t>p</w:t>
      </w:r>
      <w:r>
        <w:rPr/>
        <w:t>-values reported in the results tables are systematically underestimated and should be interpreted as upper bounds of significance. For correlations with |</w:t>
      </w:r>
      <w:r>
        <w:rPr>
          <w:i/>
          <w:iCs/>
          <w:lang w:val="ru-RU"/>
        </w:rPr>
        <w:t>ρ</w:t>
      </w:r>
      <w:r>
        <w:rPr/>
        <w:t xml:space="preserve">) &gt; 0.35, significance is maintained even at </w:t>
      </w:r>
      <w:r>
        <w:rPr>
          <w:i/>
          <w:iCs/>
        </w:rPr>
        <w:t>n</w:t>
      </w:r>
      <w:r>
        <w:rPr>
          <w:vertAlign w:val="subscript"/>
        </w:rPr>
        <w:t>eff</w:t>
      </w:r>
      <w:r>
        <w:rPr/>
        <w:t xml:space="preserve"> = 100 (</w:t>
      </w:r>
      <w:r>
        <w:rPr>
          <w:i/>
          <w:iCs/>
        </w:rPr>
        <w:t>p</w:t>
      </w:r>
      <w:r>
        <w:rPr/>
        <w:t xml:space="preserve"> &lt; 0.001); however, for weak correlations (|</w:t>
      </w:r>
      <w:r>
        <w:rPr>
          <w:i/>
          <w:iCs/>
          <w:lang w:val="ru-RU"/>
        </w:rPr>
        <w:t>ρ</w:t>
      </w:r>
      <w:r>
        <w:rPr/>
        <w:t xml:space="preserve">) &lt; 0.25), interpretation requires caution. For similar reasons, confidence intervals for </w:t>
      </w:r>
      <w:r>
        <w:rPr>
          <w:i/>
          <w:iCs/>
          <w:lang w:val="ru-RU"/>
        </w:rPr>
        <w:t>ρ</w:t>
      </w:r>
      <w:r>
        <w:rPr/>
        <w:t xml:space="preserve"> were not calculated analytically (Fisher's Z-transformation is inapplicable under spatial dependence); instead, a spatial permutation test was used to validate the key correlations (</w:t>
      </w:r>
      <w:r>
        <w:rPr>
          <w:color w:val="auto"/>
        </w:rPr>
        <w:t xml:space="preserve">section </w:t>
      </w:r>
      <w:hyperlink w:anchor="sec%25253Aspatial_permutation">
        <w:r>
          <w:rPr>
            <w:rStyle w:val="Hyperlink"/>
            <w:color w:val="auto"/>
            <w:u w:val="none"/>
          </w:rPr>
          <w:t>2.4.6</w:t>
        </w:r>
      </w:hyperlink>
      <w:r>
        <w:rPr>
          <w:color w:val="auto"/>
        </w:rPr>
        <w:t>)</w:t>
      </w:r>
      <w:r>
        <w:rPr/>
        <w:t xml:space="preserve">. </w:t>
      </w:r>
    </w:p>
    <w:p>
      <w:pPr>
        <w:pStyle w:val="MDPI31text"/>
        <w:spacing w:before="60" w:after="60"/>
        <w:ind w:hanging="0" w:start="2608"/>
        <w:rPr/>
      </w:pPr>
      <w:r>
        <w:rPr/>
        <w:t>2.4.2. Intercorrelation of soil properties</w:t>
      </w:r>
    </w:p>
    <w:p>
      <w:pPr>
        <w:pStyle w:val="MDPI31text"/>
        <w:rPr/>
      </w:pPr>
      <w:r>
        <w:rPr/>
        <w:t>Pairwise Spearman correlations between the 6 target variables were calculated to evaluate latent relationships and multicollinearity.</w:t>
      </w:r>
    </w:p>
    <w:p>
      <w:pPr>
        <w:pStyle w:val="MDPI31text"/>
        <w:spacing w:before="60" w:after="60"/>
        <w:ind w:hanging="0" w:start="2608"/>
        <w:rPr/>
      </w:pPr>
      <w:r>
        <w:rPr/>
        <w:t>2.4.3. Spatial autocorrelation</w:t>
      </w:r>
    </w:p>
    <w:p>
      <w:pPr>
        <w:pStyle w:val="MDPI31text"/>
        <w:rPr/>
      </w:pPr>
      <w:r>
        <w:rPr/>
        <w:t xml:space="preserve">Global Moran </w:t>
      </w:r>
      <w:r>
        <w:rPr>
          <w:i/>
          <w:iCs/>
        </w:rPr>
        <w:t>I</w:t>
      </w:r>
      <w:r>
        <w:rPr/>
        <w:t xml:space="preserve"> [</w:t>
      </w:r>
      <w:r>
        <w:rPr>
          <w:highlight w:val="yellow"/>
        </w:rPr>
        <w:t>28; 29</w:t>
      </w:r>
      <w:r>
        <w:rPr/>
        <w:t>] was calculated using the equation (2):</w:t>
      </w:r>
    </w:p>
    <w:p>
      <w:pPr>
        <w:pStyle w:val="MDPI31text"/>
        <w:ind w:hanging="0" w:start="2608"/>
        <w:jc w:val="center"/>
        <w:rPr/>
      </w:pPr>
      <w:r>
        <w:rPr/>
      </w:r>
      <m:oMath xmlns:m="http://schemas.openxmlformats.org/officeDocument/2006/math">
        <m:r>
          <m:t xml:space="preserve">I</m:t>
        </m:r>
        <m:r>
          <m:rPr>
            <m:lit/>
            <m:nor/>
          </m:rPr>
          <m:t xml:space="preserve">=</m:t>
        </m:r>
        <m:f>
          <m:num>
            <m:r>
              <m:t xml:space="preserve">n</m:t>
            </m:r>
          </m:num>
          <m:den>
            <m:sSub>
              <m:e>
                <m:r>
                  <m:t xml:space="preserve">S</m:t>
                </m:r>
              </m:e>
              <m:sub>
                <m:r>
                  <m:t xml:space="preserve">0</m:t>
                </m:r>
              </m:sub>
            </m:sSub>
          </m:den>
        </m:f>
        <m:r>
          <m:t xml:space="preserve">⋅</m:t>
        </m:r>
        <m:f>
          <m:num>
            <m:sSup>
              <m:e>
                <m:r>
                  <m:t xml:space="preserve">z</m:t>
                </m:r>
              </m:e>
              <m:sup>
                <m:r>
                  <m:t xml:space="preserve">⊤</m:t>
                </m:r>
              </m:sup>
            </m:sSup>
            <m:r>
              <m:t xml:space="preserve">Wz</m:t>
            </m:r>
          </m:num>
          <m:den>
            <m:sSup>
              <m:e>
                <m:r>
                  <m:t xml:space="preserve">z</m:t>
                </m:r>
              </m:e>
              <m:sup>
                <m:r>
                  <m:t xml:space="preserve">⊤</m:t>
                </m:r>
              </m:sup>
            </m:sSup>
            <m:r>
              <m:t xml:space="preserve">z</m:t>
            </m:r>
          </m:den>
        </m:f>
        <m:r>
          <m:t xml:space="preserve">,</m:t>
        </m:r>
      </m:oMath>
      <w:r>
        <w:rPr/>
        <w:t xml:space="preserve">   </w:t>
      </w:r>
      <w:r>
        <w:rPr/>
        <w:t>(2)</w:t>
      </w:r>
    </w:p>
    <w:p>
      <w:pPr>
        <w:pStyle w:val="MDPI31text"/>
        <w:ind w:hanging="0" w:start="2608"/>
        <w:rPr/>
      </w:pPr>
      <w:r>
        <w:rPr/>
        <w:t xml:space="preserve">where </w:t>
      </w:r>
      <w:r>
        <w:rPr>
          <w:i/>
          <w:iCs/>
        </w:rPr>
        <w:t>z = (x</w:t>
      </w:r>
      <w:r>
        <w:rPr>
          <w:i/>
          <w:iCs/>
          <w:vertAlign w:val="subscript"/>
        </w:rPr>
        <w:t>i</w:t>
      </w:r>
      <w:r>
        <w:rPr>
          <w:i/>
          <w:iCs/>
        </w:rPr>
        <w:t>-x</w:t>
      </w:r>
      <w:r>
        <w:rPr>
          <w:i/>
          <w:iCs/>
          <w:vertAlign w:val="superscript"/>
        </w:rPr>
        <w:t>´</w:t>
      </w:r>
      <w:r>
        <w:rPr>
          <w:i/>
          <w:iCs/>
        </w:rPr>
        <w:t>)</w:t>
      </w:r>
      <w:r>
        <w:rPr/>
        <w:t xml:space="preserve">, </w:t>
      </w:r>
      <w:r>
        <w:rPr>
          <w:i/>
          <w:iCs/>
        </w:rPr>
        <w:t>W</w:t>
      </w:r>
      <w:r>
        <w:rPr/>
        <w:t xml:space="preserve"> is spatial weight matrix (inverse distances, 50 km bandwidth, row standardization), </w:t>
      </w:r>
      <w:r>
        <w:rPr/>
      </w:r>
      <m:oMath xmlns:m="http://schemas.openxmlformats.org/officeDocument/2006/math">
        <m:sSub>
          <m:e>
            <m:r>
              <m:t xml:space="preserve">S</m:t>
            </m:r>
          </m:e>
          <m:sub>
            <m:r>
              <m:t xml:space="preserve">0</m:t>
            </m:r>
          </m:sub>
        </m:sSub>
        <m:r>
          <m:rPr>
            <m:lit/>
            <m:nor/>
          </m:rPr>
          <m:t xml:space="preserve">=</m:t>
        </m:r>
        <m:nary>
          <m:naryPr>
            <m:chr m:val="∑"/>
            <m:supHide m:val="1"/>
          </m:naryPr>
          <m:sub>
            <m:r>
              <m:t xml:space="preserve">i</m:t>
            </m:r>
            <m:r>
              <m:t xml:space="preserve">,</m:t>
            </m:r>
            <m:r>
              <m:t xml:space="preserve">j</m:t>
            </m:r>
          </m:sub>
          <m:sup/>
          <m:e>
            <m:sSub>
              <m:e>
                <m:r>
                  <m:t xml:space="preserve">w</m:t>
                </m:r>
              </m:e>
              <m:sub>
                <m:r>
                  <m:t xml:space="preserve">ij</m:t>
                </m:r>
              </m:sub>
            </m:sSub>
          </m:e>
        </m:nary>
      </m:oMath>
      <w:r>
        <w:rPr/>
        <w:t xml:space="preserve">, significance is assessed using a </w:t>
      </w:r>
      <w:r>
        <w:rPr>
          <w:i/>
          <w:iCs/>
        </w:rPr>
        <w:t>z</w:t>
      </w:r>
      <w:r>
        <w:rPr/>
        <w:t>-test.</w:t>
      </w:r>
    </w:p>
    <w:p>
      <w:pPr>
        <w:pStyle w:val="MDPI31text"/>
        <w:rPr/>
      </w:pPr>
      <w:r>
        <w:rPr/>
        <w:t>Additionally, rank correlations between each property and latitude were calculated to evaluate the zonal gradient.</w:t>
      </w:r>
    </w:p>
    <w:p>
      <w:pPr>
        <w:pStyle w:val="MDPI31text"/>
        <w:rPr/>
      </w:pPr>
      <w:r>
        <w:rPr/>
        <w:t>To control for the effect of spatial clustering in sampling (cluster design), declustering was performed: property values were averaged across field plots (</w:t>
      </w:r>
      <w:r>
        <w:rPr>
          <w:i/>
          <w:iCs/>
        </w:rPr>
        <w:t>n=81</w:t>
      </w:r>
      <w:r>
        <w:rPr/>
        <w:t xml:space="preserve">), and Moran </w:t>
      </w:r>
      <w:r>
        <w:rPr>
          <w:i/>
          <w:iCs/>
        </w:rPr>
        <w:t>I</w:t>
      </w:r>
      <w:r>
        <w:rPr/>
        <w:t xml:space="preserve"> was calculated on the plot-level means, thereby eliminating within-field pseudoreplication.</w:t>
      </w:r>
    </w:p>
    <w:p>
      <w:pPr>
        <w:pStyle w:val="MDPI31text"/>
        <w:rPr/>
      </w:pPr>
      <w:r>
        <w:rPr/>
        <w:t xml:space="preserve">Clifford's approximation was utilized to compute the effective sample size </w:t>
      </w:r>
      <w:r>
        <w:rPr>
          <w:i/>
          <w:iCs/>
        </w:rPr>
        <w:t>n</w:t>
      </w:r>
      <w:r>
        <w:rPr>
          <w:vertAlign w:val="subscript"/>
        </w:rPr>
        <w:t>eff</w:t>
      </w:r>
      <w:r>
        <w:rPr/>
        <w:t xml:space="preserve"> (equation 3) [</w:t>
      </w:r>
      <w:r>
        <w:rPr>
          <w:highlight w:val="yellow"/>
        </w:rPr>
        <w:t>26</w:t>
      </w:r>
      <w:r>
        <w:rPr/>
        <w:t>]:</w:t>
      </w:r>
    </w:p>
    <w:p>
      <w:pPr>
        <w:pStyle w:val="MDPI31text"/>
        <w:ind w:hanging="0" w:start="2608"/>
        <w:jc w:val="center"/>
        <w:rPr/>
      </w:pPr>
      <w:r>
        <w:rPr/>
      </w:r>
      <m:oMath xmlns:m="http://schemas.openxmlformats.org/officeDocument/2006/math">
        <m:sSub>
          <m:e>
            <m:r>
              <m:t xml:space="preserve">n</m:t>
            </m:r>
          </m:e>
          <m:sub>
            <m:r>
              <m:rPr>
                <m:lit/>
                <m:nor/>
              </m:rPr>
              <m:t xml:space="preserve">eff</m:t>
            </m:r>
          </m:sub>
        </m:sSub>
        <m:r>
          <m:t xml:space="preserve">≈</m:t>
        </m:r>
        <m:r>
          <m:t xml:space="preserve">n</m:t>
        </m:r>
        <m:r>
          <m:t xml:space="preserve">⋅</m:t>
        </m:r>
        <m:f>
          <m:num>
            <m:r>
              <m:t xml:space="preserve">1</m:t>
            </m:r>
            <m:r>
              <m:rPr>
                <m:lit/>
                <m:nor/>
              </m:rPr>
              <m:t xml:space="preserve">-</m:t>
            </m:r>
            <m:r>
              <m:t xml:space="preserve">I</m:t>
            </m:r>
          </m:num>
          <m:den>
            <m:r>
              <m:t xml:space="preserve">1</m:t>
            </m:r>
            <m:r>
              <m:rPr>
                <m:lit/>
                <m:nor/>
              </m:rPr>
              <m:t xml:space="preserve">+</m:t>
            </m:r>
            <m:r>
              <m:t xml:space="preserve">I</m:t>
            </m:r>
          </m:den>
        </m:f>
        <m:r>
          <m:t xml:space="preserve">,</m:t>
        </m:r>
      </m:oMath>
      <w:r>
        <w:rPr/>
        <w:t xml:space="preserve">   </w:t>
      </w:r>
      <w:r>
        <w:rPr/>
        <w:t>(3)</w:t>
      </w:r>
    </w:p>
    <w:p>
      <w:pPr>
        <w:pStyle w:val="MDPI31text"/>
        <w:ind w:hanging="0" w:start="2608"/>
        <w:rPr/>
      </w:pPr>
      <w:r>
        <w:rPr/>
        <w:t xml:space="preserve">where </w:t>
      </w:r>
      <w:r>
        <w:rPr>
          <w:i/>
          <w:iCs/>
        </w:rPr>
        <w:t>I</w:t>
      </w:r>
      <w:r>
        <w:rPr/>
        <w:t xml:space="preserve"> is the global Moran </w:t>
      </w:r>
      <w:r>
        <w:rPr>
          <w:i/>
          <w:iCs/>
        </w:rPr>
        <w:t>I</w:t>
      </w:r>
      <w:r>
        <w:rPr/>
        <w:t xml:space="preserve"> of the target variable. </w:t>
      </w:r>
    </w:p>
    <w:p>
      <w:pPr>
        <w:pStyle w:val="MDPI31text"/>
        <w:rPr/>
      </w:pPr>
      <w:r>
        <w:rPr/>
        <w:t>This formula (3) represents a univariate approximation, as it considers only the autocorrelation of the soil property itself and neglects the cross-autocorrelation of the ‘property–predictor’ pair. Dutilleul full formulation [</w:t>
      </w:r>
      <w:r>
        <w:rPr>
          <w:highlight w:val="yellow"/>
        </w:rPr>
        <w:t>27]</w:t>
      </w:r>
      <w:r>
        <w:rPr/>
        <w:t xml:space="preserve"> accounts for </w:t>
      </w:r>
      <w:r>
        <w:rPr>
          <w:i/>
          <w:iCs/>
        </w:rPr>
        <w:t>I</w:t>
      </w:r>
      <w:r>
        <w:rPr/>
        <w:t xml:space="preserve"> of both variables; however, it is computationally more intensive and requires the estimation of a cross-covariogram. Our approximation yields a conservative lower bound for </w:t>
      </w:r>
      <w:r>
        <w:rPr>
          <w:i/>
          <w:iCs/>
        </w:rPr>
        <w:t>n</w:t>
      </w:r>
      <w:r>
        <w:rPr>
          <w:vertAlign w:val="subscript"/>
        </w:rPr>
        <w:t>eff</w:t>
      </w:r>
      <w:r>
        <w:rPr/>
        <w:t xml:space="preserve"> (and, consequently, an upper bound for the significance threshold), since </w:t>
      </w:r>
      <w:r>
        <w:rPr>
          <w:i/>
          <w:iCs/>
        </w:rPr>
        <w:t>I</w:t>
      </w:r>
      <w:r>
        <w:rPr/>
        <w:t xml:space="preserve"> of the soil property is typically higher than that of the RS feature. </w:t>
      </w:r>
    </w:p>
    <w:p>
      <w:pPr>
        <w:pStyle w:val="MDPI31text"/>
        <w:rPr/>
      </w:pPr>
      <w:r>
        <w:rPr/>
        <w:t>For properties with an artifactual</w:t>
      </w:r>
      <w:r>
        <w:rPr>
          <w:i/>
          <w:iCs/>
        </w:rPr>
        <w:t xml:space="preserve"> I</w:t>
      </w:r>
      <w:r>
        <w:rPr/>
        <w:t xml:space="preserve"> sample (e.g., S:</w:t>
      </w:r>
      <w:r>
        <w:rPr>
          <w:rFonts w:hint="eastAsia"/>
        </w:rPr>
        <w:t xml:space="preserve"> </w:t>
      </w:r>
      <w:r>
        <w:rPr>
          <w:i/>
          <w:iCs/>
        </w:rPr>
        <w:t xml:space="preserve">I </w:t>
      </w:r>
      <w:r>
        <w:rPr/>
        <w:t xml:space="preserve">= 0.767 </w:t>
      </w:r>
      <w:r>
        <w:rPr>
          <w:rFonts w:ascii="Times New Roman" w:hAnsi="Times New Roman"/>
        </w:rPr>
        <w:t xml:space="preserve">→ </w:t>
      </w:r>
      <w:r>
        <w:rPr>
          <w:i/>
          <w:iCs/>
        </w:rPr>
        <w:t>I</w:t>
      </w:r>
      <w:r>
        <w:rPr>
          <w:vertAlign w:val="subscript"/>
        </w:rPr>
        <w:t>field</w:t>
      </w:r>
      <w:r>
        <w:rPr/>
        <w:t xml:space="preserve"> = 0.150), </w:t>
      </w:r>
      <w:r>
        <w:rPr>
          <w:i/>
          <w:iCs/>
        </w:rPr>
        <w:t>n</w:t>
      </w:r>
      <w:r>
        <w:rPr>
          <w:vertAlign w:val="subscript"/>
        </w:rPr>
        <w:t>eff</w:t>
      </w:r>
      <w:r>
        <w:rPr/>
        <w:t xml:space="preserve"> was computed based on the </w:t>
      </w:r>
      <w:r>
        <w:rPr>
          <w:i/>
          <w:iCs/>
        </w:rPr>
        <w:t xml:space="preserve">I </w:t>
      </w:r>
      <w:r>
        <w:rPr/>
        <w:t>of declustered field-plot means (section 3.6), thereby eliminating pseudoreplication.</w:t>
      </w:r>
    </w:p>
    <w:p>
      <w:pPr>
        <w:pStyle w:val="MDPI31text"/>
        <w:spacing w:before="60" w:after="60"/>
        <w:ind w:hanging="0" w:start="2608"/>
        <w:rPr/>
      </w:pPr>
      <w:r>
        <w:rPr/>
        <w:t>2.4.4. Hierarchical variance decomposition</w:t>
      </w:r>
    </w:p>
    <w:p>
      <w:pPr>
        <w:pStyle w:val="MDPI31text"/>
        <w:rPr/>
      </w:pPr>
      <w:r>
        <w:rPr/>
        <w:t xml:space="preserve">A two-level variance decomposition was conducted using a nested 'farm  </w:t>
      </w:r>
      <w:r>
        <w:rPr/>
      </w:r>
      <m:oMath xmlns:m="http://schemas.openxmlformats.org/officeDocument/2006/math">
        <m:r>
          <m:t xml:space="preserve">→</m:t>
        </m:r>
      </m:oMath>
      <w:r>
        <w:rPr/>
        <w:t xml:space="preserve"> field  </w:t>
      </w:r>
      <w:r>
        <w:rPr/>
      </w:r>
      <m:oMath xmlns:m="http://schemas.openxmlformats.org/officeDocument/2006/math">
        <m:r>
          <m:t xml:space="preserve">→</m:t>
        </m:r>
      </m:oMath>
      <w:r>
        <w:rPr/>
        <w:t xml:space="preserve"> sample' scheme. The total sum of squares (SS) was decomposed using a nested one-way analysis of variance (ANOVA) (equation 4): </w:t>
      </w:r>
    </w:p>
    <w:p>
      <w:pPr>
        <w:pStyle w:val="MDPI31text"/>
        <w:ind w:hanging="0" w:start="2608"/>
        <w:jc w:val="center"/>
        <w:rPr/>
      </w:pPr>
      <w:r>
        <w:rPr/>
      </w:r>
      <m:oMath xmlns:m="http://schemas.openxmlformats.org/officeDocument/2006/math">
        <m:r>
          <m:t xml:space="preserve">S</m:t>
        </m:r>
        <m:sSub>
          <m:e>
            <m:r>
              <m:t xml:space="preserve">S</m:t>
            </m:r>
          </m:e>
          <m:sub>
            <m:r>
              <m:rPr>
                <m:lit/>
                <m:nor/>
              </m:rPr>
              <m:t xml:space="preserve">total</m:t>
            </m:r>
          </m:sub>
        </m:sSub>
        <m:r>
          <m:rPr>
            <m:lit/>
            <m:nor/>
          </m:rPr>
          <m:t xml:space="preserve">=</m:t>
        </m:r>
        <m:r>
          <m:t xml:space="preserve">S</m:t>
        </m:r>
        <m:sSub>
          <m:e>
            <m:r>
              <m:t xml:space="preserve">S</m:t>
            </m:r>
          </m:e>
          <m:sub>
            <m:r>
              <m:rPr>
                <m:lit/>
                <m:nor/>
              </m:rPr>
              <m:t xml:space="preserve">farm</m:t>
            </m:r>
          </m:sub>
        </m:sSub>
        <m:r>
          <m:rPr>
            <m:lit/>
            <m:nor/>
          </m:rPr>
          <m:t xml:space="preserve">+</m:t>
        </m:r>
        <m:r>
          <m:t xml:space="preserve">S</m:t>
        </m:r>
        <m:sSub>
          <m:e>
            <m:r>
              <m:t xml:space="preserve">S</m:t>
            </m:r>
          </m:e>
          <m:sub>
            <m:r>
              <m:rPr>
                <m:lit/>
                <m:nor/>
              </m:rPr>
              <m:t xml:space="preserve">field|farm</m:t>
            </m:r>
          </m:sub>
        </m:sSub>
        <m:r>
          <m:rPr>
            <m:lit/>
            <m:nor/>
          </m:rPr>
          <m:t xml:space="preserve">+</m:t>
        </m:r>
        <m:r>
          <m:t xml:space="preserve">S</m:t>
        </m:r>
        <m:sSub>
          <m:e>
            <m:r>
              <m:t xml:space="preserve">S</m:t>
            </m:r>
          </m:e>
          <m:sub>
            <m:r>
              <m:rPr>
                <m:lit/>
                <m:nor/>
              </m:rPr>
              <m:t xml:space="preserve">within</m:t>
            </m:r>
          </m:sub>
        </m:sSub>
        <m:r>
          <m:t xml:space="preserve">,</m:t>
        </m:r>
      </m:oMath>
      <w:r>
        <w:rPr/>
        <w:t xml:space="preserve"> </w:t>
      </w:r>
      <w:r>
        <w:rPr/>
        <w:t>(4)</w:t>
      </w:r>
    </w:p>
    <w:p>
      <w:pPr>
        <w:pStyle w:val="MDPI31text"/>
        <w:ind w:hanging="0" w:start="2608"/>
        <w:rPr/>
      </w:pPr>
      <w:r>
        <w:rPr/>
        <w:t xml:space="preserve">where </w:t>
      </w:r>
      <w:r>
        <w:rPr>
          <w:i/>
          <w:iCs/>
        </w:rPr>
        <w:t>SS</w:t>
      </w:r>
      <w:r>
        <w:rPr>
          <w:vertAlign w:val="subscript"/>
        </w:rPr>
        <w:t>farm</w:t>
      </w:r>
      <w:r>
        <w:rPr/>
        <w:t xml:space="preserve"> — between-farm sum of squares (20 farms), </w:t>
      </w:r>
      <w:r>
        <w:rPr>
          <w:i/>
          <w:iCs/>
        </w:rPr>
        <w:t>SS</w:t>
      </w:r>
      <w:r>
        <w:rPr>
          <w:vertAlign w:val="subscript"/>
        </w:rPr>
        <w:t>field|farm</w:t>
      </w:r>
      <w:r>
        <w:rPr/>
        <w:t xml:space="preserve"> — between-field within-farm sum of squares (81 fields), </w:t>
      </w:r>
      <w:r>
        <w:rPr>
          <w:i/>
          <w:iCs/>
        </w:rPr>
        <w:t>SS</w:t>
      </w:r>
      <w:r>
        <w:rPr>
          <w:vertAlign w:val="subscript"/>
        </w:rPr>
        <w:t>within</w:t>
      </w:r>
      <w:r>
        <w:rPr/>
        <w:t xml:space="preserve"> — within-field sum of squares.</w:t>
      </w:r>
      <w:r>
        <w:rPr>
          <w:rFonts w:eastAsia="SimSun"/>
          <w:szCs w:val="20"/>
          <w:lang w:eastAsia="zh-CN" w:bidi="ar-SA"/>
        </w:rPr>
        <w:t xml:space="preserve"> </w:t>
      </w:r>
      <w:r>
        <w:rPr/>
        <w:t>The variance components (</w:t>
      </w:r>
      <w:r>
        <w:rPr/>
      </w:r>
      <m:oMath xmlns:m="http://schemas.openxmlformats.org/officeDocument/2006/math">
        <m:sSubSup>
          <m:e>
            <m:acc>
              <m:accPr>
                <m:chr m:val="^"/>
              </m:accPr>
              <m:e>
                <m:r>
                  <m:t xml:space="preserve">σ</m:t>
                </m:r>
              </m:e>
            </m:acc>
          </m:e>
          <m:sub>
            <m:r>
              <m:t xml:space="preserve">farm</m:t>
            </m:r>
          </m:sub>
          <m:sup>
            <m:r>
              <m:t xml:space="preserve">2</m:t>
            </m:r>
          </m:sup>
        </m:sSubSup>
        <m:r>
          <m:t xml:space="preserve">,</m:t>
        </m:r>
        <m:sSubSup>
          <m:e>
            <m:acc>
              <m:accPr>
                <m:chr m:val="^"/>
              </m:accPr>
              <m:e>
                <m:r>
                  <m:t xml:space="preserve">σ</m:t>
                </m:r>
              </m:e>
            </m:acc>
          </m:e>
          <m:sub>
            <m:r>
              <m:t xml:space="preserve">field</m:t>
            </m:r>
          </m:sub>
          <m:sup>
            <m:r>
              <m:t xml:space="preserve">2</m:t>
            </m:r>
          </m:sup>
        </m:sSubSup>
        <m:r>
          <m:t xml:space="preserve">,</m:t>
        </m:r>
        <m:sSubSup>
          <m:e>
            <m:acc>
              <m:accPr>
                <m:chr m:val="^"/>
              </m:accPr>
              <m:e>
                <m:r>
                  <m:t xml:space="preserve">σ</m:t>
                </m:r>
              </m:e>
            </m:acc>
          </m:e>
          <m:sub>
            <m:r>
              <m:t xml:space="preserve">with</m:t>
            </m:r>
            <m:r>
              <m:rPr>
                <m:lit/>
                <m:nor/>
              </m:rPr>
              <m:t xml:space="preserve">in</m:t>
            </m:r>
          </m:sub>
          <m:sup>
            <m:r>
              <m:t xml:space="preserve">2</m:t>
            </m:r>
          </m:sup>
        </m:sSubSup>
      </m:oMath>
      <w:r>
        <w:rPr/>
        <w:t>) were estimated using the method of mean squares with the harmonic mean of cell sizes. The one-level intraclass correlation coefficient (ICC) (between-field vs. within-field) was also calculated for comparison with the literature.</w:t>
      </w:r>
    </w:p>
    <w:p>
      <w:pPr>
        <w:pStyle w:val="MDPI31text"/>
        <w:spacing w:before="60" w:after="60"/>
        <w:ind w:hanging="0" w:start="2608"/>
        <w:rPr/>
      </w:pPr>
      <w:r>
        <w:rPr/>
        <w:t>2.4.5. Partial correlations and confounding analysis</w:t>
      </w:r>
    </w:p>
    <w:p>
      <w:pPr>
        <w:pStyle w:val="MDPI31text"/>
        <w:rPr/>
      </w:pPr>
      <w:r>
        <w:rPr/>
        <w:t xml:space="preserve">To evaluate the contribution of spatial covariates to the observed correlations, partial Spearman rank correlations were calculated using the residualization method: variables </w:t>
      </w:r>
      <w:r>
        <w:rPr>
          <w:i/>
          <w:iCs/>
        </w:rPr>
        <w:t>x</w:t>
      </w:r>
      <w:r>
        <w:rPr/>
        <w:t xml:space="preserve"> and </w:t>
      </w:r>
      <w:r>
        <w:rPr>
          <w:i/>
          <w:iCs/>
        </w:rPr>
        <w:t>y</w:t>
      </w:r>
      <w:r>
        <w:rPr/>
        <w:t xml:space="preserve"> were rank-transformed, then the linear projection onto the rank-transformed covariates </w:t>
      </w:r>
      <w:r>
        <w:rPr>
          <w:i/>
          <w:iCs/>
        </w:rPr>
        <w:t>Z</w:t>
      </w:r>
      <w:r>
        <w:rPr/>
        <w:t xml:space="preserve"> was removed from each via ordinary least squares (OLS), and the Pearson correlation was computed on the resulting residuals (equation 5) [</w:t>
      </w:r>
      <w:r>
        <w:rPr>
          <w:highlight w:val="yellow"/>
        </w:rPr>
        <w:t>30</w:t>
      </w:r>
      <w:r>
        <w:rPr/>
        <w:t>]:</w:t>
      </w:r>
    </w:p>
    <w:p>
      <w:pPr>
        <w:pStyle w:val="MDPI31text"/>
        <w:ind w:hanging="0" w:start="2608"/>
        <w:jc w:val="center"/>
        <w:rPr/>
      </w:pPr>
      <w:r>
        <w:rPr/>
      </w:r>
      <m:oMath xmlns:m="http://schemas.openxmlformats.org/officeDocument/2006/math">
        <m:sSub>
          <m:e>
            <m:r>
              <m:t xml:space="preserve">ρ</m:t>
            </m:r>
          </m:e>
          <m:sub>
            <m:r>
              <m:rPr>
                <m:lit/>
                <m:nor/>
              </m:rPr>
              <m:t xml:space="preserve">partial|</m:t>
            </m:r>
            <m:r>
              <m:t xml:space="preserve">Z</m:t>
            </m:r>
          </m:sub>
        </m:sSub>
        <m:r>
          <m:rPr>
            <m:lit/>
            <m:nor/>
          </m:rPr>
          <m:t xml:space="preserve">=</m:t>
        </m:r>
        <m:r>
          <m:t xml:space="preserve">r</m:t>
        </m:r>
        <m:d>
          <m:dPr>
            <m:begChr m:val="("/>
            <m:endChr m:val=")"/>
          </m:dPr>
          <m:e>
            <m:sSub>
              <m:e>
                <m:acc>
                  <m:accPr>
                    <m:chr m:val="^"/>
                  </m:accPr>
                  <m:e>
                    <m:r>
                      <m:t xml:space="preserve">ε</m:t>
                    </m:r>
                  </m:e>
                </m:acc>
              </m:e>
              <m:sub>
                <m:r>
                  <m:t xml:space="preserve">x</m:t>
                </m:r>
              </m:sub>
            </m:sSub>
            <m:r>
              <m:t xml:space="preserve">,</m:t>
            </m:r>
            <m:sSub>
              <m:e>
                <m:acc>
                  <m:accPr>
                    <m:chr m:val="^"/>
                  </m:accPr>
                  <m:e>
                    <m:r>
                      <m:t xml:space="preserve">ε</m:t>
                    </m:r>
                  </m:e>
                </m:acc>
              </m:e>
              <m:sub>
                <m:r>
                  <m:t xml:space="preserve">y</m:t>
                </m:r>
              </m:sub>
            </m:sSub>
          </m:e>
        </m:d>
        <m:r>
          <m:t xml:space="preserve">,</m:t>
        </m:r>
        <m:sSub>
          <m:e>
            <m:acc>
              <m:accPr>
                <m:chr m:val="^"/>
              </m:accPr>
              <m:e>
                <m:r>
                  <m:t xml:space="preserve">ε</m:t>
                </m:r>
              </m:e>
            </m:acc>
          </m:e>
          <m:sub>
            <m:r>
              <m:t xml:space="preserve">x</m:t>
            </m:r>
          </m:sub>
        </m:sSub>
        <m:r>
          <m:rPr>
            <m:lit/>
            <m:nor/>
          </m:rPr>
          <m:t xml:space="preserve">=</m:t>
        </m:r>
        <m:r>
          <m:t xml:space="preserve">R</m:t>
        </m:r>
        <m:d>
          <m:dPr>
            <m:begChr m:val="("/>
            <m:endChr m:val=")"/>
          </m:dPr>
          <m:e>
            <m:r>
              <m:t xml:space="preserve">x</m:t>
            </m:r>
          </m:e>
        </m:d>
        <m:r>
          <m:rPr>
            <m:lit/>
            <m:nor/>
          </m:rPr>
          <m:t xml:space="preserve">-</m:t>
        </m:r>
        <m:sSup>
          <m:e>
            <m:r>
              <m:t xml:space="preserve">Z</m:t>
            </m:r>
          </m:e>
          <m:sup>
            <m:r>
              <m:t xml:space="preserve">R</m:t>
            </m:r>
          </m:sup>
        </m:sSup>
        <m:sSub>
          <m:e>
            <m:acc>
              <m:accPr>
                <m:chr m:val="^"/>
              </m:accPr>
              <m:e>
                <m:r>
                  <m:t xml:space="preserve">β</m:t>
                </m:r>
              </m:e>
            </m:acc>
          </m:e>
          <m:sub>
            <m:r>
              <m:t xml:space="preserve">x</m:t>
            </m:r>
          </m:sub>
        </m:sSub>
        <m:r>
          <m:t xml:space="preserve">.</m:t>
        </m:r>
      </m:oMath>
      <w:r>
        <w:rPr/>
        <w:t xml:space="preserve"> </w:t>
      </w:r>
      <w:r>
        <w:rPr/>
        <w:t>(5)</w:t>
      </w:r>
    </w:p>
    <w:p>
      <w:pPr>
        <w:pStyle w:val="MDPI31text"/>
        <w:rPr/>
      </w:pPr>
      <w:r>
        <w:rPr/>
        <w:t xml:space="preserve">For pH: </w:t>
      </w:r>
      <w:r>
        <w:rPr/>
      </w:r>
      <m:oMath xmlns:m="http://schemas.openxmlformats.org/officeDocument/2006/math">
        <m:r>
          <m:t xml:space="preserve">Z</m:t>
        </m:r>
        <m:r>
          <m:rPr>
            <m:lit/>
            <m:nor/>
          </m:rPr>
          <m:t xml:space="preserve">=</m:t>
        </m:r>
        <m:r>
          <m:t xml:space="preserve">{</m:t>
        </m:r>
        <m:r>
          <m:rPr>
            <m:lit/>
            <m:nor/>
          </m:rPr>
          <m:t xml:space="preserve">MAP</m:t>
        </m:r>
        <m:r>
          <m:t xml:space="preserve">,</m:t>
        </m:r>
        <m:r>
          <m:rPr>
            <m:lit/>
            <m:nor/>
          </m:rPr>
          <m:t xml:space="preserve">latitude</m:t>
        </m:r>
        <m:r>
          <m:t xml:space="preserve">}</m:t>
        </m:r>
      </m:oMath>
      <w:r>
        <w:rPr/>
        <w:t xml:space="preserve">; for SOC: </w:t>
      </w:r>
      <w:r>
        <w:rPr/>
      </w:r>
      <m:oMath xmlns:m="http://schemas.openxmlformats.org/officeDocument/2006/math">
        <m:r>
          <m:t xml:space="preserve">Z</m:t>
        </m:r>
        <m:r>
          <m:rPr>
            <m:lit/>
            <m:nor/>
          </m:rPr>
          <m:t xml:space="preserve">=</m:t>
        </m:r>
        <m:r>
          <m:t xml:space="preserve">{</m:t>
        </m:r>
        <m:r>
          <m:rPr>
            <m:lit/>
            <m:nor/>
          </m:rPr>
          <m:t xml:space="preserve">pH</m:t>
        </m:r>
        <m:r>
          <m:t xml:space="preserve">}</m:t>
        </m:r>
      </m:oMath>
      <w:r>
        <w:rPr/>
        <w:t xml:space="preserve">, to evaluate the independence of the pH effect from climatic covariates, an expanded set was utilized </w:t>
      </w:r>
      <w:r>
        <w:rPr/>
      </w:r>
      <m:oMath xmlns:m="http://schemas.openxmlformats.org/officeDocument/2006/math">
        <m:r>
          <m:t xml:space="preserve">Z</m:t>
        </m:r>
        <m:r>
          <m:rPr>
            <m:lit/>
            <m:nor/>
          </m:rPr>
          <m:t xml:space="preserve">=</m:t>
        </m:r>
        <m:r>
          <m:t xml:space="preserve">{</m:t>
        </m:r>
        <m:r>
          <m:rPr>
            <m:lit/>
            <m:nor/>
          </m:rPr>
          <m:t xml:space="preserve">pH</m:t>
        </m:r>
        <m:r>
          <m:t xml:space="preserve">,</m:t>
        </m:r>
        <m:r>
          <m:rPr>
            <m:lit/>
            <m:nor/>
          </m:rPr>
          <m:t xml:space="preserve">MAP</m:t>
        </m:r>
        <m:r>
          <m:t xml:space="preserve">,</m:t>
        </m:r>
        <m:r>
          <m:rPr>
            <m:lit/>
            <m:nor/>
          </m:rPr>
          <m:t xml:space="preserve">latitude</m:t>
        </m:r>
        <m:r>
          <m:t xml:space="preserve">}</m:t>
        </m:r>
      </m:oMath>
      <w:r>
        <w:rPr/>
        <w:t>. A similar analysis was conducted for the top RS predictors of each of the six properties (controlling for MAP and latitude, section 3.3). The contribution of confounding was calculated according to the equation (6):</w:t>
      </w:r>
    </w:p>
    <w:p>
      <w:pPr>
        <w:pStyle w:val="MDPI31text"/>
        <w:ind w:hanging="0" w:start="2608"/>
        <w:jc w:val="center"/>
        <w:rPr/>
      </w:pPr>
      <w:bookmarkStart w:id="3" w:name="sec%25253Aconfounding_method"/>
      <w:r>
        <w:rPr/>
      </w:r>
      <m:oMath xmlns:m="http://schemas.openxmlformats.org/officeDocument/2006/math">
        <m:sSub>
          <m:e>
            <m:r>
              <m:t xml:space="preserve">C</m:t>
            </m:r>
          </m:e>
          <m:sub>
            <m:r>
              <m:t xml:space="preserve">Z</m:t>
            </m:r>
          </m:sub>
        </m:sSub>
        <m:d>
          <m:dPr>
            <m:begChr m:val="("/>
            <m:endChr m:val=")"/>
          </m:dPr>
          <m:e>
            <m:r>
              <m:rPr>
                <m:lit/>
                <m:nor/>
              </m:rPr>
              <m:t xml:space="preserve">%</m:t>
            </m:r>
          </m:e>
        </m:d>
        <m:r>
          <m:rPr>
            <m:lit/>
            <m:nor/>
          </m:rPr>
          <m:t xml:space="preserve">=</m:t>
        </m:r>
        <m:f>
          <m:num>
            <m:d>
              <m:dPr>
                <m:begChr m:val="|"/>
                <m:endChr m:val=")"/>
              </m:dPr>
              <m:e>
                <m:sSub>
                  <m:e>
                    <m:r>
                      <m:t xml:space="preserve">ρ</m:t>
                    </m:r>
                  </m:e>
                  <m:sub>
                    <m:r>
                      <m:t xml:space="preserve">0</m:t>
                    </m:r>
                  </m:sub>
                </m:sSub>
              </m:e>
            </m:d>
            <m:r>
              <m:rPr>
                <m:lit/>
                <m:nor/>
              </m:rPr>
              <m:t xml:space="preserve">-</m:t>
            </m:r>
            <m:d>
              <m:dPr>
                <m:begChr m:val="|"/>
                <m:endChr m:val=")"/>
              </m:dPr>
              <m:e>
                <m:sSub>
                  <m:e>
                    <m:r>
                      <m:t xml:space="preserve">ρ</m:t>
                    </m:r>
                  </m:e>
                  <m:sub>
                    <m:r>
                      <m:rPr>
                        <m:lit/>
                        <m:nor/>
                      </m:rPr>
                      <m:t xml:space="preserve">partial|</m:t>
                    </m:r>
                    <m:r>
                      <m:t xml:space="preserve">Z</m:t>
                    </m:r>
                  </m:sub>
                </m:sSub>
              </m:e>
            </m:d>
          </m:num>
          <m:den>
            <m:d>
              <m:dPr>
                <m:begChr m:val="|"/>
                <m:endChr m:val=")"/>
              </m:dPr>
              <m:e>
                <m:sSub>
                  <m:e>
                    <m:r>
                      <m:t xml:space="preserve">ρ</m:t>
                    </m:r>
                  </m:e>
                  <m:sub>
                    <m:r>
                      <m:t xml:space="preserve">0</m:t>
                    </m:r>
                  </m:sub>
                </m:sSub>
              </m:e>
            </m:d>
          </m:den>
        </m:f>
        <m:r>
          <m:t xml:space="preserve">×</m:t>
        </m:r>
        <m:r>
          <m:t xml:space="preserve">100</m:t>
        </m:r>
      </m:oMath>
      <w:bookmarkEnd w:id="3"/>
      <w:r>
        <w:rPr/>
        <w:t xml:space="preserve"> </w:t>
      </w:r>
      <w:r>
        <w:rPr/>
        <w:t>(6)</w:t>
      </w:r>
    </w:p>
    <w:p>
      <w:pPr>
        <w:pStyle w:val="MDPI31text"/>
        <w:spacing w:before="60" w:after="60"/>
        <w:ind w:hanging="0" w:start="2608"/>
        <w:rPr/>
      </w:pPr>
      <w:r>
        <w:rPr/>
        <w:t>2.4.6. Spatial permutation test</w:t>
      </w:r>
    </w:p>
    <w:p>
      <w:pPr>
        <w:pStyle w:val="MDPI31text"/>
        <w:rPr/>
      </w:pPr>
      <w:r>
        <w:rPr/>
        <w:t>To control for the risk of false positives arising from the generative nature of the feature space (512 features) and spatial autocorrelation, a spatial permutation test was performed [</w:t>
      </w:r>
      <w:r>
        <w:rPr>
          <w:highlight w:val="yellow"/>
        </w:rPr>
        <w:t>31</w:t>
      </w:r>
      <w:r>
        <w:rPr/>
        <w:t xml:space="preserve">]. For each target property, the dependent variable values were permuted </w:t>
      </w:r>
      <w:r>
        <w:rPr>
          <w:i/>
          <w:iCs/>
        </w:rPr>
        <w:t>N</w:t>
      </w:r>
      <w:r>
        <w:rPr/>
        <w:t xml:space="preserve"> = 999 times while preserving the spatial structure via the random toroidal shift method: the sample coordinates were cyclically shifted by a random vector (</w:t>
      </w:r>
      <w:r>
        <w:rPr>
          <w:i/>
          <w:iCs/>
          <w:lang w:val="ru-RU"/>
        </w:rPr>
        <w:t>Δ</w:t>
      </w:r>
      <w:r>
        <w:rPr>
          <w:i/>
          <w:iCs/>
        </w:rPr>
        <w:t>x,</w:t>
      </w:r>
      <w:r>
        <w:rPr>
          <w:i/>
          <w:iCs/>
          <w:lang w:val="ru-RU"/>
        </w:rPr>
        <w:t>Δ</w:t>
      </w:r>
      <w:r>
        <w:rPr>
          <w:i/>
          <w:iCs/>
        </w:rPr>
        <w:t>y</w:t>
      </w:r>
      <w:r>
        <w:rPr/>
        <w:t>), which preserves the autocorrelation of the target variable but disrupts its relationship with the predictors. For each permutation, the maximum |</w:t>
      </w:r>
      <w:r>
        <w:rPr>
          <w:i/>
          <w:iCs/>
          <w:lang w:val="ru-RU"/>
        </w:rPr>
        <w:t>ρ</w:t>
      </w:r>
      <w:r>
        <w:rPr/>
        <w:t xml:space="preserve">| value across all 512 features was calculated. The empirical p-value was computed according to Equation (7): </w:t>
      </w:r>
    </w:p>
    <w:p>
      <w:pPr>
        <w:pStyle w:val="MDPI31text"/>
        <w:ind w:hanging="0" w:start="2608"/>
        <w:jc w:val="center"/>
        <w:rPr/>
      </w:pPr>
      <w:r>
        <w:rPr/>
      </w:r>
      <m:oMath xmlns:m="http://schemas.openxmlformats.org/officeDocument/2006/math">
        <m:sSub>
          <m:e>
            <m:r>
              <m:t xml:space="preserve">p</m:t>
            </m:r>
          </m:e>
          <m:sub>
            <m:r>
              <m:rPr>
                <m:lit/>
                <m:nor/>
              </m:rPr>
              <m:t xml:space="preserve">spat.perm</m:t>
            </m:r>
          </m:sub>
        </m:sSub>
        <m:r>
          <m:rPr>
            <m:lit/>
            <m:nor/>
          </m:rPr>
          <m:t xml:space="preserve">=</m:t>
        </m:r>
        <m:f>
          <m:num>
            <m:r>
              <m:rPr>
                <m:lit/>
                <m:nor/>
              </m:rPr>
              <m:t xml:space="preserve">#</m:t>
            </m:r>
            <m:r>
              <m:t xml:space="preserve">{</m:t>
            </m:r>
            <m:sSubSup>
              <m:e>
                <m:d>
                  <m:dPr>
                    <m:begChr m:val="|"/>
                    <m:endChr m:val=")"/>
                  </m:dPr>
                  <m:e>
                    <m:r>
                      <m:t xml:space="preserve">ρ</m:t>
                    </m:r>
                  </m:e>
                </m:d>
              </m:e>
              <m:sub>
                <m:r>
                  <m:t xml:space="preserve">max</m:t>
                </m:r>
              </m:sub>
              <m:sup>
                <m:r>
                  <m:rPr>
                    <m:lit/>
                    <m:nor/>
                  </m:rPr>
                  <m:t xml:space="preserve">perm</m:t>
                </m:r>
              </m:sup>
            </m:sSubSup>
            <m:r>
              <m:t xml:space="preserve">≥</m:t>
            </m:r>
            <m:sSubSup>
              <m:e>
                <m:d>
                  <m:dPr>
                    <m:begChr m:val="|"/>
                    <m:endChr m:val=")"/>
                  </m:dPr>
                  <m:e>
                    <m:r>
                      <m:t xml:space="preserve">ρ</m:t>
                    </m:r>
                  </m:e>
                </m:d>
              </m:e>
              <m:sub>
                <m:r>
                  <m:t xml:space="preserve">max</m:t>
                </m:r>
              </m:sub>
              <m:sup>
                <m:r>
                  <m:rPr>
                    <m:lit/>
                    <m:nor/>
                  </m:rPr>
                  <m:t xml:space="preserve">obs</m:t>
                </m:r>
              </m:sup>
            </m:sSubSup>
            <m:r>
              <m:t xml:space="preserve">}</m:t>
            </m:r>
            <m:r>
              <m:rPr>
                <m:lit/>
                <m:nor/>
              </m:rPr>
              <m:t xml:space="preserve">+</m:t>
            </m:r>
            <m:r>
              <m:t xml:space="preserve">1</m:t>
            </m:r>
          </m:num>
          <m:den>
            <m:r>
              <m:t xml:space="preserve">N</m:t>
            </m:r>
            <m:r>
              <m:rPr>
                <m:lit/>
                <m:nor/>
              </m:rPr>
              <m:t xml:space="preserve">+</m:t>
            </m:r>
            <m:r>
              <m:t xml:space="preserve">1</m:t>
            </m:r>
          </m:den>
        </m:f>
      </m:oMath>
      <w:r>
        <w:rPr/>
        <w:t xml:space="preserve">  </w:t>
      </w:r>
      <w:r>
        <w:rPr/>
        <w:t>(7)</w:t>
      </w:r>
    </w:p>
    <w:p>
      <w:pPr>
        <w:pStyle w:val="MDPI31text"/>
        <w:rPr/>
      </w:pPr>
      <w:bookmarkStart w:id="4" w:name="sec%25253Aspatial_permutation"/>
      <w:r>
        <w:rPr/>
        <w:t xml:space="preserve">The test estimates the probability of observing a maximum correlation of such magnitude purely by chance given the spatial structure, thereby mitigating the 'p-hacking' (data dredging) issue inherent in large-scale feature screening. </w:t>
      </w:r>
      <w:bookmarkEnd w:id="4"/>
    </w:p>
    <w:p>
      <w:pPr>
        <w:pStyle w:val="MDPI31text"/>
        <w:spacing w:before="60" w:after="60"/>
        <w:ind w:hanging="0" w:start="2608"/>
        <w:rPr/>
      </w:pPr>
      <w:r>
        <w:rPr/>
        <w:t>2.4.7. Seasonal analysis</w:t>
      </w:r>
    </w:p>
    <w:p>
      <w:pPr>
        <w:pStyle w:val="MDPI31text"/>
        <w:rPr/>
      </w:pPr>
      <w:r>
        <w:rPr/>
        <w:t>For each property, a pairwise comparison of |</w:t>
      </w:r>
      <w:r>
        <w:rPr>
          <w:i/>
          <w:iCs/>
          <w:lang w:val="ru-RU"/>
        </w:rPr>
        <w:t>ρ</w:t>
      </w:r>
      <w:r>
        <w:rPr/>
        <w:t>| was conducted between the spring and summer counterparts across 26 shared indices (Sentinel-2 + Landsat-8). The statistical significance of the differences was assessed using the Wilcoxon signed-rank test with the alternative hypothesis H1: |</w:t>
      </w:r>
      <w:r>
        <w:rPr>
          <w:i/>
          <w:iCs/>
          <w:lang w:val="ru-RU"/>
        </w:rPr>
        <w:t>ρ</w:t>
      </w:r>
      <w:r>
        <w:rPr>
          <w:vertAlign w:val="subscript"/>
          <w:lang w:val="ru-RU"/>
        </w:rPr>
        <w:t>весна</w:t>
      </w:r>
      <w:r>
        <w:rPr/>
        <w:t>|≠|</w:t>
      </w:r>
      <w:r>
        <w:rPr>
          <w:i/>
          <w:iCs/>
          <w:lang w:val="ru-RU"/>
        </w:rPr>
        <w:t>ρ</w:t>
      </w:r>
      <w:r>
        <w:rPr>
          <w:vertAlign w:val="subscript"/>
          <w:lang w:val="ru-RU"/>
        </w:rPr>
        <w:t>лето</w:t>
      </w:r>
      <w:r>
        <w:rPr/>
        <w:t xml:space="preserve">|, providing a formal test of seasonal advantage rather than a simple counting of proportions. </w:t>
      </w:r>
    </w:p>
    <w:p>
      <w:pPr>
        <w:pStyle w:val="MDPI31text"/>
        <w:rPr/>
      </w:pPr>
      <w:r>
        <w:rPr/>
        <w:t>Additionally, the seasonal stability of NO</w:t>
      </w:r>
      <w:r>
        <w:rPr>
          <w:vertAlign w:val="subscript"/>
        </w:rPr>
        <w:t>3</w:t>
      </w:r>
      <w:r>
        <w:rPr/>
        <w:t xml:space="preserve"> correlations was evaluated by partitioning the dataset into subsets based on the soil sampling season (spring: March–May; autumn: September–October) to assess the sensitivity of nitrate nitrogen to the temporal lag between the sampling time and the satellite imagery date.</w:t>
      </w:r>
    </w:p>
    <w:p>
      <w:pPr>
        <w:pStyle w:val="MDPI22heading2"/>
        <w:spacing w:before="240" w:after="60"/>
        <w:rPr/>
      </w:pPr>
      <w:r>
        <w:rPr/>
        <w:t>2.5. Software and data availability</w:t>
      </w:r>
    </w:p>
    <w:p>
      <w:pPr>
        <w:pStyle w:val="MDPI31text"/>
        <w:rPr/>
      </w:pPr>
      <w:r>
        <w:rPr/>
        <w:t xml:space="preserve">All computations were implemented in Python 3.10 using the following core libraries: scipy 1.11, statsmodels 0.14, pysal 2.9 (Moran </w:t>
      </w:r>
      <w:r>
        <w:rPr>
          <w:i/>
          <w:iCs/>
        </w:rPr>
        <w:t>I</w:t>
      </w:r>
      <w:r>
        <w:rPr/>
        <w:t xml:space="preserve">), scikit-gstat 1.0 (for semivariogram analysis), pandas 2.0, and numpy 1.24. All computations are fully reproducible (SEED = 42). The complete processing code, Google Earth Engine (GEE) scripts, and environment configuration (requirements.txt) are available in the following GitHub repository: </w:t>
      </w:r>
      <w:hyperlink r:id="rId5">
        <w:r>
          <w:rPr>
            <w:rStyle w:val="Hyperlink"/>
            <w:color w:val="auto"/>
            <w:u w:val="none"/>
          </w:rPr>
          <w:t>https://github.com/h621l/dsm-northern-kazakhstan</w:t>
        </w:r>
      </w:hyperlink>
      <w:r>
        <w:rPr>
          <w:color w:val="auto"/>
        </w:rPr>
        <w:t xml:space="preserve"> </w:t>
      </w:r>
      <w:r>
        <w:rPr/>
        <w:t>(</w:t>
      </w:r>
      <w:r>
        <w:rPr>
          <w:highlight w:val="yellow"/>
        </w:rPr>
        <w:t>DOI will be assigned via Zenodo upon acceptance</w:t>
      </w:r>
      <w:r>
        <w:rPr/>
        <w:t>).</w:t>
      </w:r>
    </w:p>
    <w:p>
      <w:pPr>
        <w:pStyle w:val="MDPI21heading1"/>
        <w:rPr/>
      </w:pPr>
      <w:r>
        <w:rPr/>
        <w:t>3. Results</w:t>
      </w:r>
    </w:p>
    <w:p>
      <w:pPr>
        <w:pStyle w:val="MDPI22heading2"/>
        <w:spacing w:before="240" w:after="60"/>
        <w:rPr/>
      </w:pPr>
      <w:r>
        <w:rPr/>
        <w:t>3.1. Descriptive statistics of soil properties</w:t>
      </w:r>
    </w:p>
    <w:p>
      <w:pPr>
        <w:pStyle w:val="MDPI31text"/>
        <w:rPr>
          <w:color w:val="auto"/>
        </w:rPr>
      </w:pPr>
      <w:r>
        <w:rPr/>
        <w:t>The descriptive statistics for the six properties are presented in Table 3</w:t>
      </w:r>
      <w:r>
        <w:rPr>
          <w:color w:val="auto"/>
        </w:rPr>
        <w:t>.</w:t>
      </w:r>
    </w:p>
    <w:p>
      <w:pPr>
        <w:pStyle w:val="MDPI31text"/>
        <w:spacing w:before="240" w:after="120"/>
        <w:rPr>
          <w:sz w:val="18"/>
          <w:szCs w:val="18"/>
        </w:rPr>
      </w:pPr>
      <w:r>
        <w:rPr>
          <w:b/>
          <w:sz w:val="18"/>
          <w:szCs w:val="18"/>
        </w:rPr>
        <w:t xml:space="preserve">Table 3. </w:t>
      </w:r>
      <w:r>
        <w:rPr>
          <w:sz w:val="18"/>
          <w:szCs w:val="18"/>
        </w:rPr>
        <w:t>Descriptive statistics of soil agrochemical properties (</w:t>
      </w:r>
      <w:r>
        <w:rPr>
          <w:i/>
          <w:iCs/>
          <w:sz w:val="18"/>
          <w:szCs w:val="18"/>
        </w:rPr>
        <w:t>n</w:t>
      </w:r>
      <w:r>
        <w:rPr>
          <w:sz w:val="18"/>
          <w:szCs w:val="18"/>
        </w:rPr>
        <w:t>=1085).</w:t>
      </w:r>
    </w:p>
    <w:tbl>
      <w:tblPr>
        <w:tblStyle w:val="Table"/>
        <w:tblW w:w="10075" w:type="dxa"/>
        <w:jc w:val="start"/>
        <w:tblInd w:w="284" w:type="dxa"/>
        <w:tblLayout w:type="fixed"/>
        <w:tblCellMar>
          <w:top w:w="0" w:type="dxa"/>
          <w:start w:w="108" w:type="dxa"/>
          <w:bottom w:w="0" w:type="dxa"/>
          <w:end w:w="108" w:type="dxa"/>
        </w:tblCellMar>
        <w:tblLook w:firstRow="1" w:noVBand="0" w:lastRow="0" w:firstColumn="0" w:lastColumn="0" w:noHBand="0" w:val="0020"/>
      </w:tblPr>
      <w:tblGrid>
        <w:gridCol w:w="992"/>
        <w:gridCol w:w="795"/>
        <w:gridCol w:w="1036"/>
        <w:gridCol w:w="1034"/>
        <w:gridCol w:w="1038"/>
        <w:gridCol w:w="1036"/>
        <w:gridCol w:w="1034"/>
        <w:gridCol w:w="1036"/>
        <w:gridCol w:w="1038"/>
        <w:gridCol w:w="1036"/>
      </w:tblGrid>
      <w:tr>
        <w:trPr>
          <w:tblHeader w:val="true"/>
          <w:trHeight w:val="158" w:hRule="atLeast"/>
          <w:cnfStyle w:val="100000000000" w:firstRow="1" w:lastRow="0" w:firstColumn="0" w:lastColumn="0" w:oddVBand="0" w:evenVBand="0" w:oddHBand="0" w:evenHBand="0" w:firstRowFirstColumn="0" w:firstRowLastColumn="0" w:lastRowFirstColumn="0" w:lastRowLastColumn="0"/>
        </w:trPr>
        <w:tc>
          <w:tcPr>
            <w:tcW w:w="992"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lang w:val="en-US"/>
              </w:rPr>
            </w:pPr>
            <w:r>
              <w:rPr>
                <w:rFonts w:eastAsia="Cambria" w:ascii="Palatino Linotype" w:hAnsi="Palatino Linotype"/>
                <w:b/>
                <w:bCs/>
                <w:kern w:val="0"/>
                <w:sz w:val="18"/>
                <w:szCs w:val="18"/>
                <w:lang w:val="en-US" w:bidi="ar-SA"/>
              </w:rPr>
              <w:t>P</w:t>
            </w:r>
            <w:r>
              <w:rPr>
                <w:rFonts w:eastAsia="Cambria" w:ascii="Palatino Linotype" w:hAnsi="Palatino Linotype"/>
                <w:b/>
                <w:bCs/>
                <w:kern w:val="0"/>
                <w:sz w:val="18"/>
                <w:szCs w:val="18"/>
                <w:lang w:val="ru-RU" w:bidi="ar-SA"/>
              </w:rPr>
              <w:t>ropert</w:t>
            </w:r>
            <w:r>
              <w:rPr>
                <w:rFonts w:eastAsia="Cambria" w:ascii="Palatino Linotype" w:hAnsi="Palatino Linotype"/>
                <w:b/>
                <w:bCs/>
                <w:kern w:val="0"/>
                <w:sz w:val="18"/>
                <w:szCs w:val="18"/>
                <w:lang w:val="en-US" w:bidi="ar-SA"/>
              </w:rPr>
              <w:t>y</w:t>
            </w:r>
          </w:p>
        </w:tc>
        <w:tc>
          <w:tcPr>
            <w:tcW w:w="795"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b/>
                <w:bCs/>
                <w:kern w:val="0"/>
                <w:sz w:val="18"/>
                <w:szCs w:val="18"/>
                <w:lang w:val="en-US" w:bidi="ar-SA"/>
              </w:rPr>
              <w:t>Un</w:t>
            </w:r>
            <w:r>
              <w:rPr>
                <w:rFonts w:eastAsia="Cambria" w:ascii="Palatino Linotype" w:hAnsi="Palatino Linotype"/>
                <w:b/>
                <w:bCs/>
                <w:kern w:val="0"/>
                <w:sz w:val="18"/>
                <w:szCs w:val="18"/>
                <w:lang w:val="ru-RU" w:bidi="ar-SA"/>
              </w:rPr>
              <w:t>.</w:t>
            </w:r>
          </w:p>
        </w:tc>
        <w:tc>
          <w:tcPr>
            <w:tcW w:w="1036"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b/>
                <w:bCs/>
                <w:kern w:val="0"/>
                <w:sz w:val="18"/>
                <w:szCs w:val="18"/>
                <w:lang w:val="ru-RU" w:bidi="ar-SA"/>
              </w:rPr>
              <w:t>Mean</w:t>
            </w:r>
          </w:p>
        </w:tc>
        <w:tc>
          <w:tcPr>
            <w:tcW w:w="1034"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b/>
                <w:bCs/>
                <w:kern w:val="0"/>
                <w:sz w:val="18"/>
                <w:szCs w:val="18"/>
                <w:lang w:val="ru-RU" w:bidi="ar-SA"/>
              </w:rPr>
              <w:t>Median</w:t>
            </w:r>
          </w:p>
        </w:tc>
        <w:tc>
          <w:tcPr>
            <w:tcW w:w="1038"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b/>
                <w:bCs/>
                <w:kern w:val="0"/>
                <w:sz w:val="18"/>
                <w:szCs w:val="18"/>
                <w:lang w:val="ru-RU" w:bidi="ar-SA"/>
              </w:rPr>
              <w:t>SD</w:t>
            </w:r>
          </w:p>
        </w:tc>
        <w:tc>
          <w:tcPr>
            <w:tcW w:w="1036"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lang w:val="en-US"/>
              </w:rPr>
            </w:pPr>
            <w:r>
              <w:rPr>
                <w:rFonts w:eastAsia="Cambria" w:ascii="Palatino Linotype" w:hAnsi="Palatino Linotype"/>
                <w:b/>
                <w:bCs/>
                <w:kern w:val="0"/>
                <w:sz w:val="18"/>
                <w:szCs w:val="18"/>
                <w:lang w:val="en-US" w:bidi="ar-SA"/>
              </w:rPr>
              <w:t>Min.</w:t>
            </w:r>
          </w:p>
        </w:tc>
        <w:tc>
          <w:tcPr>
            <w:tcW w:w="1034"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lang w:val="en-US"/>
              </w:rPr>
            </w:pPr>
            <w:r>
              <w:rPr>
                <w:rFonts w:eastAsia="Cambria" w:ascii="Palatino Linotype" w:hAnsi="Palatino Linotype"/>
                <w:b/>
                <w:bCs/>
                <w:kern w:val="0"/>
                <w:sz w:val="18"/>
                <w:szCs w:val="18"/>
                <w:lang w:val="en-US" w:bidi="ar-SA"/>
              </w:rPr>
              <w:t>Max.</w:t>
            </w:r>
          </w:p>
        </w:tc>
        <w:tc>
          <w:tcPr>
            <w:tcW w:w="1036"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b/>
                <w:bCs/>
                <w:kern w:val="0"/>
                <w:sz w:val="18"/>
                <w:szCs w:val="18"/>
                <w:lang w:val="ru-RU" w:bidi="ar-SA"/>
              </w:rPr>
              <w:t>CV, %</w:t>
            </w:r>
          </w:p>
        </w:tc>
        <w:tc>
          <w:tcPr>
            <w:tcW w:w="1038"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b/>
                <w:bCs/>
                <w:kern w:val="0"/>
                <w:sz w:val="18"/>
                <w:szCs w:val="18"/>
                <w:lang w:val="ru-RU" w:bidi="ar-SA"/>
              </w:rPr>
              <w:t>Skew.</w:t>
            </w:r>
          </w:p>
        </w:tc>
        <w:tc>
          <w:tcPr>
            <w:tcW w:w="1036"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b/>
                <w:bCs/>
                <w:kern w:val="0"/>
                <w:sz w:val="18"/>
                <w:szCs w:val="18"/>
                <w:lang w:val="ru-RU" w:bidi="ar-SA"/>
              </w:rPr>
              <w:t>Kurt.</w:t>
            </w:r>
          </w:p>
        </w:tc>
      </w:tr>
      <w:tr>
        <w:trPr>
          <w:trHeight w:val="379" w:hRule="atLeast"/>
        </w:trPr>
        <w:tc>
          <w:tcPr>
            <w:tcW w:w="99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pH</w:t>
            </w:r>
            <w:r>
              <w:rPr>
                <w:rFonts w:eastAsia="Cambria" w:ascii="Palatino Linotype" w:hAnsi="Palatino Linotype"/>
                <w:kern w:val="0"/>
                <w:sz w:val="18"/>
                <w:szCs w:val="18"/>
                <w:vertAlign w:val="subscript"/>
                <w:lang w:val="ru-RU" w:bidi="ar-SA"/>
              </w:rPr>
              <w:t>KCl</w:t>
            </w:r>
          </w:p>
        </w:tc>
        <w:tc>
          <w:tcPr>
            <w:tcW w:w="79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6.99</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7.30</w:t>
            </w:r>
          </w:p>
        </w:tc>
        <w:tc>
          <w:tcPr>
            <w:tcW w:w="103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0.66</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5.30</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8.00</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9.4</w:t>
            </w:r>
          </w:p>
        </w:tc>
        <w:tc>
          <w:tcPr>
            <w:tcW w:w="1038" w:type="dxa"/>
            <w:tcBorders/>
          </w:tcPr>
          <w:p>
            <w:pPr>
              <w:pStyle w:val="Compact"/>
              <w:widowControl/>
              <w:suppressAutoHyphens w:val="true"/>
              <w:spacing w:before="36" w:after="36"/>
              <w:jc w:val="start"/>
              <w:rPr>
                <w:rFonts w:ascii="Palatino Linotype" w:hAnsi="Palatino Linotype" w:eastAsia="Cambria"/>
                <w:sz w:val="18"/>
                <w:szCs w:val="18"/>
              </w:rPr>
            </w:pPr>
            <w:r>
              <w:rPr>
                <w:kern w:val="0"/>
                <w:lang w:val="ru-RU" w:bidi="ar-SA"/>
              </w:rPr>
            </w:r>
            <m:oMathPara xmlns:m="http://schemas.openxmlformats.org/officeDocument/2006/math">
              <m:oMathParaPr>
                <m:jc m:val="left"/>
              </m:oMathParaPr>
              <m:oMath>
                <m:r>
                  <m:rPr>
                    <m:lit/>
                    <m:nor/>
                  </m:rPr>
                  <m:t xml:space="preserve">-</m:t>
                </m:r>
                <m:r>
                  <m:t xml:space="preserve">0.92</m:t>
                </m:r>
              </m:oMath>
            </m:oMathPara>
          </w:p>
        </w:tc>
        <w:tc>
          <w:tcPr>
            <w:tcW w:w="1036" w:type="dxa"/>
            <w:tcBorders/>
          </w:tcPr>
          <w:p>
            <w:pPr>
              <w:pStyle w:val="Compact"/>
              <w:widowControl/>
              <w:suppressAutoHyphens w:val="true"/>
              <w:spacing w:before="36" w:after="36"/>
              <w:jc w:val="start"/>
              <w:rPr>
                <w:rFonts w:ascii="Palatino Linotype" w:hAnsi="Palatino Linotype" w:eastAsia="Cambria"/>
                <w:sz w:val="18"/>
                <w:szCs w:val="18"/>
              </w:rPr>
            </w:pPr>
            <w:r>
              <w:rPr>
                <w:kern w:val="0"/>
                <w:lang w:val="ru-RU" w:bidi="ar-SA"/>
              </w:rPr>
            </w:r>
            <m:oMathPara xmlns:m="http://schemas.openxmlformats.org/officeDocument/2006/math">
              <m:oMathParaPr>
                <m:jc m:val="left"/>
              </m:oMathParaPr>
              <m:oMath>
                <m:r>
                  <m:rPr>
                    <m:lit/>
                    <m:nor/>
                  </m:rPr>
                  <m:t xml:space="preserve">-</m:t>
                </m:r>
                <m:r>
                  <m:t xml:space="preserve">0.62</m:t>
                </m:r>
              </m:oMath>
            </m:oMathPara>
          </w:p>
        </w:tc>
      </w:tr>
      <w:tr>
        <w:trPr>
          <w:trHeight w:val="379" w:hRule="atLeast"/>
        </w:trPr>
        <w:tc>
          <w:tcPr>
            <w:tcW w:w="99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79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2.45</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2.44</w:t>
            </w:r>
          </w:p>
        </w:tc>
        <w:tc>
          <w:tcPr>
            <w:tcW w:w="103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0.55</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0.64</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4.41</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22.4</w:t>
            </w:r>
          </w:p>
        </w:tc>
        <w:tc>
          <w:tcPr>
            <w:tcW w:w="1038" w:type="dxa"/>
            <w:tcBorders/>
          </w:tcPr>
          <w:p>
            <w:pPr>
              <w:pStyle w:val="Compact"/>
              <w:widowControl/>
              <w:suppressAutoHyphens w:val="true"/>
              <w:spacing w:before="36" w:after="36"/>
              <w:jc w:val="start"/>
              <w:rPr>
                <w:rFonts w:ascii="Palatino Linotype" w:hAnsi="Palatino Linotype" w:eastAsia="Cambria"/>
                <w:sz w:val="18"/>
                <w:szCs w:val="18"/>
              </w:rPr>
            </w:pPr>
            <w:r>
              <w:rPr>
                <w:kern w:val="0"/>
                <w:lang w:val="ru-RU" w:bidi="ar-SA"/>
              </w:rPr>
            </w:r>
            <m:oMathPara xmlns:m="http://schemas.openxmlformats.org/officeDocument/2006/math">
              <m:oMathParaPr>
                <m:jc m:val="left"/>
              </m:oMathParaPr>
              <m:oMath>
                <m:r>
                  <m:rPr>
                    <m:lit/>
                    <m:nor/>
                  </m:rPr>
                  <m:t xml:space="preserve">-</m:t>
                </m:r>
                <m:r>
                  <m:t xml:space="preserve">0.26</m:t>
                </m:r>
              </m:oMath>
            </m:oMathPara>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1.98</w:t>
            </w:r>
          </w:p>
        </w:tc>
      </w:tr>
      <w:tr>
        <w:trPr>
          <w:trHeight w:val="367" w:hRule="atLeast"/>
        </w:trPr>
        <w:tc>
          <w:tcPr>
            <w:tcW w:w="99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795" w:type="dxa"/>
            <w:tcBorders/>
          </w:tcPr>
          <w:p>
            <w:pPr>
              <w:pStyle w:val="Compact"/>
              <w:widowControl/>
              <w:suppressAutoHyphens w:val="true"/>
              <w:spacing w:before="36" w:after="36"/>
              <w:jc w:val="both"/>
              <w:rPr>
                <w:rFonts w:ascii="Palatino Linotype" w:hAnsi="Palatino Linotype" w:eastAsia="Cambria"/>
                <w:sz w:val="18"/>
                <w:szCs w:val="18"/>
                <w:lang w:val="en-US"/>
              </w:rPr>
            </w:pPr>
            <w:r>
              <w:rPr>
                <w:rFonts w:eastAsia="Cambria" w:ascii="Palatino Linotype" w:hAnsi="Palatino Linotype"/>
                <w:kern w:val="0"/>
                <w:sz w:val="18"/>
                <w:szCs w:val="18"/>
                <w:lang w:val="en-US" w:bidi="ar-SA"/>
              </w:rPr>
              <w:t>mg/kg</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10.88</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9.29</w:t>
            </w:r>
          </w:p>
        </w:tc>
        <w:tc>
          <w:tcPr>
            <w:tcW w:w="103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7.90</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0.16</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64.00</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72.6</w:t>
            </w:r>
          </w:p>
        </w:tc>
        <w:tc>
          <w:tcPr>
            <w:tcW w:w="103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2.43</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9.33</w:t>
            </w:r>
          </w:p>
        </w:tc>
      </w:tr>
      <w:tr>
        <w:trPr>
          <w:trHeight w:val="687" w:hRule="atLeast"/>
        </w:trPr>
        <w:tc>
          <w:tcPr>
            <w:tcW w:w="99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79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en-US" w:bidi="ar-SA"/>
              </w:rPr>
              <w:t>mg/kg</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25.77</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18.80</w:t>
            </w:r>
          </w:p>
        </w:tc>
        <w:tc>
          <w:tcPr>
            <w:tcW w:w="103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20.31</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3.22</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150.00</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78.8</w:t>
            </w:r>
          </w:p>
        </w:tc>
        <w:tc>
          <w:tcPr>
            <w:tcW w:w="103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2.54</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8.15</w:t>
            </w:r>
          </w:p>
        </w:tc>
      </w:tr>
      <w:tr>
        <w:trPr>
          <w:trHeight w:val="379" w:hRule="atLeast"/>
        </w:trPr>
        <w:tc>
          <w:tcPr>
            <w:tcW w:w="99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79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en-US" w:bidi="ar-SA"/>
              </w:rPr>
              <w:t>mg/kg</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650.6</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664.0</w:t>
            </w:r>
          </w:p>
        </w:tc>
        <w:tc>
          <w:tcPr>
            <w:tcW w:w="103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166.7</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106.0</w:t>
            </w:r>
          </w:p>
        </w:tc>
        <w:tc>
          <w:tcPr>
            <w:tcW w:w="103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1204.0</w:t>
            </w:r>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25.6</w:t>
            </w:r>
          </w:p>
        </w:tc>
        <w:tc>
          <w:tcPr>
            <w:tcW w:w="1038" w:type="dxa"/>
            <w:tcBorders/>
          </w:tcPr>
          <w:p>
            <w:pPr>
              <w:pStyle w:val="Compact"/>
              <w:widowControl/>
              <w:suppressAutoHyphens w:val="true"/>
              <w:spacing w:before="36" w:after="36"/>
              <w:jc w:val="start"/>
              <w:rPr>
                <w:rFonts w:ascii="Palatino Linotype" w:hAnsi="Palatino Linotype" w:eastAsia="Cambria"/>
                <w:sz w:val="18"/>
                <w:szCs w:val="18"/>
              </w:rPr>
            </w:pPr>
            <w:r>
              <w:rPr>
                <w:kern w:val="0"/>
                <w:lang w:val="ru-RU" w:bidi="ar-SA"/>
              </w:rPr>
            </w:r>
            <m:oMathPara xmlns:m="http://schemas.openxmlformats.org/officeDocument/2006/math">
              <m:oMathParaPr>
                <m:jc m:val="left"/>
              </m:oMathParaPr>
              <m:oMath>
                <m:r>
                  <m:rPr>
                    <m:lit/>
                    <m:nor/>
                  </m:rPr>
                  <m:t xml:space="preserve">-</m:t>
                </m:r>
                <m:r>
                  <m:t xml:space="preserve">0.49</m:t>
                </m:r>
              </m:oMath>
            </m:oMathPara>
          </w:p>
        </w:tc>
        <w:tc>
          <w:tcPr>
            <w:tcW w:w="1036"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0.80</w:t>
            </w:r>
          </w:p>
        </w:tc>
      </w:tr>
      <w:tr>
        <w:trPr>
          <w:trHeight w:val="379" w:hRule="atLeast"/>
        </w:trPr>
        <w:tc>
          <w:tcPr>
            <w:tcW w:w="992"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795"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en-US" w:bidi="ar-SA"/>
              </w:rPr>
              <w:t>mg/kg</w:t>
            </w:r>
          </w:p>
        </w:tc>
        <w:tc>
          <w:tcPr>
            <w:tcW w:w="1036"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8.81</w:t>
            </w:r>
          </w:p>
        </w:tc>
        <w:tc>
          <w:tcPr>
            <w:tcW w:w="1034"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6.89</w:t>
            </w:r>
          </w:p>
        </w:tc>
        <w:tc>
          <w:tcPr>
            <w:tcW w:w="1038"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7.62</w:t>
            </w:r>
          </w:p>
        </w:tc>
        <w:tc>
          <w:tcPr>
            <w:tcW w:w="1036"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0.92</w:t>
            </w:r>
          </w:p>
        </w:tc>
        <w:tc>
          <w:tcPr>
            <w:tcW w:w="1034"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62.80</w:t>
            </w:r>
          </w:p>
        </w:tc>
        <w:tc>
          <w:tcPr>
            <w:tcW w:w="1036"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86.4</w:t>
            </w:r>
          </w:p>
        </w:tc>
        <w:tc>
          <w:tcPr>
            <w:tcW w:w="1038"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3.54</w:t>
            </w:r>
          </w:p>
        </w:tc>
        <w:tc>
          <w:tcPr>
            <w:tcW w:w="1036"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14.29</w:t>
            </w:r>
            <w:bookmarkStart w:id="5" w:name="tab%25253Adescriptive"/>
            <w:bookmarkEnd w:id="5"/>
          </w:p>
        </w:tc>
      </w:tr>
    </w:tbl>
    <w:p>
      <w:pPr>
        <w:pStyle w:val="MDPI31text"/>
        <w:rPr/>
      </w:pPr>
      <w:r>
        <w:rPr/>
        <w:t>The CV varied from 9.4% (pH) to 86.4% (S). According to Wilding’s classification [</w:t>
      </w:r>
      <w:r>
        <w:rPr>
          <w:highlight w:val="yellow"/>
        </w:rPr>
        <w:t>32</w:t>
      </w:r>
      <w:r>
        <w:rPr/>
        <w:t xml:space="preserve">], pH exhibited low variability (&lt;15%); SOC and </w:t>
      </w:r>
      <w:r>
        <w:rPr>
          <w:rFonts w:eastAsia="Cambria"/>
          <w:sz w:val="18"/>
          <w:szCs w:val="18"/>
        </w:rPr>
        <w:t>K</w:t>
      </w:r>
      <w:r>
        <w:rPr>
          <w:rFonts w:eastAsia="Cambria"/>
          <w:sz w:val="18"/>
          <w:szCs w:val="18"/>
          <w:vertAlign w:val="subscript"/>
        </w:rPr>
        <w:t>2</w:t>
      </w:r>
      <w:r>
        <w:rPr>
          <w:rFonts w:eastAsia="Cambria"/>
          <w:sz w:val="18"/>
          <w:szCs w:val="18"/>
        </w:rPr>
        <w:t>O</w:t>
      </w:r>
      <w:r>
        <w:rPr/>
        <w:t xml:space="preserve"> showed moderate variability (15–35%); while </w:t>
      </w:r>
      <w:r>
        <w:rPr>
          <w:rFonts w:eastAsia="Cambria"/>
          <w:sz w:val="18"/>
          <w:szCs w:val="18"/>
        </w:rPr>
        <w:t>NO</w:t>
      </w:r>
      <w:r>
        <w:rPr>
          <w:rFonts w:eastAsia="Cambria"/>
          <w:sz w:val="18"/>
          <w:szCs w:val="18"/>
          <w:vertAlign w:val="subscript"/>
        </w:rPr>
        <w:t>3</w:t>
      </w:r>
      <w:r>
        <w:rPr/>
        <w:t xml:space="preserve">, </w:t>
      </w:r>
      <w:r>
        <w:rPr>
          <w:rFonts w:eastAsia="Cambria"/>
          <w:sz w:val="18"/>
          <w:szCs w:val="18"/>
        </w:rPr>
        <w:t>P</w:t>
      </w:r>
      <w:r>
        <w:rPr>
          <w:rFonts w:eastAsia="Cambria"/>
          <w:sz w:val="18"/>
          <w:szCs w:val="18"/>
          <w:vertAlign w:val="subscript"/>
        </w:rPr>
        <w:t>2</w:t>
      </w:r>
      <w:r>
        <w:rPr>
          <w:rFonts w:eastAsia="Cambria"/>
          <w:sz w:val="18"/>
          <w:szCs w:val="18"/>
        </w:rPr>
        <w:t>O</w:t>
      </w:r>
      <w:r>
        <w:rPr>
          <w:rFonts w:eastAsia="Cambria"/>
          <w:sz w:val="18"/>
          <w:szCs w:val="18"/>
          <w:vertAlign w:val="subscript"/>
        </w:rPr>
        <w:t>5</w:t>
      </w:r>
      <w:r>
        <w:rPr/>
        <w:t>, and S displayed high variability (&gt;35%). The Shapiro–Wilk test (Table 4) confirmed the non-normality of all distributions (</w:t>
      </w:r>
      <w:r>
        <w:rPr>
          <w:i/>
          <w:iCs/>
        </w:rPr>
        <w:t>p</w:t>
      </w:r>
      <w:r>
        <w:rPr/>
        <w:t>&lt;10</w:t>
      </w:r>
      <w:r>
        <w:rPr>
          <w:vertAlign w:val="superscript"/>
        </w:rPr>
        <w:t>-12</w:t>
      </w:r>
      <w:r>
        <w:rPr/>
        <w:t>), thereby justifying the choice of non-parametric statistics.</w:t>
      </w:r>
    </w:p>
    <w:p>
      <w:pPr>
        <w:pStyle w:val="MDPI31text"/>
        <w:spacing w:before="240" w:after="120"/>
        <w:ind w:hanging="0" w:start="2608"/>
        <w:rPr>
          <w:sz w:val="18"/>
          <w:szCs w:val="18"/>
        </w:rPr>
      </w:pPr>
      <w:r>
        <w:rPr>
          <w:b/>
          <w:sz w:val="18"/>
          <w:szCs w:val="18"/>
        </w:rPr>
        <w:t xml:space="preserve">Table 4. </w:t>
      </w:r>
      <w:r>
        <w:rPr>
          <w:sz w:val="18"/>
          <w:szCs w:val="18"/>
        </w:rPr>
        <w:t>Descriptive statistics of agrochemical properties (</w:t>
      </w:r>
      <w:r>
        <w:rPr>
          <w:i/>
          <w:iCs/>
          <w:sz w:val="18"/>
          <w:szCs w:val="18"/>
        </w:rPr>
        <w:t>n</w:t>
      </w:r>
      <w:r>
        <w:rPr>
          <w:sz w:val="18"/>
          <w:szCs w:val="18"/>
        </w:rPr>
        <w:t>=1085).</w:t>
      </w:r>
    </w:p>
    <w:tbl>
      <w:tblPr>
        <w:tblStyle w:val="Table"/>
        <w:tblW w:w="7920" w:type="dxa"/>
        <w:jc w:val="start"/>
        <w:tblInd w:w="2551" w:type="dxa"/>
        <w:tblLayout w:type="fixed"/>
        <w:tblCellMar>
          <w:top w:w="0" w:type="dxa"/>
          <w:start w:w="108" w:type="dxa"/>
          <w:bottom w:w="0" w:type="dxa"/>
          <w:end w:w="108" w:type="dxa"/>
        </w:tblCellMar>
        <w:tblLook w:firstRow="1" w:noVBand="0" w:lastRow="0" w:firstColumn="0" w:lastColumn="0" w:noHBand="0" w:val="0020"/>
      </w:tblPr>
      <w:tblGrid>
        <w:gridCol w:w="1980"/>
        <w:gridCol w:w="1980"/>
        <w:gridCol w:w="1980"/>
        <w:gridCol w:w="1980"/>
      </w:tblGrid>
      <w:tr>
        <w:trPr>
          <w:tblHeader w:val="true"/>
          <w:cnfStyle w:val="100000000000" w:firstRow="1" w:lastRow="0" w:firstColumn="0" w:lastColumn="0" w:oddVBand="0" w:evenVBand="0" w:oddHBand="0" w:evenHBand="0" w:firstRowFirstColumn="0" w:firstRowLastColumn="0" w:lastRowFirstColumn="0" w:lastRowLastColumn="0"/>
        </w:trPr>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en-US" w:bidi="ar-SA"/>
              </w:rPr>
              <w:t>P</w:t>
            </w:r>
            <w:r>
              <w:rPr>
                <w:rFonts w:eastAsia="Cambria" w:ascii="Palatino Linotype" w:hAnsi="Palatino Linotype"/>
                <w:b/>
                <w:bCs/>
                <w:kern w:val="0"/>
                <w:sz w:val="18"/>
                <w:szCs w:val="18"/>
                <w:lang w:val="ru-RU" w:bidi="ar-SA"/>
              </w:rPr>
              <w:t>ropert</w:t>
            </w:r>
            <w:r>
              <w:rPr>
                <w:rFonts w:eastAsia="Cambria" w:ascii="Palatino Linotype" w:hAnsi="Palatino Linotype"/>
                <w:b/>
                <w:bCs/>
                <w:kern w:val="0"/>
                <w:sz w:val="18"/>
                <w:szCs w:val="18"/>
                <w:lang w:val="en-US" w:bidi="ar-SA"/>
              </w:rPr>
              <w:t>y</w:t>
            </w:r>
          </w:p>
        </w:tc>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i/>
                <w:iCs/>
                <w:sz w:val="18"/>
                <w:szCs w:val="18"/>
                <w:lang w:val="en-US"/>
              </w:rPr>
            </w:pPr>
            <w:r>
              <w:rPr>
                <w:rFonts w:eastAsia="Cambria" w:ascii="Palatino Linotype" w:hAnsi="Palatino Linotype"/>
                <w:b/>
                <w:bCs/>
                <w:i/>
                <w:iCs/>
                <w:kern w:val="0"/>
                <w:sz w:val="18"/>
                <w:szCs w:val="18"/>
                <w:lang w:val="en-US" w:bidi="ar-SA"/>
              </w:rPr>
              <w:t>W</w:t>
            </w:r>
          </w:p>
        </w:tc>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i/>
                <w:iCs/>
                <w:sz w:val="18"/>
                <w:szCs w:val="18"/>
                <w:lang w:val="en-US"/>
              </w:rPr>
            </w:pPr>
            <w:r>
              <w:rPr>
                <w:rFonts w:eastAsia="Cambria" w:ascii="Palatino Linotype" w:hAnsi="Palatino Linotype"/>
                <w:b/>
                <w:bCs/>
                <w:i/>
                <w:iCs/>
                <w:kern w:val="0"/>
                <w:sz w:val="18"/>
                <w:szCs w:val="18"/>
                <w:lang w:val="en-US" w:bidi="ar-SA"/>
              </w:rPr>
              <w:t>p</w:t>
            </w:r>
          </w:p>
        </w:tc>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Conclusion</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pH</w:t>
            </w:r>
            <w:r>
              <w:rPr>
                <w:rFonts w:eastAsia="Cambria" w:ascii="Palatino Linotype" w:hAnsi="Palatino Linotype"/>
                <w:kern w:val="0"/>
                <w:sz w:val="18"/>
                <w:szCs w:val="18"/>
                <w:vertAlign w:val="subscript"/>
                <w:lang w:val="ru-RU" w:bidi="ar-SA"/>
              </w:rPr>
              <w:t>KCl</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0.833</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3.32×10</w:t>
            </w:r>
            <w:r>
              <w:rPr>
                <w:rFonts w:eastAsia="Cambria" w:ascii="Palatino Linotype" w:hAnsi="Palatino Linotype"/>
                <w:kern w:val="0"/>
                <w:sz w:val="18"/>
                <w:szCs w:val="18"/>
                <w:vertAlign w:val="superscript"/>
                <w:lang w:val="ru-RU" w:bidi="ar-SA"/>
              </w:rPr>
              <w:t>-32</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Non-normal</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0.956</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1.61×10</w:t>
            </w:r>
            <w:r>
              <w:rPr>
                <w:rFonts w:eastAsia="Cambria" w:ascii="Palatino Linotype" w:hAnsi="Palatino Linotype"/>
                <w:kern w:val="0"/>
                <w:sz w:val="18"/>
                <w:szCs w:val="18"/>
                <w:vertAlign w:val="superscript"/>
                <w:lang w:val="ru-RU" w:bidi="ar-SA"/>
              </w:rPr>
              <w:t>-17</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Non-normal</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0.805</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3.23×10</w:t>
            </w:r>
            <w:r>
              <w:rPr>
                <w:rFonts w:eastAsia="Cambria" w:ascii="Palatino Linotype" w:hAnsi="Palatino Linotype"/>
                <w:kern w:val="0"/>
                <w:sz w:val="18"/>
                <w:szCs w:val="18"/>
                <w:vertAlign w:val="superscript"/>
                <w:lang w:val="ru-RU" w:bidi="ar-SA"/>
              </w:rPr>
              <w:t>-34</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Non-normal</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0.725</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6.53×10</w:t>
            </w:r>
            <w:r>
              <w:rPr>
                <w:rFonts w:eastAsia="Cambria" w:ascii="Palatino Linotype" w:hAnsi="Palatino Linotype"/>
                <w:kern w:val="0"/>
                <w:sz w:val="18"/>
                <w:szCs w:val="18"/>
                <w:vertAlign w:val="superscript"/>
                <w:lang w:val="ru-RU" w:bidi="ar-SA"/>
              </w:rPr>
              <w:t>-39</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Non-normal</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0.976</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2.44×10</w:t>
            </w:r>
            <w:r>
              <w:rPr>
                <w:rFonts w:eastAsia="Cambria" w:ascii="Palatino Linotype" w:hAnsi="Palatino Linotype"/>
                <w:kern w:val="0"/>
                <w:sz w:val="18"/>
                <w:szCs w:val="18"/>
                <w:vertAlign w:val="superscript"/>
                <w:lang w:val="ru-RU" w:bidi="ar-SA"/>
              </w:rPr>
              <w:t>-12</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Non-normal</w:t>
            </w:r>
          </w:p>
        </w:tc>
      </w:tr>
      <w:tr>
        <w:trPr/>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0.592</w:t>
            </w:r>
          </w:p>
        </w:tc>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1.10×10</w:t>
            </w:r>
            <w:r>
              <w:rPr>
                <w:rFonts w:eastAsia="Cambria" w:ascii="Palatino Linotype" w:hAnsi="Palatino Linotype"/>
                <w:kern w:val="0"/>
                <w:sz w:val="18"/>
                <w:szCs w:val="18"/>
                <w:vertAlign w:val="superscript"/>
                <w:lang w:val="ru-RU" w:bidi="ar-SA"/>
              </w:rPr>
              <w:t>-44</w:t>
            </w:r>
          </w:p>
        </w:tc>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Non-normal</w:t>
            </w:r>
            <w:bookmarkStart w:id="6" w:name="tab%25253Anormality"/>
            <w:bookmarkEnd w:id="6"/>
          </w:p>
        </w:tc>
      </w:tr>
    </w:tbl>
    <w:p>
      <w:pPr>
        <w:pStyle w:val="MDPI31text"/>
        <w:rPr/>
      </w:pPr>
      <w:r>
        <w:rPr>
          <w:b/>
          <w:bCs/>
        </w:rPr>
        <w:t>Interannual differences.</w:t>
      </w:r>
      <w:r>
        <w:rPr/>
        <w:t xml:space="preserve"> The Kruskal–Wallis test (</w:t>
      </w:r>
      <w:r>
        <w:rPr>
          <w:i/>
          <w:iCs/>
        </w:rPr>
        <w:t>k</w:t>
      </w:r>
      <w:r>
        <w:rPr/>
        <w:t>=2; Table 5) revealed significant differences between years for pH (</w:t>
      </w:r>
      <w:r>
        <w:rPr>
          <w:i/>
          <w:iCs/>
        </w:rPr>
        <w:t>H</w:t>
      </w:r>
      <w:r>
        <w:rPr/>
        <w:t xml:space="preserve">=139.0, </w:t>
      </w:r>
      <w:r>
        <w:rPr>
          <w:i/>
          <w:iCs/>
        </w:rPr>
        <w:t>p</w:t>
      </w:r>
      <w:r>
        <w:rPr/>
        <w:t xml:space="preserve"> =4.5×10</w:t>
      </w:r>
      <w:r>
        <w:rPr>
          <w:vertAlign w:val="superscript"/>
        </w:rPr>
        <w:t>-32</w:t>
      </w:r>
      <w:r>
        <w:rPr/>
        <w:t xml:space="preserve">), </w:t>
      </w:r>
      <w:r>
        <w:rPr>
          <w:rFonts w:eastAsia="Cambria"/>
          <w:sz w:val="18"/>
          <w:szCs w:val="18"/>
        </w:rPr>
        <w:t>NO</w:t>
      </w:r>
      <w:r>
        <w:rPr>
          <w:rFonts w:eastAsia="Cambria"/>
          <w:sz w:val="18"/>
          <w:szCs w:val="18"/>
          <w:vertAlign w:val="subscript"/>
        </w:rPr>
        <w:t>3</w:t>
      </w:r>
      <w:r>
        <w:rPr/>
        <w:t xml:space="preserve"> (</w:t>
      </w:r>
      <w:r>
        <w:rPr>
          <w:i/>
          <w:iCs/>
        </w:rPr>
        <w:t>H</w:t>
      </w:r>
      <w:r>
        <w:rPr/>
        <w:t xml:space="preserve">=155.3), </w:t>
      </w:r>
      <w:r>
        <w:rPr>
          <w:rFonts w:eastAsia="Cambria"/>
          <w:sz w:val="18"/>
          <w:szCs w:val="18"/>
        </w:rPr>
        <w:t>P</w:t>
      </w:r>
      <w:r>
        <w:rPr>
          <w:rFonts w:eastAsia="Cambria"/>
          <w:sz w:val="18"/>
          <w:szCs w:val="18"/>
          <w:vertAlign w:val="subscript"/>
        </w:rPr>
        <w:t>2</w:t>
      </w:r>
      <w:r>
        <w:rPr>
          <w:rFonts w:eastAsia="Cambria"/>
          <w:sz w:val="18"/>
          <w:szCs w:val="18"/>
        </w:rPr>
        <w:t>O</w:t>
      </w:r>
      <w:r>
        <w:rPr>
          <w:rFonts w:eastAsia="Cambria"/>
          <w:sz w:val="18"/>
          <w:szCs w:val="18"/>
          <w:vertAlign w:val="subscript"/>
        </w:rPr>
        <w:t>5</w:t>
      </w:r>
      <w:r>
        <w:rPr/>
        <w:t xml:space="preserve"> (</w:t>
      </w:r>
      <w:r>
        <w:rPr>
          <w:i/>
          <w:iCs/>
        </w:rPr>
        <w:t>H</w:t>
      </w:r>
      <w:r>
        <w:rPr/>
        <w:t xml:space="preserve">=27.4) and </w:t>
      </w:r>
      <w:r>
        <w:rPr>
          <w:rFonts w:eastAsia="Cambria"/>
          <w:sz w:val="18"/>
          <w:szCs w:val="18"/>
        </w:rPr>
        <w:t>K</w:t>
      </w:r>
      <w:r>
        <w:rPr>
          <w:rFonts w:eastAsia="Cambria"/>
          <w:sz w:val="18"/>
          <w:szCs w:val="18"/>
          <w:vertAlign w:val="subscript"/>
        </w:rPr>
        <w:t>2</w:t>
      </w:r>
      <w:r>
        <w:rPr>
          <w:rFonts w:eastAsia="Cambria"/>
          <w:sz w:val="18"/>
          <w:szCs w:val="18"/>
        </w:rPr>
        <w:t>O</w:t>
      </w:r>
      <w:r>
        <w:rPr/>
        <w:t xml:space="preserve"> (</w:t>
      </w:r>
      <w:r>
        <w:rPr>
          <w:i/>
          <w:iCs/>
        </w:rPr>
        <w:t>H</w:t>
      </w:r>
      <w:r>
        <w:rPr/>
        <w:t>=19.2). For SOC (</w:t>
      </w:r>
      <w:r>
        <w:rPr>
          <w:i/>
          <w:iCs/>
        </w:rPr>
        <w:t>H</w:t>
      </w:r>
      <w:r>
        <w:rPr/>
        <w:t xml:space="preserve">=1.27, </w:t>
      </w:r>
      <w:r>
        <w:rPr>
          <w:i/>
          <w:iCs/>
        </w:rPr>
        <w:t>p</w:t>
      </w:r>
      <w:r>
        <w:rPr/>
        <w:t>=0.260) and S (</w:t>
      </w:r>
      <w:r>
        <w:rPr>
          <w:i/>
          <w:iCs/>
        </w:rPr>
        <w:t>H</w:t>
      </w:r>
      <w:r>
        <w:rPr/>
        <w:t xml:space="preserve">=3.89, </w:t>
      </w:r>
      <w:r>
        <w:rPr>
          <w:i/>
          <w:iCs/>
        </w:rPr>
        <w:t>p</w:t>
      </w:r>
      <w:r>
        <w:rPr/>
        <w:t xml:space="preserve">=0.049), the differences did not reach the significance level of </w:t>
      </w:r>
      <w:r>
        <w:rPr>
          <w:i/>
          <w:iCs/>
          <w:lang w:val="ru-RU"/>
        </w:rPr>
        <w:t>α</w:t>
      </w:r>
      <w:r>
        <w:rPr/>
        <w:t>=0.001. Since the 2022 and 2023 samples cover different territories (sections 2.1 and 2.2), these differences inevitably confounded the effects of year and geographical location.</w:t>
      </w:r>
    </w:p>
    <w:p>
      <w:pPr>
        <w:pStyle w:val="MDPI31text"/>
        <w:rPr/>
      </w:pPr>
      <w:r>
        <w:rPr/>
        <w:t>It should be noted that correlations with RS features were not calculated separately for the annual subsets (</w:t>
      </w:r>
      <w:r>
        <w:rPr>
          <w:i/>
          <w:iCs/>
        </w:rPr>
        <w:t>n</w:t>
      </w:r>
      <w:r>
        <w:rPr>
          <w:i/>
          <w:iCs/>
          <w:vertAlign w:val="subscript"/>
        </w:rPr>
        <w:t>2022</w:t>
      </w:r>
      <w:r>
        <w:rPr/>
        <w:t xml:space="preserve">=174, </w:t>
      </w:r>
      <w:r>
        <w:rPr>
          <w:i/>
          <w:iCs/>
        </w:rPr>
        <w:t>n</w:t>
      </w:r>
      <w:r>
        <w:rPr>
          <w:i/>
          <w:iCs/>
          <w:vertAlign w:val="subscript"/>
        </w:rPr>
        <w:t>2023</w:t>
      </w:r>
      <w:r>
        <w:rPr/>
        <w:t>=911) in this study. This represents a methodological limitation, as it is impossible to estimate what proportion of the observed correlation (e.g., pH–GNDVI = -0.670) results from pooling two geographically distinct 'clusters' into a single dataset.</w:t>
      </w:r>
    </w:p>
    <w:p>
      <w:pPr>
        <w:pStyle w:val="MDPI31text"/>
        <w:spacing w:before="240" w:after="120"/>
        <w:ind w:hanging="0" w:start="2608"/>
        <w:rPr>
          <w:sz w:val="18"/>
          <w:szCs w:val="18"/>
        </w:rPr>
      </w:pPr>
      <w:r>
        <w:rPr>
          <w:b/>
          <w:sz w:val="18"/>
          <w:szCs w:val="18"/>
        </w:rPr>
        <w:t xml:space="preserve">Table 5. </w:t>
      </w:r>
      <w:r>
        <w:rPr>
          <w:bCs/>
          <w:sz w:val="18"/>
          <w:szCs w:val="18"/>
        </w:rPr>
        <w:t>Kruskal–Wallis test: spatiotemporal differences between the 2022 and 2023 samples. Due to the minimal spatial overlap between the samples (sections 2.1 and 2.2), the results reflect the joint effect of year and territory and cannot be interpreted as purely temporal changes.</w:t>
      </w:r>
    </w:p>
    <w:tbl>
      <w:tblPr>
        <w:tblStyle w:val="Table"/>
        <w:tblW w:w="7920" w:type="dxa"/>
        <w:jc w:val="start"/>
        <w:tblInd w:w="2551" w:type="dxa"/>
        <w:tblLayout w:type="fixed"/>
        <w:tblCellMar>
          <w:top w:w="0" w:type="dxa"/>
          <w:start w:w="108" w:type="dxa"/>
          <w:bottom w:w="0" w:type="dxa"/>
          <w:end w:w="108" w:type="dxa"/>
        </w:tblCellMar>
        <w:tblLook w:firstRow="1" w:noVBand="0" w:lastRow="0" w:firstColumn="0" w:lastColumn="0" w:noHBand="0" w:val="0020"/>
      </w:tblPr>
      <w:tblGrid>
        <w:gridCol w:w="1980"/>
        <w:gridCol w:w="1980"/>
        <w:gridCol w:w="1980"/>
        <w:gridCol w:w="1980"/>
      </w:tblGrid>
      <w:tr>
        <w:trPr>
          <w:tblHeader w:val="true"/>
          <w:cnfStyle w:val="100000000000" w:firstRow="1" w:lastRow="0" w:firstColumn="0" w:lastColumn="0" w:oddVBand="0" w:evenVBand="0" w:oddHBand="0" w:evenHBand="0" w:firstRowFirstColumn="0" w:firstRowLastColumn="0" w:lastRowFirstColumn="0" w:lastRowLastColumn="0"/>
        </w:trPr>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kern w:val="0"/>
                <w:sz w:val="18"/>
                <w:szCs w:val="18"/>
                <w:lang w:val="en-US" w:bidi="ar-SA"/>
              </w:rPr>
              <w:t>P</w:t>
            </w:r>
            <w:r>
              <w:rPr>
                <w:rFonts w:eastAsia="Cambria" w:ascii="Palatino Linotype" w:hAnsi="Palatino Linotype"/>
                <w:b/>
                <w:bCs/>
                <w:kern w:val="0"/>
                <w:sz w:val="18"/>
                <w:szCs w:val="18"/>
                <w:lang w:val="ru-RU" w:bidi="ar-SA"/>
              </w:rPr>
              <w:t>ropert</w:t>
            </w:r>
            <w:r>
              <w:rPr>
                <w:rFonts w:eastAsia="Cambria" w:ascii="Palatino Linotype" w:hAnsi="Palatino Linotype"/>
                <w:b/>
                <w:bCs/>
                <w:kern w:val="0"/>
                <w:sz w:val="18"/>
                <w:szCs w:val="18"/>
                <w:lang w:val="en-US" w:bidi="ar-SA"/>
              </w:rPr>
              <w:t>y</w:t>
            </w:r>
          </w:p>
        </w:tc>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i/>
                <w:iCs/>
                <w:sz w:val="18"/>
                <w:szCs w:val="18"/>
              </w:rPr>
            </w:pPr>
            <w:r>
              <w:rPr>
                <w:rFonts w:eastAsia="Cambria" w:ascii="Palatino Linotype" w:hAnsi="Palatino Linotype"/>
                <w:b/>
                <w:bCs/>
                <w:i/>
                <w:iCs/>
                <w:kern w:val="0"/>
                <w:sz w:val="18"/>
                <w:szCs w:val="18"/>
                <w:lang w:val="ru-RU" w:bidi="ar-SA"/>
              </w:rPr>
              <w:t>H</w:t>
            </w:r>
          </w:p>
        </w:tc>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i/>
                <w:iCs/>
                <w:sz w:val="18"/>
                <w:szCs w:val="18"/>
              </w:rPr>
            </w:pPr>
            <w:r>
              <w:rPr>
                <w:rFonts w:eastAsia="Cambria" w:ascii="Palatino Linotype" w:hAnsi="Palatino Linotype"/>
                <w:b/>
                <w:bCs/>
                <w:i/>
                <w:iCs/>
                <w:kern w:val="0"/>
                <w:sz w:val="18"/>
                <w:szCs w:val="18"/>
                <w:lang w:val="ru-RU" w:bidi="ar-SA"/>
              </w:rPr>
              <w:t>p</w:t>
            </w:r>
          </w:p>
        </w:tc>
        <w:tc>
          <w:tcPr>
            <w:tcW w:w="1980"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kern w:val="0"/>
                <w:sz w:val="18"/>
                <w:szCs w:val="18"/>
                <w:lang w:val="en-US" w:bidi="ar-SA"/>
              </w:rPr>
              <w:t>Significance</w:t>
            </w:r>
            <w:r>
              <w:rPr>
                <w:b/>
                <w:bCs/>
                <w:i/>
                <w:iCs/>
                <w:kern w:val="0"/>
                <w:lang w:val="ru-RU" w:bidi="ar-SA"/>
              </w:rPr>
              <w:t xml:space="preserve"> </w:t>
            </w:r>
            <w:r>
              <w:rPr>
                <w:rFonts w:ascii="Palatino Linotype" w:hAnsi="Palatino Linotype"/>
                <w:b/>
                <w:bCs/>
                <w:i/>
                <w:iCs/>
                <w:kern w:val="0"/>
                <w:sz w:val="18"/>
                <w:szCs w:val="18"/>
                <w:lang w:val="ru-RU" w:bidi="ar-SA"/>
              </w:rPr>
              <w:t>α</w:t>
            </w:r>
            <w:r>
              <w:rPr>
                <w:rFonts w:ascii="Palatino Linotype" w:hAnsi="Palatino Linotype"/>
                <w:b/>
                <w:bCs/>
                <w:kern w:val="0"/>
                <w:sz w:val="18"/>
                <w:szCs w:val="18"/>
                <w:lang w:val="en-US" w:bidi="ar-SA"/>
              </w:rPr>
              <w:t>=0.001</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pH</w:t>
            </w:r>
            <w:r>
              <w:rPr>
                <w:rFonts w:eastAsia="Cambria" w:ascii="Palatino Linotype" w:hAnsi="Palatino Linotype"/>
                <w:kern w:val="0"/>
                <w:sz w:val="18"/>
                <w:szCs w:val="18"/>
                <w:vertAlign w:val="subscript"/>
                <w:lang w:val="ru-RU" w:bidi="ar-SA"/>
              </w:rPr>
              <w:t>KCl</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138.96</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4.49×10</w:t>
            </w:r>
            <w:r>
              <w:rPr>
                <w:rFonts w:eastAsia="Cambria" w:ascii="Palatino Linotype" w:hAnsi="Palatino Linotype"/>
                <w:kern w:val="0"/>
                <w:sz w:val="18"/>
                <w:szCs w:val="18"/>
                <w:vertAlign w:val="superscript"/>
                <w:lang w:val="ru-RU" w:bidi="ar-SA"/>
              </w:rPr>
              <w:t>-32</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Yes</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155.34</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1.18×10</w:t>
            </w:r>
            <w:r>
              <w:rPr>
                <w:rFonts w:eastAsia="Cambria" w:ascii="Palatino Linotype" w:hAnsi="Palatino Linotype"/>
                <w:kern w:val="0"/>
                <w:sz w:val="18"/>
                <w:szCs w:val="18"/>
                <w:vertAlign w:val="superscript"/>
                <w:lang w:val="ru-RU" w:bidi="ar-SA"/>
              </w:rPr>
              <w:t>-35</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en-US" w:bidi="ar-SA"/>
              </w:rPr>
              <w:t>Yes</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27.43</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1.63×10</w:t>
            </w:r>
            <w:r>
              <w:rPr>
                <w:rFonts w:eastAsia="Cambria" w:ascii="Palatino Linotype" w:hAnsi="Palatino Linotype"/>
                <w:kern w:val="0"/>
                <w:sz w:val="18"/>
                <w:szCs w:val="18"/>
                <w:vertAlign w:val="superscript"/>
                <w:lang w:val="ru-RU" w:bidi="ar-SA"/>
              </w:rPr>
              <w:t>-7</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en-US" w:bidi="ar-SA"/>
              </w:rPr>
              <w:t>Yes</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19.24</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1.15×10</w:t>
            </w:r>
            <w:r>
              <w:rPr>
                <w:rFonts w:eastAsia="Cambria" w:ascii="Palatino Linotype" w:hAnsi="Palatino Linotype"/>
                <w:kern w:val="0"/>
                <w:sz w:val="18"/>
                <w:szCs w:val="18"/>
                <w:vertAlign w:val="superscript"/>
                <w:lang w:val="ru-RU" w:bidi="ar-SA"/>
              </w:rPr>
              <w:t>-5</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en-US" w:bidi="ar-SA"/>
              </w:rPr>
              <w:t>Yes</w:t>
            </w:r>
          </w:p>
        </w:tc>
      </w:tr>
      <w:tr>
        <w:trPr/>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1.27</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0.260</w:t>
            </w:r>
          </w:p>
        </w:tc>
        <w:tc>
          <w:tcPr>
            <w:tcW w:w="1980"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No</w:t>
            </w:r>
          </w:p>
        </w:tc>
      </w:tr>
      <w:tr>
        <w:trPr/>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3.89</w:t>
            </w:r>
          </w:p>
        </w:tc>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0.049</w:t>
            </w:r>
          </w:p>
        </w:tc>
        <w:tc>
          <w:tcPr>
            <w:tcW w:w="1980"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en-US" w:bidi="ar-SA"/>
              </w:rPr>
              <w:t>No</w:t>
            </w:r>
            <w:bookmarkStart w:id="7" w:name="tab%25253Akruskal"/>
            <w:bookmarkEnd w:id="7"/>
          </w:p>
        </w:tc>
      </w:tr>
    </w:tbl>
    <w:p>
      <w:pPr>
        <w:pStyle w:val="MDPI31text"/>
        <w:rPr/>
      </w:pPr>
      <w:r>
        <w:rPr/>
      </w:r>
    </w:p>
    <w:p>
      <w:pPr>
        <w:pStyle w:val="MDPI31text"/>
        <w:rPr/>
      </w:pPr>
      <w:r>
        <w:rPr/>
        <w:t xml:space="preserve">The absence of significant differences for SOC is consistent with the slow kinetics of its accumulation; however, this conclusion is limited by the spatial mismatch of the subsets. </w:t>
      </w:r>
    </w:p>
    <w:p>
      <w:pPr>
        <w:pStyle w:val="MDPI31text"/>
        <w:rPr/>
      </w:pPr>
      <w:r>
        <w:rPr/>
        <w:t>The distributions of the six properties are additionally visualized in Figure 3.</w:t>
      </w:r>
    </w:p>
    <w:p>
      <w:pPr>
        <w:pStyle w:val="Normal"/>
        <w:spacing w:lineRule="auto" w:line="240"/>
        <w:jc w:val="center"/>
        <w:rPr>
          <w:rFonts w:ascii="Times New Roman" w:hAnsi="Times New Roman" w:eastAsia="Times New Roman"/>
          <w:color w:val="auto"/>
          <w:sz w:val="24"/>
          <w:szCs w:val="24"/>
          <w:lang w:val="ru-RU" w:eastAsia="ru-RU"/>
        </w:rPr>
      </w:pPr>
      <w:r>
        <w:rPr/>
        <w:drawing>
          <wp:inline distT="0" distB="0" distL="0" distR="0">
            <wp:extent cx="5676900" cy="33801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676900" cy="3380105"/>
                    </a:xfrm>
                    <a:prstGeom prst="rect">
                      <a:avLst/>
                    </a:prstGeom>
                    <a:noFill/>
                  </pic:spPr>
                </pic:pic>
              </a:graphicData>
            </a:graphic>
          </wp:inline>
        </w:drawing>
      </w:r>
    </w:p>
    <w:p>
      <w:pPr>
        <w:pStyle w:val="MDPI51figurecaption"/>
        <w:spacing w:before="0" w:after="240"/>
        <w:rPr>
          <w:i/>
        </w:rPr>
      </w:pPr>
      <w:r>
        <w:rPr>
          <w:b/>
        </w:rPr>
        <w:t xml:space="preserve">Figure 3. </w:t>
      </w:r>
      <w:bookmarkStart w:id="8" w:name="sec%25253Adescriptive_results"/>
      <w:r>
        <w:rPr>
          <w:iCs/>
        </w:rPr>
        <w:t>Box plots of the six agrochemical properties; each property is normalized for comparability. Color encodes CV: low (blue), moderate (green), and high (red).</w:t>
      </w:r>
      <w:bookmarkEnd w:id="8"/>
    </w:p>
    <w:p>
      <w:pPr>
        <w:pStyle w:val="MDPI22heading2"/>
        <w:spacing w:before="240" w:after="60"/>
        <w:rPr/>
      </w:pPr>
      <w:r>
        <w:rPr/>
        <w:t>3.2. Intercorrelation of soil properties</w:t>
      </w:r>
    </w:p>
    <w:p>
      <w:pPr>
        <w:pStyle w:val="MDPI31text"/>
        <w:rPr/>
      </w:pPr>
      <w:r>
        <w:rPr/>
        <w:t>Spearman pairwise correlations (Table 6) revealed a number of pronounced relationships. The strongest one was pH</w:t>
      </w:r>
      <w:r>
        <w:rPr>
          <w:rFonts w:ascii="Times New Roman" w:hAnsi="Times New Roman"/>
        </w:rPr>
        <w:t>↔</w:t>
      </w:r>
      <w:r>
        <w:rPr/>
        <w:t>P2O5 (</w:t>
      </w:r>
      <w:r>
        <w:rPr>
          <w:rFonts w:cs="Palatino Linotype"/>
          <w:i/>
          <w:iCs/>
        </w:rPr>
        <w:t>ρ</w:t>
      </w:r>
      <w:r>
        <w:rPr/>
        <w:t xml:space="preserve"> = -0.450, </w:t>
      </w:r>
      <w:r>
        <w:rPr>
          <w:i/>
          <w:iCs/>
        </w:rPr>
        <w:t>p</w:t>
      </w:r>
      <w:r>
        <w:rPr/>
        <w:t xml:space="preserve"> &lt; 10</w:t>
      </w:r>
      <w:r>
        <w:rPr>
          <w:rFonts w:cs="Palatino Linotype"/>
        </w:rPr>
        <w:t>⁻⁵³</w:t>
      </w:r>
      <w:r>
        <w:rPr/>
        <w:t>): acidic soils in the northern part of studied region demonstrate elevated levels of mobile phosphorus, which is associated with increased phosphate mobility under decreasing pH and zonal differences in fertilizer application rates. Significant correlations of pH with NO</w:t>
      </w:r>
      <w:r>
        <w:rPr>
          <w:vertAlign w:val="subscript"/>
        </w:rPr>
        <w:t>3</w:t>
      </w:r>
      <w:r>
        <w:rPr/>
        <w:t xml:space="preserve"> (</w:t>
      </w:r>
      <w:r>
        <w:rPr>
          <w:i/>
          <w:iCs/>
        </w:rPr>
        <w:t>ρ</w:t>
      </w:r>
      <w:r>
        <w:rPr/>
        <w:t xml:space="preserve"> = 0.341) and S (</w:t>
      </w:r>
      <w:r>
        <w:rPr>
          <w:i/>
          <w:iCs/>
        </w:rPr>
        <w:t>ρ</w:t>
      </w:r>
      <w:r>
        <w:rPr/>
        <w:t xml:space="preserve"> = -0.340) reflected the complex influence of acidity on mineral balance and microbial activity. The SOC</w:t>
      </w:r>
      <w:r>
        <w:rPr>
          <w:rFonts w:ascii="Times New Roman" w:hAnsi="Times New Roman"/>
        </w:rPr>
        <w:t>↔</w:t>
      </w:r>
      <w:r>
        <w:rPr/>
        <w:t>K</w:t>
      </w:r>
      <w:r>
        <w:rPr>
          <w:vertAlign w:val="subscript"/>
        </w:rPr>
        <w:t>2</w:t>
      </w:r>
      <w:r>
        <w:rPr/>
        <w:t>O relationship (</w:t>
      </w:r>
      <w:r>
        <w:rPr>
          <w:rFonts w:cs="Palatino Linotype"/>
          <w:i/>
          <w:iCs/>
        </w:rPr>
        <w:t>ρ</w:t>
      </w:r>
      <w:r>
        <w:rPr/>
        <w:t xml:space="preserve"> = 0.232, </w:t>
      </w:r>
      <w:r>
        <w:rPr>
          <w:i/>
          <w:iCs/>
        </w:rPr>
        <w:t>p</w:t>
      </w:r>
      <w:r>
        <w:rPr/>
        <w:t xml:space="preserve"> &lt; 10</w:t>
      </w:r>
      <w:r>
        <w:rPr>
          <w:rFonts w:cs="Palatino Linotype"/>
        </w:rPr>
        <w:t>⁻¹⁴</w:t>
      </w:r>
      <w:r>
        <w:rPr/>
        <w:t>) indicated the joint enrichment of humus-rich soils with exchangeable potassium (illite reserve of clay minerals) [</w:t>
      </w:r>
      <w:r>
        <w:rPr>
          <w:highlight w:val="yellow"/>
        </w:rPr>
        <w:t>33</w:t>
      </w:r>
      <w:r>
        <w:rPr/>
        <w:t>]. The P</w:t>
      </w:r>
      <w:r>
        <w:rPr>
          <w:vertAlign w:val="subscript"/>
        </w:rPr>
        <w:t>2</w:t>
      </w:r>
      <w:r>
        <w:rPr/>
        <w:t>O</w:t>
      </w:r>
      <w:r>
        <w:rPr>
          <w:vertAlign w:val="subscript"/>
        </w:rPr>
        <w:t>5</w:t>
      </w:r>
      <w:r>
        <w:rPr/>
        <w:t xml:space="preserve"> </w:t>
      </w:r>
      <w:r>
        <w:rPr>
          <w:rFonts w:ascii="Times New Roman" w:hAnsi="Times New Roman"/>
        </w:rPr>
        <w:t>↔</w:t>
      </w:r>
      <w:r>
        <w:rPr/>
        <w:t>S relationship (</w:t>
      </w:r>
      <w:r>
        <w:rPr>
          <w:i/>
          <w:iCs/>
          <w:lang w:val="ru-RU"/>
        </w:rPr>
        <w:t>ρ</w:t>
      </w:r>
      <w:r>
        <w:rPr/>
        <w:t xml:space="preserve">= 0.335, </w:t>
      </w:r>
      <w:r>
        <w:rPr>
          <w:i/>
          <w:iCs/>
        </w:rPr>
        <w:t>p</w:t>
      </w:r>
      <w:r>
        <w:rPr/>
        <w:t>&lt;10</w:t>
      </w:r>
      <w:r>
        <w:rPr>
          <w:vertAlign w:val="superscript"/>
        </w:rPr>
        <w:t>-28</w:t>
      </w:r>
      <w:r>
        <w:rPr/>
        <w:t>) may reflect a common anthropogenic factor, namely the intensity of fertilizer application. The SOC</w:t>
      </w:r>
      <w:r>
        <w:rPr>
          <w:rFonts w:ascii="Times New Roman" w:hAnsi="Times New Roman"/>
        </w:rPr>
        <w:t>↔</w:t>
      </w:r>
      <w:r>
        <w:rPr/>
        <w:t>S (</w:t>
      </w:r>
      <w:r>
        <w:rPr>
          <w:i/>
          <w:iCs/>
          <w:lang w:val="ru-RU"/>
        </w:rPr>
        <w:t>ρ</w:t>
      </w:r>
      <w:r>
        <w:rPr/>
        <w:t xml:space="preserve">= 0.176, </w:t>
      </w:r>
      <w:r>
        <w:rPr>
          <w:i/>
          <w:iCs/>
        </w:rPr>
        <w:t>p</w:t>
      </w:r>
      <w:r>
        <w:rPr/>
        <w:t>&lt;10</w:t>
      </w:r>
      <w:r>
        <w:rPr>
          <w:vertAlign w:val="superscript"/>
        </w:rPr>
        <w:t>-8</w:t>
      </w:r>
      <w:r>
        <w:rPr/>
        <w:t>) and SOC</w:t>
      </w:r>
      <w:r>
        <w:rPr/>
      </w:r>
      <m:oMath xmlns:m="http://schemas.openxmlformats.org/officeDocument/2006/math">
        <m:r>
          <m:t xml:space="preserve">↔</m:t>
        </m:r>
      </m:oMath>
      <w:r>
        <w:rPr/>
        <w:t xml:space="preserve"> NO</w:t>
      </w:r>
      <w:r>
        <w:rPr>
          <w:vertAlign w:val="subscript"/>
        </w:rPr>
        <w:t>3</w:t>
      </w:r>
      <w:r>
        <w:rPr/>
        <w:t xml:space="preserve"> (</w:t>
      </w:r>
      <w:r>
        <w:rPr>
          <w:i/>
          <w:iCs/>
          <w:lang w:val="ru-RU"/>
        </w:rPr>
        <w:t>ρ</w:t>
      </w:r>
      <w:r>
        <w:rPr/>
        <w:t xml:space="preserve">= 0.148, </w:t>
      </w:r>
      <w:r>
        <w:rPr>
          <w:i/>
          <w:iCs/>
        </w:rPr>
        <w:t>p</w:t>
      </w:r>
      <w:r>
        <w:rPr/>
        <w:t>&lt;10</w:t>
      </w:r>
      <w:r>
        <w:rPr>
          <w:vertAlign w:val="superscript"/>
        </w:rPr>
        <w:t>-6</w:t>
      </w:r>
      <w:r>
        <w:rPr/>
        <w:t xml:space="preserve">) correlations were weak but highly significant and reflected a shared genesis: organic matter serves as a source of both sulfur and nitrate nitrogen during mineralization. </w:t>
      </w:r>
    </w:p>
    <w:p>
      <w:pPr>
        <w:pStyle w:val="MDPI31text"/>
        <w:spacing w:before="240" w:after="120"/>
        <w:ind w:hanging="0" w:start="2608"/>
        <w:rPr>
          <w:iCs/>
          <w:sz w:val="18"/>
          <w:szCs w:val="18"/>
        </w:rPr>
      </w:pPr>
      <w:r>
        <w:rPr>
          <w:b/>
          <w:sz w:val="18"/>
          <w:szCs w:val="18"/>
        </w:rPr>
        <w:t xml:space="preserve">Table 6. </w:t>
      </w:r>
      <w:r>
        <w:rPr>
          <w:iCs/>
          <w:sz w:val="18"/>
          <w:szCs w:val="18"/>
        </w:rPr>
        <w:t xml:space="preserve">Intercorrelation of soil properties (Spearman, </w:t>
      </w:r>
      <w:r>
        <w:rPr>
          <w:i/>
          <w:sz w:val="18"/>
          <w:szCs w:val="18"/>
        </w:rPr>
        <w:t>n</w:t>
      </w:r>
      <w:r>
        <w:rPr>
          <w:iCs/>
          <w:sz w:val="18"/>
          <w:szCs w:val="18"/>
        </w:rPr>
        <w:t xml:space="preserve"> = 1085).</w:t>
      </w:r>
    </w:p>
    <w:tbl>
      <w:tblPr>
        <w:tblStyle w:val="Table"/>
        <w:tblW w:w="7917" w:type="dxa"/>
        <w:jc w:val="start"/>
        <w:tblInd w:w="2564" w:type="dxa"/>
        <w:tblLayout w:type="fixed"/>
        <w:tblCellMar>
          <w:top w:w="0" w:type="dxa"/>
          <w:start w:w="108" w:type="dxa"/>
          <w:bottom w:w="0" w:type="dxa"/>
          <w:end w:w="108" w:type="dxa"/>
        </w:tblCellMar>
        <w:tblLook w:firstRow="1" w:noVBand="0" w:lastRow="0" w:firstColumn="0" w:lastColumn="0" w:noHBand="0" w:val="0020"/>
      </w:tblPr>
      <w:tblGrid>
        <w:gridCol w:w="1131"/>
        <w:gridCol w:w="1130"/>
        <w:gridCol w:w="1132"/>
        <w:gridCol w:w="1130"/>
        <w:gridCol w:w="1132"/>
        <w:gridCol w:w="1130"/>
        <w:gridCol w:w="1132"/>
      </w:tblGrid>
      <w:tr>
        <w:trPr>
          <w:tblHeader w:val="true"/>
          <w:cnfStyle w:val="100000000000" w:firstRow="1" w:lastRow="0" w:firstColumn="0" w:lastColumn="0" w:oddVBand="0" w:evenVBand="0" w:oddHBand="0" w:evenHBand="0" w:firstRowFirstColumn="0" w:firstRowLastColumn="0" w:lastRowFirstColumn="0" w:lastRowLastColumn="0"/>
        </w:trPr>
        <w:tc>
          <w:tcPr>
            <w:tcW w:w="1131"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lang w:val="en-US"/>
              </w:rPr>
            </w:pPr>
            <w:r>
              <w:rPr>
                <w:rFonts w:eastAsia="Cambria" w:ascii="Palatino Linotype" w:hAnsi="Palatino Linotype"/>
                <w:b/>
                <w:bCs/>
                <w:kern w:val="0"/>
                <w:sz w:val="18"/>
                <w:szCs w:val="18"/>
                <w:lang w:val="en-US" w:bidi="ar-SA"/>
              </w:rPr>
            </w:r>
          </w:p>
        </w:tc>
        <w:tc>
          <w:tcPr>
            <w:tcW w:w="1130"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pH</w:t>
            </w:r>
          </w:p>
        </w:tc>
        <w:tc>
          <w:tcPr>
            <w:tcW w:w="1132"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SOC</w:t>
            </w:r>
          </w:p>
        </w:tc>
        <w:tc>
          <w:tcPr>
            <w:tcW w:w="1130"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NO</w:t>
            </w:r>
            <w:r>
              <w:rPr>
                <w:rFonts w:eastAsia="Cambria" w:ascii="Palatino Linotype" w:hAnsi="Palatino Linotype"/>
                <w:b/>
                <w:bCs/>
                <w:kern w:val="0"/>
                <w:sz w:val="18"/>
                <w:szCs w:val="18"/>
                <w:vertAlign w:val="subscript"/>
                <w:lang w:val="ru-RU" w:bidi="ar-SA"/>
              </w:rPr>
              <w:t>3</w:t>
            </w:r>
          </w:p>
        </w:tc>
        <w:tc>
          <w:tcPr>
            <w:tcW w:w="1132"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P</w:t>
            </w:r>
            <w:r>
              <w:rPr>
                <w:rFonts w:eastAsia="Cambria" w:ascii="Palatino Linotype" w:hAnsi="Palatino Linotype"/>
                <w:b/>
                <w:bCs/>
                <w:kern w:val="0"/>
                <w:sz w:val="18"/>
                <w:szCs w:val="18"/>
                <w:vertAlign w:val="subscript"/>
                <w:lang w:val="ru-RU" w:bidi="ar-SA"/>
              </w:rPr>
              <w:t>2</w:t>
            </w:r>
            <w:r>
              <w:rPr>
                <w:rFonts w:eastAsia="Cambria" w:ascii="Palatino Linotype" w:hAnsi="Palatino Linotype"/>
                <w:b/>
                <w:bCs/>
                <w:kern w:val="0"/>
                <w:sz w:val="18"/>
                <w:szCs w:val="18"/>
                <w:lang w:val="ru-RU" w:bidi="ar-SA"/>
              </w:rPr>
              <w:t>O</w:t>
            </w:r>
            <w:r>
              <w:rPr>
                <w:rFonts w:eastAsia="Cambria" w:ascii="Palatino Linotype" w:hAnsi="Palatino Linotype"/>
                <w:b/>
                <w:bCs/>
                <w:kern w:val="0"/>
                <w:sz w:val="18"/>
                <w:szCs w:val="18"/>
                <w:vertAlign w:val="subscript"/>
                <w:lang w:val="ru-RU" w:bidi="ar-SA"/>
              </w:rPr>
              <w:t>5</w:t>
            </w:r>
          </w:p>
        </w:tc>
        <w:tc>
          <w:tcPr>
            <w:tcW w:w="1130"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K</w:t>
            </w:r>
            <w:r>
              <w:rPr>
                <w:rFonts w:eastAsia="Cambria" w:ascii="Palatino Linotype" w:hAnsi="Palatino Linotype"/>
                <w:b/>
                <w:bCs/>
                <w:kern w:val="0"/>
                <w:sz w:val="18"/>
                <w:szCs w:val="18"/>
                <w:vertAlign w:val="subscript"/>
                <w:lang w:val="ru-RU" w:bidi="ar-SA"/>
              </w:rPr>
              <w:t>2</w:t>
            </w:r>
            <w:r>
              <w:rPr>
                <w:rFonts w:eastAsia="Cambria" w:ascii="Palatino Linotype" w:hAnsi="Palatino Linotype"/>
                <w:b/>
                <w:bCs/>
                <w:kern w:val="0"/>
                <w:sz w:val="18"/>
                <w:szCs w:val="18"/>
                <w:lang w:val="ru-RU" w:bidi="ar-SA"/>
              </w:rPr>
              <w:t>O</w:t>
            </w:r>
          </w:p>
        </w:tc>
        <w:tc>
          <w:tcPr>
            <w:tcW w:w="1132"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S</w:t>
            </w:r>
          </w:p>
        </w:tc>
      </w:tr>
      <w:tr>
        <w:trPr/>
        <w:tc>
          <w:tcPr>
            <w:tcW w:w="1131" w:type="dxa"/>
            <w:tcBorders>
              <w:top w:val="single" w:sz="6" w:space="0" w:color="000000"/>
              <w:end w:val="single" w:sz="4" w:space="0" w:color="000000"/>
            </w:tcBorders>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pH</w:t>
            </w:r>
          </w:p>
        </w:tc>
        <w:tc>
          <w:tcPr>
            <w:tcW w:w="1130" w:type="dxa"/>
            <w:tcBorders>
              <w:start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-0.227*</w:t>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0.341*</w:t>
            </w:r>
          </w:p>
        </w:tc>
        <w:tc>
          <w:tcPr>
            <w:tcW w:w="1132" w:type="dxa"/>
            <w:tcBorders/>
          </w:tcPr>
          <w:p>
            <w:pPr>
              <w:pStyle w:val="Compact"/>
              <w:widowControl/>
              <w:suppressAutoHyphens w:val="true"/>
              <w:spacing w:before="36" w:after="36"/>
              <w:jc w:val="both"/>
              <w:rPr>
                <w:rFonts w:ascii="Palatino Linotype" w:hAnsi="Palatino Linotype" w:eastAsia="Cambria"/>
                <w:iCs/>
                <w:sz w:val="18"/>
                <w:szCs w:val="18"/>
              </w:rPr>
            </w:pPr>
            <w:r>
              <w:rPr>
                <w:rFonts w:eastAsia="Cambria" w:ascii="Palatino Linotype" w:hAnsi="Palatino Linotype"/>
                <w:iCs/>
                <w:kern w:val="0"/>
                <w:sz w:val="18"/>
                <w:szCs w:val="18"/>
                <w:lang w:val="ru-RU" w:bidi="ar-SA"/>
              </w:rPr>
              <w:t>-0.450*</w:t>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0.198*</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-0.340*</w:t>
            </w:r>
          </w:p>
        </w:tc>
      </w:tr>
      <w:tr>
        <w:trPr/>
        <w:tc>
          <w:tcPr>
            <w:tcW w:w="1131" w:type="dxa"/>
            <w:tcBorders>
              <w:end w:val="single" w:sz="4" w:space="0" w:color="000000"/>
            </w:tcBorders>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SOC</w:t>
            </w:r>
          </w:p>
        </w:tc>
        <w:tc>
          <w:tcPr>
            <w:tcW w:w="1130" w:type="dxa"/>
            <w:tcBorders>
              <w:start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w:t>
            </w:r>
          </w:p>
        </w:tc>
        <w:tc>
          <w:tcPr>
            <w:tcW w:w="1130" w:type="dxa"/>
            <w:tcBorders/>
          </w:tcPr>
          <w:p>
            <w:pPr>
              <w:pStyle w:val="Compact"/>
              <w:widowControl/>
              <w:suppressAutoHyphens w:val="true"/>
              <w:spacing w:before="36" w:after="36"/>
              <w:jc w:val="both"/>
              <w:rPr>
                <w:rFonts w:ascii="Palatino Linotype" w:hAnsi="Palatino Linotype" w:eastAsia="Cambria"/>
                <w:iCs/>
                <w:sz w:val="18"/>
                <w:szCs w:val="18"/>
              </w:rPr>
            </w:pPr>
            <w:r>
              <w:rPr>
                <w:rFonts w:eastAsia="Cambria" w:ascii="Palatino Linotype" w:hAnsi="Palatino Linotype"/>
                <w:iCs/>
                <w:kern w:val="0"/>
                <w:sz w:val="18"/>
                <w:szCs w:val="18"/>
                <w:lang w:val="ru-RU" w:bidi="ar-SA"/>
              </w:rPr>
              <w:t>0.148*</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0.140*</w:t>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0.232*</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0.176*</w:t>
            </w:r>
          </w:p>
        </w:tc>
      </w:tr>
      <w:tr>
        <w:trPr/>
        <w:tc>
          <w:tcPr>
            <w:tcW w:w="1131" w:type="dxa"/>
            <w:tcBorders>
              <w:end w:val="single" w:sz="4" w:space="0" w:color="000000"/>
            </w:tcBorders>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NO</w:t>
            </w:r>
            <w:r>
              <w:rPr>
                <w:rFonts w:eastAsia="Cambria" w:ascii="Palatino Linotype" w:hAnsi="Palatino Linotype"/>
                <w:b/>
                <w:bCs/>
                <w:kern w:val="0"/>
                <w:sz w:val="18"/>
                <w:szCs w:val="18"/>
                <w:vertAlign w:val="subscript"/>
                <w:lang w:val="ru-RU" w:bidi="ar-SA"/>
              </w:rPr>
              <w:t>3</w:t>
            </w:r>
          </w:p>
        </w:tc>
        <w:tc>
          <w:tcPr>
            <w:tcW w:w="1130" w:type="dxa"/>
            <w:tcBorders>
              <w:start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-0.022</w:t>
            </w:r>
          </w:p>
        </w:tc>
        <w:tc>
          <w:tcPr>
            <w:tcW w:w="1130" w:type="dxa"/>
            <w:tcBorders/>
          </w:tcPr>
          <w:p>
            <w:pPr>
              <w:pStyle w:val="Compact"/>
              <w:widowControl/>
              <w:suppressAutoHyphens w:val="true"/>
              <w:spacing w:before="36" w:after="36"/>
              <w:jc w:val="both"/>
              <w:rPr>
                <w:rFonts w:ascii="Palatino Linotype" w:hAnsi="Palatino Linotype" w:eastAsia="Cambria"/>
                <w:iCs/>
                <w:sz w:val="18"/>
                <w:szCs w:val="18"/>
              </w:rPr>
            </w:pPr>
            <w:r>
              <w:rPr>
                <w:rFonts w:eastAsia="Cambria" w:ascii="Palatino Linotype" w:hAnsi="Palatino Linotype"/>
                <w:iCs/>
                <w:kern w:val="0"/>
                <w:sz w:val="18"/>
                <w:szCs w:val="18"/>
                <w:lang w:val="ru-RU" w:bidi="ar-SA"/>
              </w:rPr>
              <w:t>0.210*</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0.052</w:t>
            </w:r>
          </w:p>
        </w:tc>
      </w:tr>
      <w:tr>
        <w:trPr/>
        <w:tc>
          <w:tcPr>
            <w:tcW w:w="1131" w:type="dxa"/>
            <w:tcBorders>
              <w:end w:val="single" w:sz="4" w:space="0" w:color="000000"/>
            </w:tcBorders>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P</w:t>
            </w:r>
            <w:r>
              <w:rPr>
                <w:rFonts w:eastAsia="Cambria" w:ascii="Palatino Linotype" w:hAnsi="Palatino Linotype"/>
                <w:b/>
                <w:bCs/>
                <w:kern w:val="0"/>
                <w:sz w:val="18"/>
                <w:szCs w:val="18"/>
                <w:vertAlign w:val="subscript"/>
                <w:lang w:val="ru-RU" w:bidi="ar-SA"/>
              </w:rPr>
              <w:t>2</w:t>
            </w:r>
            <w:r>
              <w:rPr>
                <w:rFonts w:eastAsia="Cambria" w:ascii="Palatino Linotype" w:hAnsi="Palatino Linotype"/>
                <w:b/>
                <w:bCs/>
                <w:kern w:val="0"/>
                <w:sz w:val="18"/>
                <w:szCs w:val="18"/>
                <w:lang w:val="ru-RU" w:bidi="ar-SA"/>
              </w:rPr>
              <w:t>O</w:t>
            </w:r>
            <w:r>
              <w:rPr>
                <w:rFonts w:eastAsia="Cambria" w:ascii="Palatino Linotype" w:hAnsi="Palatino Linotype"/>
                <w:b/>
                <w:bCs/>
                <w:kern w:val="0"/>
                <w:sz w:val="18"/>
                <w:szCs w:val="18"/>
                <w:vertAlign w:val="subscript"/>
                <w:lang w:val="ru-RU" w:bidi="ar-SA"/>
              </w:rPr>
              <w:t>5</w:t>
            </w:r>
          </w:p>
        </w:tc>
        <w:tc>
          <w:tcPr>
            <w:tcW w:w="1130" w:type="dxa"/>
            <w:tcBorders>
              <w:start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w:t>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0.055</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0.335*</w:t>
            </w:r>
          </w:p>
        </w:tc>
      </w:tr>
      <w:tr>
        <w:trPr/>
        <w:tc>
          <w:tcPr>
            <w:tcW w:w="1131" w:type="dxa"/>
            <w:tcBorders>
              <w:end w:val="single" w:sz="4" w:space="0" w:color="000000"/>
            </w:tcBorders>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K</w:t>
            </w:r>
            <w:r>
              <w:rPr>
                <w:rFonts w:eastAsia="Cambria" w:ascii="Palatino Linotype" w:hAnsi="Palatino Linotype"/>
                <w:b/>
                <w:bCs/>
                <w:kern w:val="0"/>
                <w:sz w:val="18"/>
                <w:szCs w:val="18"/>
                <w:vertAlign w:val="subscript"/>
                <w:lang w:val="ru-RU" w:bidi="ar-SA"/>
              </w:rPr>
              <w:t>2</w:t>
            </w:r>
            <w:r>
              <w:rPr>
                <w:rFonts w:eastAsia="Cambria" w:ascii="Palatino Linotype" w:hAnsi="Palatino Linotype"/>
                <w:b/>
                <w:bCs/>
                <w:kern w:val="0"/>
                <w:sz w:val="18"/>
                <w:szCs w:val="18"/>
                <w:lang w:val="ru-RU" w:bidi="ar-SA"/>
              </w:rPr>
              <w:t>O</w:t>
            </w:r>
          </w:p>
        </w:tc>
        <w:tc>
          <w:tcPr>
            <w:tcW w:w="1130" w:type="dxa"/>
            <w:tcBorders>
              <w:start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0"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w:t>
            </w:r>
          </w:p>
        </w:tc>
        <w:tc>
          <w:tcPr>
            <w:tcW w:w="1132"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0.087</w:t>
            </w:r>
          </w:p>
        </w:tc>
      </w:tr>
      <w:tr>
        <w:trPr/>
        <w:tc>
          <w:tcPr>
            <w:tcW w:w="1131" w:type="dxa"/>
            <w:tcBorders>
              <w:bottom w:val="single" w:sz="4" w:space="0" w:color="000000"/>
              <w:end w:val="single" w:sz="4" w:space="0" w:color="000000"/>
            </w:tcBorders>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S</w:t>
            </w:r>
          </w:p>
        </w:tc>
        <w:tc>
          <w:tcPr>
            <w:tcW w:w="1130" w:type="dxa"/>
            <w:tcBorders>
              <w:start w:val="single" w:sz="4" w:space="0" w:color="000000"/>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0"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0"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r>
          </w:p>
        </w:tc>
        <w:tc>
          <w:tcPr>
            <w:tcW w:w="1132"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w:t>
            </w:r>
          </w:p>
        </w:tc>
      </w:tr>
      <w:tr>
        <w:trPr/>
        <w:tc>
          <w:tcPr>
            <w:tcW w:w="7917" w:type="dxa"/>
            <w:gridSpan w:val="7"/>
            <w:tcBorders>
              <w:top w:val="single" w:sz="4" w:space="0" w:color="000000"/>
            </w:tcBorders>
          </w:tcPr>
          <w:p>
            <w:pPr>
              <w:pStyle w:val="Compact"/>
              <w:widowControl/>
              <w:suppressAutoHyphens w:val="true"/>
              <w:spacing w:before="36" w:after="36"/>
              <w:jc w:val="both"/>
              <w:rPr>
                <w:rFonts w:ascii="Palatino Linotype" w:hAnsi="Palatino Linotype" w:eastAsia="Cambria"/>
                <w:sz w:val="18"/>
                <w:szCs w:val="18"/>
                <w:lang w:val="en-US"/>
              </w:rPr>
            </w:pPr>
            <w:r>
              <w:rPr>
                <w:rFonts w:eastAsia="Cambria" w:ascii="Palatino Linotype" w:hAnsi="Palatino Linotype"/>
                <w:kern w:val="0"/>
                <w:sz w:val="18"/>
                <w:szCs w:val="18"/>
                <w:lang w:val="en-US" w:bidi="ar-SA"/>
              </w:rPr>
              <w:t>*</w:t>
            </w:r>
            <w:r>
              <w:rPr>
                <w:rFonts w:eastAsia="Cambria" w:ascii="Palatino Linotype" w:hAnsi="Palatino Linotype"/>
                <w:i/>
                <w:iCs/>
                <w:kern w:val="0"/>
                <w:sz w:val="18"/>
                <w:szCs w:val="18"/>
                <w:lang w:val="en-US" w:bidi="ar-SA"/>
              </w:rPr>
              <w:t>p</w:t>
            </w:r>
            <w:r>
              <w:rPr>
                <w:rFonts w:eastAsia="Cambria" w:ascii="Palatino Linotype" w:hAnsi="Palatino Linotype"/>
                <w:kern w:val="0"/>
                <w:sz w:val="18"/>
                <w:szCs w:val="18"/>
                <w:lang w:val="en-US" w:bidi="ar-SA"/>
              </w:rPr>
              <w:t xml:space="preserve"> &lt; 0.001 (BH-corrected; nominal p-values are uncorrected for </w:t>
            </w:r>
            <w:r>
              <w:rPr>
                <w:rFonts w:eastAsia="Cambria" w:ascii="Palatino Linotype" w:hAnsi="Palatino Linotype"/>
                <w:i/>
                <w:iCs/>
                <w:kern w:val="0"/>
                <w:sz w:val="18"/>
                <w:szCs w:val="18"/>
                <w:lang w:val="en-US" w:bidi="ar-SA"/>
              </w:rPr>
              <w:t>n</w:t>
            </w:r>
            <w:r>
              <w:rPr>
                <w:rFonts w:eastAsia="Cambria" w:ascii="Palatino Linotype" w:hAnsi="Palatino Linotype"/>
                <w:kern w:val="0"/>
                <w:sz w:val="18"/>
                <w:szCs w:val="18"/>
                <w:vertAlign w:val="subscript"/>
                <w:lang w:val="en-US" w:bidi="ar-SA"/>
              </w:rPr>
              <w:t>eff</w:t>
            </w:r>
            <w:r>
              <w:rPr>
                <w:rFonts w:eastAsia="Cambria" w:ascii="Palatino Linotype" w:hAnsi="Palatino Linotype"/>
                <w:kern w:val="0"/>
                <w:sz w:val="18"/>
                <w:szCs w:val="18"/>
                <w:lang w:val="en-US" w:bidi="ar-SA"/>
              </w:rPr>
              <w:t>).</w:t>
            </w:r>
            <w:bookmarkStart w:id="9" w:name="sec%25253Aintercorrelation_results"/>
            <w:bookmarkStart w:id="10" w:name="tab%25253Aintercorr"/>
            <w:bookmarkEnd w:id="9"/>
            <w:bookmarkEnd w:id="10"/>
          </w:p>
        </w:tc>
      </w:tr>
    </w:tbl>
    <w:p>
      <w:pPr>
        <w:pStyle w:val="MDPI31text"/>
        <w:rPr/>
      </w:pPr>
      <w:r>
        <w:rPr/>
        <w:t>The NO</w:t>
      </w:r>
      <w:r>
        <w:rPr>
          <w:vertAlign w:val="subscript"/>
        </w:rPr>
        <w:t>3</w:t>
      </w:r>
      <w:r>
        <w:rPr/>
      </w:r>
      <m:oMath xmlns:m="http://schemas.openxmlformats.org/officeDocument/2006/math">
        <m:r>
          <m:t xml:space="preserve">↔</m:t>
        </m:r>
      </m:oMath>
      <w:r>
        <w:rPr/>
        <w:t xml:space="preserve"> P</w:t>
      </w:r>
      <w:r>
        <w:rPr>
          <w:vertAlign w:val="subscript"/>
        </w:rPr>
        <w:t>2</w:t>
      </w:r>
      <w:r>
        <w:rPr/>
        <w:t>O</w:t>
      </w:r>
      <w:r>
        <w:rPr>
          <w:vertAlign w:val="subscript"/>
        </w:rPr>
        <w:t>5</w:t>
      </w:r>
      <w:r>
        <w:rPr/>
        <w:t xml:space="preserve"> (</w:t>
      </w:r>
      <w:r>
        <w:rPr>
          <w:i/>
          <w:iCs/>
          <w:lang w:val="ru-RU"/>
        </w:rPr>
        <w:t>ρ</w:t>
      </w:r>
      <w:r>
        <w:rPr/>
        <w:t>= -0.022), NO</w:t>
      </w:r>
      <w:r>
        <w:rPr>
          <w:vertAlign w:val="subscript"/>
        </w:rPr>
        <w:t xml:space="preserve">3 </w:t>
      </w:r>
      <w:r>
        <w:rPr/>
      </w:r>
      <m:oMath xmlns:m="http://schemas.openxmlformats.org/officeDocument/2006/math">
        <m:r>
          <m:t xml:space="preserve">↔</m:t>
        </m:r>
      </m:oMath>
      <w:r>
        <w:rPr/>
        <w:t>S (</w:t>
      </w:r>
      <w:r>
        <w:rPr>
          <w:i/>
          <w:iCs/>
          <w:lang w:val="ru-RU"/>
        </w:rPr>
        <w:t>ρ</w:t>
      </w:r>
      <w:r>
        <w:rPr/>
        <w:t>= 0.052), and P</w:t>
      </w:r>
      <w:r>
        <w:rPr>
          <w:vertAlign w:val="subscript"/>
        </w:rPr>
        <w:t>2</w:t>
      </w:r>
      <w:r>
        <w:rPr/>
        <w:t>O</w:t>
      </w:r>
      <w:r>
        <w:rPr>
          <w:vertAlign w:val="subscript"/>
        </w:rPr>
        <w:t xml:space="preserve">5 </w:t>
      </w:r>
      <w:r>
        <w:rPr/>
      </w:r>
      <m:oMath xmlns:m="http://schemas.openxmlformats.org/officeDocument/2006/math">
        <m:r>
          <m:t xml:space="preserve">↔</m:t>
        </m:r>
      </m:oMath>
      <w:r>
        <w:rPr/>
        <w:t xml:space="preserve"> K</w:t>
      </w:r>
      <w:r>
        <w:rPr>
          <w:vertAlign w:val="subscript"/>
        </w:rPr>
        <w:t>2</w:t>
      </w:r>
      <w:r>
        <w:rPr/>
        <w:t>O (</w:t>
      </w:r>
      <w:r>
        <w:rPr>
          <w:i/>
          <w:iCs/>
          <w:lang w:val="ru-RU"/>
        </w:rPr>
        <w:t>ρ</w:t>
      </w:r>
      <w:r>
        <w:rPr/>
        <w:t>= 0.055)  correlations were statistically insignificant after Benjamini</w:t>
      </w:r>
      <w:r>
        <w:rPr>
          <w:rFonts w:cs="Palatino Linotype"/>
        </w:rPr>
        <w:t>–</w:t>
      </w:r>
      <w:r>
        <w:rPr/>
        <w:t>Hochberg (BH) correction, which confirmed the different nature of the spatial distribution of these elements.</w:t>
      </w:r>
    </w:p>
    <w:p>
      <w:pPr>
        <w:pStyle w:val="MDPI31text"/>
        <w:rPr/>
      </w:pPr>
      <w:r>
        <w:rPr/>
        <w:t>The intercorrelation matrix is shown in Figure 4.</w:t>
      </w:r>
    </w:p>
    <w:p>
      <w:pPr>
        <w:pStyle w:val="Normal"/>
        <w:spacing w:lineRule="auto" w:line="240"/>
        <w:ind w:start="284"/>
        <w:jc w:val="start"/>
        <w:rPr>
          <w:rFonts w:ascii="Times New Roman" w:hAnsi="Times New Roman" w:eastAsia="Times New Roman"/>
          <w:color w:val="auto"/>
          <w:sz w:val="24"/>
          <w:szCs w:val="24"/>
          <w:lang w:val="ru-RU" w:eastAsia="ru-RU"/>
        </w:rPr>
      </w:pPr>
      <w:r>
        <w:rPr/>
        <w:drawing>
          <wp:inline distT="0" distB="0" distL="0" distR="0">
            <wp:extent cx="6735445" cy="5827395"/>
            <wp:effectExtent l="0" t="0" r="0" b="0"/>
            <wp:docPr id="4" name="Рисунок 61077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10778951"/>
                    <pic:cNvPicPr>
                      <a:picLocks noChangeAspect="1" noChangeArrowheads="1"/>
                    </pic:cNvPicPr>
                  </pic:nvPicPr>
                  <pic:blipFill>
                    <a:blip r:embed="rId7"/>
                    <a:stretch>
                      <a:fillRect/>
                    </a:stretch>
                  </pic:blipFill>
                  <pic:spPr bwMode="auto">
                    <a:xfrm>
                      <a:off x="0" y="0"/>
                      <a:ext cx="6735445" cy="5827395"/>
                    </a:xfrm>
                    <a:prstGeom prst="rect">
                      <a:avLst/>
                    </a:prstGeom>
                    <a:noFill/>
                  </pic:spPr>
                </pic:pic>
              </a:graphicData>
            </a:graphic>
          </wp:inline>
        </w:drawing>
      </w:r>
    </w:p>
    <w:p>
      <w:pPr>
        <w:pStyle w:val="MDPI51figurecaption"/>
        <w:rPr>
          <w:i/>
          <w:szCs w:val="18"/>
        </w:rPr>
      </w:pPr>
      <w:r>
        <w:rPr>
          <w:b/>
          <w:szCs w:val="18"/>
        </w:rPr>
        <w:t xml:space="preserve">Figure 4. </w:t>
      </w:r>
      <w:r>
        <w:rPr>
          <w:iCs/>
          <w:szCs w:val="18"/>
        </w:rPr>
        <w:t>Intercorrelation heatmap (Spearman's) among six agrochemical properties. Significant correlations (</w:t>
      </w:r>
      <w:r>
        <w:rPr>
          <w:i/>
          <w:szCs w:val="18"/>
        </w:rPr>
        <w:t>p</w:t>
      </w:r>
      <w:r>
        <w:rPr>
          <w:iCs/>
          <w:szCs w:val="18"/>
        </w:rPr>
        <w:t xml:space="preserve"> &lt; 0.001) are indicated with asterisks.</w:t>
      </w:r>
    </w:p>
    <w:p>
      <w:pPr>
        <w:pStyle w:val="MDPI31text"/>
      </w:pPr>
      <w:r>
        <w:rPr>
          <w:highlight w:val="green"/>
        </w:rPr>
        <w:t>To separate genuine inter-property links from shared-driver artefacts, partial Spearman correlations controlling for pH were computed (pH being the most strongly inter-correlated property). The SOC–P2O5 association collapses from +0.14 to +0.03 once pH is partialled out (≈82% pH-mediated), and P2O5–S and SOC–S weaken by ~40%, indicating that much of the inter-nutrient covariance is induced by the common carbonate/pH gradient (in calcareous high-pH soils both P and S are retained/fixed). Conversely, the fertiliser co-application links (NO3–P2O5, P2O5–K2O, K2O–S, NO3–S) and the SOC–NO3 (mineralisation) and SOC–K2O (CEC) links strengthen after removing pH — i.e. pH masks them. pH thus acts as a hub that both creates indirect correlations and suppresses real ones; because pH is also the most remotely-sensable property, any feature tracking the pH/carbonate gradient will indirectly co-vary with P2O5, S and NO3, which is the pedological basis for the confounding examined in Sections 3.3.1 and 3.8.</w:t>
      </w:r>
    </w:p>
    <w:p>
      <w:pPr>
        <w:pStyle w:val="MDPI22heading2"/>
        <w:spacing w:before="240" w:after="60"/>
        <w:rPr/>
      </w:pPr>
      <w:r>
        <w:rPr>
          <w:highlight w:val="green"/>
        </w:rPr>
        <w:t>3.3. Spectral screening: which indices carry the most information</w:t>
      </w:r>
    </w:p>
    <w:p>
      <w:pPr>
        <w:pStyle w:val="MDPI31text"/>
        <w:rPr/>
      </w:pPr>
      <w:r>
        <w:rPr/>
        <w:t>For more than &gt;3200 tested pairs, statistically significant correlations (</w:t>
      </w:r>
      <w:r>
        <w:rPr>
          <w:i/>
          <w:iCs/>
        </w:rPr>
        <w:t>p</w:t>
      </w:r>
      <w:r>
        <w:rPr>
          <w:i/>
          <w:iCs/>
          <w:vertAlign w:val="subscript"/>
        </w:rPr>
        <w:t>adj</w:t>
      </w:r>
      <w:r>
        <w:rPr/>
        <w:t>&lt;0.05) were found for the vast majority of features. Table 7 presents the 5 strongest correlations for each property.</w:t>
      </w:r>
    </w:p>
    <w:p>
      <w:pPr>
        <w:pStyle w:val="MDPI31text"/>
        <w:rPr/>
      </w:pPr>
      <w:r>
        <w:rPr>
          <w:highlight w:val="green"/>
        </w:rPr>
        <w:t>The leakage-controlled predictability hierarchy (Table 7; per-feature detail in Table S1, Figure 5) was: pH (0.670, GNDVI_L8 spring) ≫ K2O (0.478, BSI_S2 spring) ≈ P2O5 (0.476, growing-season temperature) &gt; NO3 (0.431, SAVI_S2 spring) &gt; SOC (0.368, slope) &gt; S (0.309, spring blue band). Under the unrestricted full pool P2O5 and S reach higher values (0.525 via autumn GLCM texture and 0.383 via late-summer SAVI), but these rest on cross-season features misaligned with the spring-dominant sampling and do not survive out-of-farm validation (Section 3.3.3); the leakage-controlled values are therefore used as the headline.</w:t>
      </w:r>
    </w:p>
    <w:p>
      <w:pPr>
        <w:pStyle w:val="MDPI31text"/>
        <w:spacing w:before="240" w:after="120"/>
        <w:ind w:hanging="0" w:start="2608"/>
        <w:rPr>
          <w:b/>
          <w:sz w:val="18"/>
          <w:szCs w:val="18"/>
        </w:rPr>
      </w:pPr>
      <w:r>
        <w:rPr>
          <w:b/>
          <w:sz w:val="18"/>
          <w:szCs w:val="18"/>
        </w:rPr>
      </w:r>
    </w:p>
    <w:p>
      <w:pPr>
        <w:pStyle w:val="MDPI31text"/>
        <w:spacing w:before="240" w:after="120"/>
        <w:ind w:hanging="0" w:start="2608"/>
        <w:rPr>
          <w:iCs/>
          <w:sz w:val="18"/>
          <w:szCs w:val="18"/>
        </w:rPr>
      </w:pPr>
      <w:r>
        <w:rPr>
          <w:highlight w:val="green"/>
        </w:rPr>
        <w:t>Table S1. Strongest single correlations (Spearman ρ, up to 5 per property) — detailed screening output. Superseded for interpretation by the empirical classification in Table 7 (Section 3.3.3).</w:t>
      </w:r>
    </w:p>
    <w:tbl>
      <w:tblPr>
        <w:tblStyle w:val="Table"/>
        <w:tblW w:w="7920" w:type="dxa"/>
        <w:jc w:val="start"/>
        <w:tblInd w:w="2442" w:type="dxa"/>
        <w:tblLayout w:type="fixed"/>
        <w:tblCellMar>
          <w:top w:w="0" w:type="dxa"/>
          <w:start w:w="108" w:type="dxa"/>
          <w:bottom w:w="0" w:type="dxa"/>
          <w:end w:w="108" w:type="dxa"/>
        </w:tblCellMar>
        <w:tblLook w:firstRow="1" w:noVBand="0" w:lastRow="0" w:firstColumn="0" w:lastColumn="0" w:noHBand="0" w:val="0020"/>
      </w:tblPr>
      <w:tblGrid>
        <w:gridCol w:w="1584"/>
        <w:gridCol w:w="1584"/>
        <w:gridCol w:w="1584"/>
        <w:gridCol w:w="1584"/>
        <w:gridCol w:w="1584"/>
      </w:tblGrid>
      <w:tr>
        <w:trPr>
          <w:tblHeader w:val="true"/>
          <w:cnfStyle w:val="100000000000" w:firstRow="1" w:lastRow="0" w:firstColumn="0" w:lastColumn="0" w:oddVBand="0" w:evenVBand="0" w:oddHBand="0" w:evenHBand="0" w:firstRowFirstColumn="0" w:firstRowLastColumn="0" w:lastRowFirstColumn="0" w:lastRowLastColumn="0"/>
        </w:trPr>
        <w:tc>
          <w:tcPr>
            <w:tcW w:w="1584"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kern w:val="0"/>
                <w:sz w:val="18"/>
                <w:szCs w:val="18"/>
                <w:lang w:val="ru-RU" w:bidi="ar-SA"/>
              </w:rPr>
            </w:pPr>
            <w:r>
              <w:rPr>
                <w:rFonts w:eastAsia="Cambria" w:ascii="Palatino Linotype" w:hAnsi="Palatino Linotype"/>
                <w:b/>
                <w:bCs/>
                <w:kern w:val="0"/>
                <w:sz w:val="18"/>
                <w:szCs w:val="18"/>
                <w:lang w:val="en-US" w:bidi="ar-SA"/>
              </w:rPr>
              <w:t>Pr</w:t>
            </w:r>
            <w:r>
              <w:rPr>
                <w:rFonts w:eastAsia="Cambria" w:ascii="Palatino Linotype" w:hAnsi="Palatino Linotype"/>
                <w:b/>
                <w:bCs/>
                <w:kern w:val="0"/>
                <w:sz w:val="18"/>
                <w:szCs w:val="18"/>
                <w:lang w:val="ru-RU" w:bidi="ar-SA"/>
              </w:rPr>
              <w:t>operty</w:t>
            </w:r>
          </w:p>
        </w:tc>
        <w:tc>
          <w:tcPr>
            <w:tcW w:w="1584"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kern w:val="0"/>
                <w:sz w:val="18"/>
                <w:szCs w:val="18"/>
                <w:lang w:val="ru-RU" w:bidi="ar-SA"/>
              </w:rPr>
            </w:pPr>
            <w:r>
              <w:rPr>
                <w:rFonts w:eastAsia="Cambria" w:ascii="Palatino Linotype" w:hAnsi="Palatino Linotype"/>
                <w:b/>
                <w:bCs/>
                <w:kern w:val="0"/>
                <w:sz w:val="18"/>
                <w:szCs w:val="18"/>
                <w:lang w:val="ru-RU" w:bidi="ar-SA"/>
              </w:rPr>
              <w:t xml:space="preserve">RS features </w:t>
            </w:r>
            <w:r>
              <w:rPr>
                <w:rFonts w:ascii="Palatino Linotype" w:hAnsi="Palatino Linotype"/>
                <w:kern w:val="0"/>
                <w:sz w:val="18"/>
                <w:szCs w:val="18"/>
                <w:lang w:val="ru-RU" w:bidi="ar-SA"/>
              </w:rPr>
            </w:r>
            <m:oMath xmlns:m="http://schemas.openxmlformats.org/officeDocument/2006/math">
              <m:r>
                <m:t xml:space="preserve">†</m:t>
              </m:r>
            </m:oMath>
          </w:p>
        </w:tc>
        <w:tc>
          <w:tcPr>
            <w:tcW w:w="1584"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kern w:val="0"/>
                <w:sz w:val="18"/>
                <w:szCs w:val="18"/>
                <w:lang w:val="ru-RU" w:bidi="ar-SA"/>
              </w:rPr>
            </w:pPr>
            <w:r>
              <w:rPr>
                <w:rFonts w:ascii="Palatino Linotype" w:hAnsi="Palatino Linotype"/>
                <w:b/>
                <w:bCs/>
                <w:i/>
                <w:iCs/>
                <w:kern w:val="0"/>
                <w:sz w:val="18"/>
                <w:szCs w:val="18"/>
                <w:lang w:val="ru-RU" w:bidi="ar-SA"/>
              </w:rPr>
              <w:t>ρ</w:t>
            </w:r>
          </w:p>
        </w:tc>
        <w:tc>
          <w:tcPr>
            <w:tcW w:w="1584"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kern w:val="0"/>
                <w:sz w:val="18"/>
                <w:szCs w:val="18"/>
                <w:lang w:val="ru-RU" w:bidi="ar-SA"/>
              </w:rPr>
            </w:pPr>
            <w:r>
              <w:rPr>
                <w:rFonts w:ascii="Palatino Linotype" w:hAnsi="Palatino Linotype"/>
                <w:b/>
                <w:bCs/>
                <w:i/>
                <w:iCs/>
                <w:kern w:val="0"/>
                <w:sz w:val="18"/>
                <w:szCs w:val="18"/>
                <w:lang w:val="ru-RU" w:bidi="ar-SA"/>
              </w:rPr>
              <w:t>p</w:t>
            </w:r>
            <w:r>
              <w:rPr>
                <w:rFonts w:ascii="Palatino Linotype" w:hAnsi="Palatino Linotype"/>
                <w:b/>
                <w:bCs/>
                <w:i/>
                <w:iCs/>
                <w:kern w:val="0"/>
                <w:sz w:val="18"/>
                <w:szCs w:val="18"/>
                <w:vertAlign w:val="subscript"/>
                <w:lang w:val="ru-RU" w:bidi="ar-SA"/>
              </w:rPr>
              <w:t>adj</w:t>
            </w:r>
          </w:p>
        </w:tc>
        <w:tc>
          <w:tcPr>
            <w:tcW w:w="1584"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kern w:val="0"/>
                <w:sz w:val="18"/>
                <w:szCs w:val="18"/>
                <w:lang w:val="ru-RU" w:bidi="ar-SA"/>
              </w:rPr>
            </w:pPr>
            <w:r>
              <w:rPr>
                <w:rFonts w:eastAsia="Cambria" w:ascii="Palatino Linotype" w:hAnsi="Palatino Linotype"/>
                <w:b/>
                <w:bCs/>
                <w:kern w:val="0"/>
                <w:sz w:val="18"/>
                <w:szCs w:val="18"/>
                <w:lang w:val="ru-RU" w:bidi="ar-SA"/>
              </w:rPr>
              <w:t>Group</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pH</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GNDVI_L8,spring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0.670</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&lt;10⁻¹⁴²</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pH</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NDVI_L8,spring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0.661</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&lt;10⁻¹³⁵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pH</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MAP</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0.659</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&lt;10⁻¹³⁶</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Climatic</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pH</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Slope</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0.609</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&lt;10⁻¹¹¹</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Topographical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pH</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B3_Green,S2,summer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0.600</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&lt;10⁻¹⁰⁵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P2O5</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GLCM ENT_Red,autumn</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0.525</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&lt;10⁻⁸⁰</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Texture</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P2O5</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GLCM ASM_Red,autumn</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0.513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&lt;10⁻⁷⁵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Texture</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P2O5</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GLCM ENT_NIR,autumn</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0.512</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&lt;10⁻⁷⁵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Texture</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P2O5</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GLCM ASM_NIR,autumn</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0.506</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&lt;10⁻⁷⁰</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Texture</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P2O5</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GLCM ENT_Red,summer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0.506</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&lt;10⁻⁷⁰</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Texture</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K2O</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BSI_S2,spring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0.478</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&lt;10⁻⁶³</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K2O</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B4_Red,S2,spring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0.420</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&lt;10⁻⁴⁸</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K2O</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GNDVI_S2,spring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0.417</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&lt;10⁻⁴⁶</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K2O</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Aspect (sin)</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0.412</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Topographical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K2O</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B12_SWIR2,S2,spring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0.410</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NO3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SAVI_S2,spring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0.431</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&lt;10⁻⁵⁰</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NO3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SAVI_L8,spring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0.419</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NO3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GNDVI_L8,spring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0.417</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NO3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B5_NIR,L8,spring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0.415</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&lt;10⁻⁴⁵</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NO3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EVI_S2,spring</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0.406</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&lt;10⁻⁴²</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SAVI_L8,late-summer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0.383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&lt;10⁻³⁸</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GNDVI_L8,late-summer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0.361</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&lt;10⁻³⁴</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GLCM Contrast_NIR,summer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0.354</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&lt;10⁻³²</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Texture</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NDVI_L8,late-summer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0.348</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&lt;10⁻³⁰</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B3_Green,S2,summer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0.340</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&lt;10⁻²⁸</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SOC</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Slope</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0.368</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&lt;10⁻³²</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Topographical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SOC</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PCA5_S2,summer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0.362</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&lt;10⁻³⁰</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SOC</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Aspect (cos)</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0.339</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&lt;10⁻²⁶</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Topographical</w:t>
            </w:r>
          </w:p>
        </w:tc>
      </w:tr>
      <w:tr>
        <w:trPr/>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SOC</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B4_Red,S2,summer</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0.313</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&lt;10⁻²²</w:t>
            </w:r>
          </w:p>
        </w:tc>
        <w:tc>
          <w:tcPr>
            <w:tcW w:w="1584" w:type="dxa"/>
            <w:tcBorders/>
          </w:tcPr>
          <w:p>
            <w:pPr>
              <w:pStyle w:val="Normal"/>
              <w:widowControl/>
              <w:spacing w:before="0" w:after="0"/>
              <w:rPr>
                <w:rFonts w:ascii="Palatino Linotype" w:hAnsi="Palatino Linotype" w:eastAsia="Calibri" w:cs=""/>
                <w:kern w:val="0"/>
                <w:sz w:val="18"/>
                <w:szCs w:val="18"/>
                <w:lang w:val="ru-RU" w:eastAsia="en-US" w:bidi="ar-SA"/>
              </w:rPr>
            </w:pPr>
            <w:r>
              <w:rPr>
                <w:rFonts w:eastAsia="Calibri" w:cs="" w:ascii="Palatino Linotype" w:hAnsi="Palatino Linotype"/>
                <w:kern w:val="0"/>
                <w:sz w:val="18"/>
                <w:szCs w:val="18"/>
                <w:highlight w:val="green"/>
                <w:lang w:val="ru-RU" w:eastAsia="en-US" w:bidi="ar-SA"/>
              </w:rPr>
              <w:t>Spectral</w:t>
            </w:r>
          </w:p>
        </w:tc>
      </w:tr>
    </w:tbl>
    <w:p>
      <w:pPr>
        <w:pStyle w:val="MDPI43tablefooter"/>
        <w:rPr/>
      </w:pPr>
      <w:r>
        <w:rPr>
          <w:vertAlign w:val="superscript"/>
        </w:rPr>
        <w:t>†</w:t>
      </w:r>
      <w:r>
        <w:rPr/>
        <w:t xml:space="preserve"> </w:t>
      </w:r>
      <w:r>
        <w:rPr/>
        <w:t xml:space="preserve">From the interpretable feature set (spectral indices, climate, topography, GLCM, SoilGrids). Full screening of 512 features is shown in section 3.3.1. </w:t>
      </w:r>
      <w:r>
        <w:rPr>
          <w:i/>
          <w:iCs/>
          <w:szCs w:val="18"/>
        </w:rPr>
        <w:t>p</w:t>
      </w:r>
      <w:r>
        <w:rPr>
          <w:szCs w:val="18"/>
          <w:vertAlign w:val="subscript"/>
        </w:rPr>
        <w:t>adj</w:t>
      </w:r>
      <w:r>
        <w:rPr/>
        <w:t xml:space="preserve"> values are uncorrected for spatial autocorrelation (</w:t>
      </w:r>
      <w:r>
        <w:rPr>
          <w:i/>
          <w:iCs/>
          <w:szCs w:val="18"/>
        </w:rPr>
        <w:t>n</w:t>
      </w:r>
      <w:r>
        <w:rPr>
          <w:i/>
          <w:iCs/>
          <w:szCs w:val="18"/>
          <w:vertAlign w:val="subscript"/>
        </w:rPr>
        <w:t>eff</w:t>
      </w:r>
      <w:r>
        <w:rPr>
          <w:szCs w:val="18"/>
        </w:rPr>
        <w:t xml:space="preserve"> </w:t>
      </w:r>
      <w:r>
        <w:rPr>
          <w:rFonts w:cs="Cambria Math" w:ascii="Cambria Math" w:hAnsi="Cambria Math"/>
          <w:szCs w:val="18"/>
        </w:rPr>
        <w:t xml:space="preserve">≪ </w:t>
      </w:r>
      <w:r>
        <w:rPr>
          <w:i/>
          <w:iCs/>
          <w:szCs w:val="18"/>
        </w:rPr>
        <w:t>n</w:t>
      </w:r>
      <w:r>
        <w:rPr/>
        <w:t xml:space="preserve">, see Table 10) and represent upper bounds of significance. For </w:t>
      </w:r>
      <w:r>
        <w:rPr>
          <w:rFonts w:hint="eastAsia"/>
          <w:szCs w:val="18"/>
        </w:rPr>
        <w:t>NO</w:t>
      </w:r>
      <w:r>
        <w:rPr>
          <w:szCs w:val="18"/>
          <w:vertAlign w:val="subscript"/>
        </w:rPr>
        <w:t>3</w:t>
      </w:r>
      <w:r>
        <w:rPr>
          <w:rFonts w:eastAsia="Cambria Math" w:cs="Cambria Math" w:ascii="Cambria Math" w:hAnsi="Cambria Math"/>
          <w:szCs w:val="18"/>
        </w:rPr>
        <w:t xml:space="preserve"> </w:t>
      </w:r>
      <w:r>
        <w:rPr>
          <w:rFonts w:cs="Palatino Linotype"/>
          <w:szCs w:val="18"/>
        </w:rPr>
        <w:t>and</w:t>
      </w:r>
      <w:r>
        <w:rPr>
          <w:rFonts w:hint="eastAsia"/>
          <w:szCs w:val="18"/>
        </w:rPr>
        <w:t xml:space="preserve"> S</w:t>
      </w:r>
      <w:r>
        <w:rPr/>
        <w:t xml:space="preserve">, all features that achieved </w:t>
      </w:r>
      <w:r>
        <w:rPr>
          <w:rFonts w:hint="eastAsia"/>
          <w:szCs w:val="18"/>
        </w:rPr>
        <w:t>|</w:t>
      </w:r>
      <w:r>
        <w:rPr>
          <w:rFonts w:cs="Palatino Linotype"/>
          <w:szCs w:val="18"/>
        </w:rPr>
        <w:t>ρ</w:t>
      </w:r>
      <w:r>
        <w:rPr>
          <w:rFonts w:hint="eastAsia"/>
          <w:szCs w:val="18"/>
        </w:rPr>
        <w:t>|&gt; 0.25</w:t>
      </w:r>
      <w:r>
        <w:rPr>
          <w:szCs w:val="18"/>
        </w:rPr>
        <w:t xml:space="preserve"> </w:t>
      </w:r>
      <w:r>
        <w:rPr/>
        <w:t>are listed.</w:t>
      </w:r>
    </w:p>
    <w:p>
      <w:pPr>
        <w:pStyle w:val="Normal"/>
        <w:spacing w:lineRule="auto" w:line="240" w:beforeAutospacing="1" w:afterAutospacing="1"/>
        <w:jc w:val="start"/>
        <w:rPr>
          <w:rFonts w:ascii="Times New Roman" w:hAnsi="Times New Roman" w:eastAsia="Times New Roman"/>
          <w:color w:val="auto"/>
          <w:sz w:val="24"/>
          <w:szCs w:val="24"/>
          <w:lang w:eastAsia="ru-RU"/>
        </w:rPr>
      </w:pPr>
      <w:r>
        <w:rPr>
          <w:rFonts w:eastAsia="Times New Roman" w:ascii="Times New Roman" w:hAnsi="Times New Roman"/>
          <w:color w:val="auto"/>
          <w:sz w:val="24"/>
          <w:szCs w:val="24"/>
          <w:lang w:eastAsia="ru-RU"/>
        </w:rPr>
      </w:r>
    </w:p>
    <w:p>
      <w:pPr>
        <w:pStyle w:val="Normal"/>
        <w:spacing w:lineRule="auto" w:line="240"/>
        <w:jc w:val="start"/>
        <w:rPr>
          <w:rFonts w:ascii="Times New Roman" w:hAnsi="Times New Roman" w:eastAsia="Times New Roman"/>
          <w:color w:val="auto"/>
          <w:sz w:val="24"/>
          <w:szCs w:val="24"/>
          <w:lang w:eastAsia="ru-RU"/>
        </w:rPr>
      </w:pPr>
      <w:r>
        <w:rPr/>
        <w:drawing>
          <wp:inline distT="0" distB="0" distL="0" distR="0">
            <wp:extent cx="6731635" cy="5391150"/>
            <wp:effectExtent l="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pic:cNvPicPr>
                      <a:picLocks noChangeAspect="1" noChangeArrowheads="1"/>
                    </pic:cNvPicPr>
                  </pic:nvPicPr>
                  <pic:blipFill>
                    <a:blip r:embed="rId8"/>
                    <a:stretch>
                      <a:fillRect/>
                    </a:stretch>
                  </pic:blipFill>
                  <pic:spPr bwMode="auto">
                    <a:xfrm>
                      <a:off x="0" y="0"/>
                      <a:ext cx="6731635" cy="5391150"/>
                    </a:xfrm>
                    <a:prstGeom prst="rect">
                      <a:avLst/>
                    </a:prstGeom>
                    <a:noFill/>
                  </pic:spPr>
                </pic:pic>
              </a:graphicData>
            </a:graphic>
          </wp:inline>
        </w:drawing>
      </w:r>
    </w:p>
    <w:p>
      <w:pPr>
        <w:pStyle w:val="MDPI51figurecaption"/>
        <w:spacing w:before="0" w:after="240"/>
        <w:rPr>
          <w:b/>
          <w:szCs w:val="18"/>
        </w:rPr>
      </w:pPr>
      <w:r>
        <w:rPr>
          <w:b/>
          <w:szCs w:val="18"/>
        </w:rPr>
        <w:t xml:space="preserve">Figure 5. </w:t>
      </w:r>
      <w:r>
        <w:rPr>
          <w:bCs/>
          <w:szCs w:val="18"/>
        </w:rPr>
        <w:t xml:space="preserve">Strongest correlations (Spearman </w:t>
      </w:r>
      <w:r>
        <w:rPr/>
        <w:t>|</w:t>
      </w:r>
      <w:r>
        <w:rPr>
          <w:i/>
          <w:iCs/>
          <w:lang w:val="ru-RU"/>
        </w:rPr>
        <w:t>ρ</w:t>
      </w:r>
      <w:r>
        <w:rPr/>
        <w:t>|</w:t>
      </w:r>
      <w:r>
        <w:rPr>
          <w:bCs/>
          <w:szCs w:val="18"/>
        </w:rPr>
        <w:t>) for each property (top 5). Colors indicate feature groups: spectral (blue), climatic (orange), topographic (green), temporal (purple), and textural (pink).</w:t>
      </w:r>
    </w:p>
    <w:p>
      <w:pPr>
        <w:pStyle w:val="MDPI23heading3"/>
        <w:rPr/>
      </w:pPr>
      <w:r>
        <w:rPr/>
        <w:t>3.3.1. Partial correlations: controlling for spatial covariates</w:t>
      </w:r>
    </w:p>
    <w:p>
      <w:pPr>
        <w:pStyle w:val="MDPI31text"/>
        <w:rPr/>
      </w:pPr>
      <w:r>
        <w:rPr/>
        <w:t xml:space="preserve">To test the hypothesis that the correlations between pH and RS features were an artifact of a common spatial trend (latitudinal gradient of MAP and temperature), partial correlations </w:t>
      </w:r>
      <w:r>
        <w:rPr>
          <w:i/>
          <w:iCs/>
          <w:szCs w:val="20"/>
          <w:lang w:val="ru-RU"/>
        </w:rPr>
        <w:t>ρ</w:t>
      </w:r>
      <w:r>
        <w:rPr>
          <w:szCs w:val="20"/>
          <w:vertAlign w:val="subscript"/>
        </w:rPr>
        <w:t>partial|MAP, lat</w:t>
      </w:r>
      <w:r>
        <w:rPr/>
        <w:t xml:space="preserve"> were calculated (Table 8).</w:t>
      </w:r>
    </w:p>
    <w:p>
      <w:pPr>
        <w:pStyle w:val="MDPI31text"/>
        <w:rPr/>
      </w:pPr>
      <w:r>
        <w:rPr/>
        <w:t>The correlation of pH with GNDVI</w:t>
      </w:r>
      <w:r>
        <w:rPr>
          <w:vertAlign w:val="subscript"/>
        </w:rPr>
        <w:t>L8</w:t>
      </w:r>
      <w:r>
        <w:rPr/>
        <w:t xml:space="preserve"> decreased by 18% (from -0.670 to -0.552) while remaining highly significant, indicating that it is not a spatial artifact. Conversely, BSI</w:t>
      </w:r>
      <w:r>
        <w:rPr>
          <w:vertAlign w:val="subscript"/>
        </w:rPr>
        <w:t>S2</w:t>
      </w:r>
      <w:r>
        <w:rPr/>
        <w:t xml:space="preserve"> was practically reduced to zero (from -0.463 to -0.076). This index reflects the soil brightness gradient, which coincides with climatic zonality. For EVI</w:t>
      </w:r>
      <w:r>
        <w:rPr>
          <w:vertAlign w:val="subscript"/>
        </w:rPr>
        <w:t>S2, summer</w:t>
      </w:r>
      <w:r>
        <w:rPr/>
        <w:t xml:space="preserve">, the partial correlation unexpectedly strengthened (from -0.291 to -0.417), which cannot be satisfactorily explained. A suppression effect could have taken place (the latitudinal gradient masks the relationship between pH and vegetation), but a mathematical artifact cannot be ruled out either </w:t>
      </w:r>
      <w:r>
        <w:rPr>
          <w:highlight w:val="yellow"/>
        </w:rPr>
        <w:t>[30</w:t>
      </w:r>
      <w:r>
        <w:rPr/>
        <w:t>]. This result requires further verification.</w:t>
      </w:r>
    </w:p>
    <w:p>
      <w:pPr>
        <w:pStyle w:val="MDPI31text"/>
        <w:rPr/>
      </w:pPr>
      <w:r>
        <w:rPr/>
      </w:r>
    </w:p>
    <w:p>
      <w:pPr>
        <w:pStyle w:val="MDPI31text"/>
        <w:rPr/>
      </w:pPr>
      <w:r>
        <w:rPr/>
      </w:r>
    </w:p>
    <w:p>
      <w:pPr>
        <w:pStyle w:val="MDPI31text"/>
        <w:rPr/>
      </w:pPr>
      <w:r>
        <w:rPr/>
      </w:r>
    </w:p>
    <w:p>
      <w:pPr>
        <w:pStyle w:val="MDPI31text"/>
        <w:spacing w:before="240" w:after="120"/>
        <w:ind w:hanging="0" w:start="2608"/>
        <w:rPr>
          <w:iCs/>
          <w:sz w:val="18"/>
          <w:szCs w:val="18"/>
        </w:rPr>
      </w:pPr>
      <w:r>
        <w:rPr>
          <w:b/>
          <w:sz w:val="18"/>
          <w:szCs w:val="18"/>
        </w:rPr>
        <w:t xml:space="preserve">Table 8. </w:t>
      </w:r>
      <w:r>
        <w:rPr>
          <w:iCs/>
          <w:sz w:val="18"/>
          <w:szCs w:val="18"/>
        </w:rPr>
        <w:t>Partial rank correlations of pH with leading features (controlling for MAP and latitude).</w:t>
      </w:r>
    </w:p>
    <w:tbl>
      <w:tblPr>
        <w:tblStyle w:val="Table"/>
        <w:tblW w:w="7920" w:type="dxa"/>
        <w:jc w:val="start"/>
        <w:tblInd w:w="2551" w:type="dxa"/>
        <w:tblLayout w:type="fixed"/>
        <w:tblCellMar>
          <w:top w:w="0" w:type="dxa"/>
          <w:start w:w="108" w:type="dxa"/>
          <w:bottom w:w="0" w:type="dxa"/>
          <w:end w:w="108" w:type="dxa"/>
        </w:tblCellMar>
        <w:tblLook w:firstRow="1" w:noVBand="0" w:lastRow="0" w:firstColumn="0" w:lastColumn="0" w:noHBand="0" w:val="0020"/>
      </w:tblPr>
      <w:tblGrid>
        <w:gridCol w:w="1584"/>
        <w:gridCol w:w="1584"/>
        <w:gridCol w:w="1584"/>
        <w:gridCol w:w="1584"/>
        <w:gridCol w:w="1584"/>
      </w:tblGrid>
      <w:tr>
        <w:trPr>
          <w:tblHeader w:val="true"/>
          <w:cnfStyle w:val="100000000000" w:firstRow="1" w:lastRow="0" w:firstColumn="0" w:lastColumn="0" w:oddVBand="0" w:evenVBand="0" w:oddHBand="0" w:evenHBand="0" w:firstRowFirstColumn="0" w:firstRowLastColumn="0" w:lastRowFirstColumn="0" w:lastRowLastColumn="0"/>
        </w:trPr>
        <w:tc>
          <w:tcPr>
            <w:tcW w:w="1584"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lang w:val="en-US"/>
              </w:rPr>
            </w:pPr>
            <w:r>
              <w:rPr>
                <w:rFonts w:eastAsia="Cambria" w:ascii="Palatino Linotype" w:hAnsi="Palatino Linotype"/>
                <w:b/>
                <w:bCs/>
                <w:kern w:val="0"/>
                <w:sz w:val="18"/>
                <w:szCs w:val="18"/>
                <w:lang w:val="en-US" w:bidi="ar-SA"/>
              </w:rPr>
              <w:t>Feature</w:t>
            </w:r>
          </w:p>
        </w:tc>
        <w:tc>
          <w:tcPr>
            <w:tcW w:w="1584"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i/>
                <w:iCs/>
                <w:kern w:val="0"/>
                <w:sz w:val="18"/>
                <w:szCs w:val="18"/>
                <w:lang w:val="ru-RU" w:bidi="ar-SA"/>
              </w:rPr>
              <w:t>ρ</w:t>
            </w:r>
            <w:r>
              <w:rPr>
                <w:rFonts w:eastAsia="Cambria" w:ascii="Palatino Linotype" w:hAnsi="Palatino Linotype"/>
                <w:b/>
                <w:bCs/>
                <w:kern w:val="0"/>
                <w:sz w:val="18"/>
                <w:szCs w:val="18"/>
                <w:vertAlign w:val="subscript"/>
                <w:lang w:val="ru-RU" w:bidi="ar-SA"/>
              </w:rPr>
              <w:t>0</w:t>
            </w:r>
          </w:p>
        </w:tc>
        <w:tc>
          <w:tcPr>
            <w:tcW w:w="1584"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ascii="Palatino Linotype" w:hAnsi="Palatino Linotype"/>
                <w:b/>
                <w:bCs/>
                <w:i/>
                <w:iCs/>
                <w:kern w:val="0"/>
                <w:sz w:val="18"/>
                <w:szCs w:val="18"/>
                <w:lang w:val="ru-RU" w:bidi="ar-SA"/>
              </w:rPr>
              <w:t>ρ</w:t>
            </w:r>
            <w:r>
              <w:rPr>
                <w:rFonts w:ascii="Palatino Linotype" w:hAnsi="Palatino Linotype"/>
                <w:b/>
                <w:bCs/>
                <w:kern w:val="0"/>
                <w:sz w:val="18"/>
                <w:szCs w:val="18"/>
                <w:vertAlign w:val="subscript"/>
                <w:lang w:val="ru-RU" w:bidi="ar-SA"/>
              </w:rPr>
              <w:t>partial|MAP, lat</w:t>
            </w:r>
          </w:p>
        </w:tc>
        <w:tc>
          <w:tcPr>
            <w:tcW w:w="1584"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Δ|ρ|, %</w:t>
            </w:r>
          </w:p>
        </w:tc>
        <w:tc>
          <w:tcPr>
            <w:tcW w:w="1584"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i/>
                <w:iCs/>
                <w:kern w:val="0"/>
                <w:sz w:val="18"/>
                <w:szCs w:val="18"/>
                <w:lang w:val="ru-RU" w:bidi="ar-SA"/>
              </w:rPr>
              <w:t>p</w:t>
            </w:r>
            <w:r>
              <w:rPr>
                <w:rFonts w:eastAsia="Cambria" w:ascii="Palatino Linotype" w:hAnsi="Palatino Linotype"/>
                <w:b/>
                <w:bCs/>
                <w:kern w:val="0"/>
                <w:sz w:val="18"/>
                <w:szCs w:val="18"/>
                <w:vertAlign w:val="subscript"/>
                <w:lang w:val="ru-RU" w:bidi="ar-SA"/>
              </w:rPr>
              <w:t>partial</w:t>
            </w:r>
          </w:p>
        </w:tc>
      </w:tr>
      <w:tr>
        <w:trPr/>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GNDVI</w:t>
            </w:r>
            <w:r>
              <w:rPr>
                <w:rFonts w:eastAsia="Cambria" w:ascii="Palatino Linotype" w:hAnsi="Palatino Linotype"/>
                <w:kern w:val="0"/>
                <w:sz w:val="18"/>
                <w:szCs w:val="18"/>
                <w:vertAlign w:val="subscript"/>
                <w:lang w:val="ru-RU" w:bidi="ar-SA"/>
              </w:rPr>
              <w:t>L8, spring</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-0.670</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-0.552</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-17.7</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1.4×10</w:t>
            </w:r>
            <w:r>
              <w:rPr>
                <w:rFonts w:eastAsia="Cambria" w:ascii="Palatino Linotype" w:hAnsi="Palatino Linotype"/>
                <w:kern w:val="0"/>
                <w:sz w:val="18"/>
                <w:szCs w:val="18"/>
                <w:vertAlign w:val="superscript"/>
                <w:lang w:val="ru-RU" w:bidi="ar-SA"/>
              </w:rPr>
              <w:t>-87</w:t>
            </w:r>
          </w:p>
        </w:tc>
      </w:tr>
      <w:tr>
        <w:trPr/>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NDVI</w:t>
            </w:r>
            <w:r>
              <w:rPr>
                <w:rFonts w:eastAsia="Cambria" w:ascii="Palatino Linotype" w:hAnsi="Palatino Linotype"/>
                <w:kern w:val="0"/>
                <w:sz w:val="18"/>
                <w:szCs w:val="18"/>
                <w:vertAlign w:val="subscript"/>
                <w:lang w:val="ru-RU" w:bidi="ar-SA"/>
              </w:rPr>
              <w:t>L8, spring</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-0.661</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-0.502</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-24.1</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3.3×10</w:t>
            </w:r>
            <w:r>
              <w:rPr>
                <w:rFonts w:eastAsia="Cambria" w:ascii="Palatino Linotype" w:hAnsi="Palatino Linotype"/>
                <w:kern w:val="0"/>
                <w:sz w:val="18"/>
                <w:szCs w:val="18"/>
                <w:vertAlign w:val="superscript"/>
                <w:lang w:val="ru-RU" w:bidi="ar-SA"/>
              </w:rPr>
              <w:t>-70</w:t>
            </w:r>
          </w:p>
        </w:tc>
      </w:tr>
      <w:tr>
        <w:trPr/>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GNDVI</w:t>
            </w:r>
            <w:r>
              <w:rPr>
                <w:rFonts w:eastAsia="Cambria" w:ascii="Palatino Linotype" w:hAnsi="Palatino Linotype"/>
                <w:kern w:val="0"/>
                <w:sz w:val="18"/>
                <w:szCs w:val="18"/>
                <w:vertAlign w:val="subscript"/>
                <w:lang w:val="ru-RU" w:bidi="ar-SA"/>
              </w:rPr>
              <w:t>S2, spring</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-0.516</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-0.398</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-22.8</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1.4×10</w:t>
            </w:r>
            <w:r>
              <w:rPr>
                <w:rFonts w:eastAsia="Cambria" w:ascii="Palatino Linotype" w:hAnsi="Palatino Linotype"/>
                <w:kern w:val="0"/>
                <w:sz w:val="18"/>
                <w:szCs w:val="18"/>
                <w:vertAlign w:val="superscript"/>
                <w:lang w:val="ru-RU" w:bidi="ar-SA"/>
              </w:rPr>
              <w:t>-42</w:t>
            </w:r>
          </w:p>
        </w:tc>
      </w:tr>
      <w:tr>
        <w:trPr/>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NDVI</w:t>
            </w:r>
            <w:r>
              <w:rPr>
                <w:rFonts w:eastAsia="Cambria" w:ascii="Palatino Linotype" w:hAnsi="Palatino Linotype"/>
                <w:kern w:val="0"/>
                <w:sz w:val="18"/>
                <w:szCs w:val="18"/>
                <w:vertAlign w:val="subscript"/>
                <w:lang w:val="ru-RU" w:bidi="ar-SA"/>
              </w:rPr>
              <w:t>S2, spring</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-0.490</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-0.273</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-44.3</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6.0×10</w:t>
            </w:r>
            <w:r>
              <w:rPr>
                <w:rFonts w:eastAsia="Cambria" w:ascii="Palatino Linotype" w:hAnsi="Palatino Linotype"/>
                <w:kern w:val="0"/>
                <w:sz w:val="18"/>
                <w:szCs w:val="18"/>
                <w:vertAlign w:val="superscript"/>
                <w:lang w:val="ru-RU" w:bidi="ar-SA"/>
              </w:rPr>
              <w:t>-20</w:t>
            </w:r>
          </w:p>
        </w:tc>
      </w:tr>
      <w:tr>
        <w:trPr/>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BSI</w:t>
            </w:r>
            <w:r>
              <w:rPr>
                <w:rFonts w:eastAsia="Cambria" w:ascii="Palatino Linotype" w:hAnsi="Palatino Linotype"/>
                <w:kern w:val="0"/>
                <w:sz w:val="18"/>
                <w:szCs w:val="18"/>
                <w:vertAlign w:val="subscript"/>
                <w:lang w:val="ru-RU" w:bidi="ar-SA"/>
              </w:rPr>
              <w:t>S2, spring</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-0.463</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-0.076</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-83.6</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1.2×10</w:t>
            </w:r>
            <w:r>
              <w:rPr>
                <w:rFonts w:eastAsia="Cambria" w:ascii="Palatino Linotype" w:hAnsi="Palatino Linotype"/>
                <w:kern w:val="0"/>
                <w:sz w:val="18"/>
                <w:szCs w:val="18"/>
                <w:vertAlign w:val="superscript"/>
                <w:lang w:val="ru-RU" w:bidi="ar-SA"/>
              </w:rPr>
              <w:t>-2</w:t>
            </w:r>
          </w:p>
        </w:tc>
      </w:tr>
      <w:tr>
        <w:trPr/>
        <w:tc>
          <w:tcPr>
            <w:tcW w:w="1584" w:type="dxa"/>
            <w:tcBorders/>
          </w:tcPr>
          <w:p>
            <w:pPr>
              <w:pStyle w:val="Compact"/>
              <w:widowControl/>
              <w:suppressAutoHyphens w:val="true"/>
              <w:spacing w:before="36" w:after="36"/>
              <w:jc w:val="both"/>
              <w:rPr>
                <w:rFonts w:ascii="Palatino Linotype" w:hAnsi="Palatino Linotype" w:eastAsia="Cambria"/>
                <w:sz w:val="18"/>
                <w:szCs w:val="18"/>
                <w:lang w:val="en-US"/>
              </w:rPr>
            </w:pPr>
            <w:r>
              <w:rPr>
                <w:rFonts w:eastAsia="Cambria" w:ascii="Palatino Linotype" w:hAnsi="Palatino Linotype"/>
                <w:kern w:val="0"/>
                <w:sz w:val="18"/>
                <w:szCs w:val="18"/>
                <w:lang w:val="ru-RU" w:bidi="ar-SA"/>
              </w:rPr>
              <w:t>EVI</w:t>
            </w:r>
            <w:r>
              <w:rPr>
                <w:rFonts w:eastAsia="Cambria" w:ascii="Palatino Linotype" w:hAnsi="Palatino Linotype"/>
                <w:kern w:val="0"/>
                <w:sz w:val="18"/>
                <w:szCs w:val="18"/>
                <w:vertAlign w:val="subscript"/>
                <w:lang w:val="ru-RU" w:bidi="ar-SA"/>
              </w:rPr>
              <w:t xml:space="preserve">S2, </w:t>
            </w:r>
            <w:r>
              <w:rPr>
                <w:rFonts w:eastAsia="Cambria" w:ascii="Palatino Linotype" w:hAnsi="Palatino Linotype"/>
                <w:kern w:val="0"/>
                <w:sz w:val="18"/>
                <w:szCs w:val="18"/>
                <w:vertAlign w:val="subscript"/>
                <w:lang w:val="en-US" w:bidi="ar-SA"/>
              </w:rPr>
              <w:t>summer</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-0.291</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-0.417</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+43.3</w:t>
            </w:r>
          </w:p>
        </w:tc>
        <w:tc>
          <w:tcPr>
            <w:tcW w:w="1584"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6.1×10</w:t>
            </w:r>
            <w:r>
              <w:rPr>
                <w:rFonts w:eastAsia="Cambria" w:ascii="Palatino Linotype" w:hAnsi="Palatino Linotype"/>
                <w:kern w:val="0"/>
                <w:sz w:val="18"/>
                <w:szCs w:val="18"/>
                <w:vertAlign w:val="superscript"/>
                <w:lang w:val="ru-RU" w:bidi="ar-SA"/>
              </w:rPr>
              <w:t>-47</w:t>
            </w:r>
          </w:p>
        </w:tc>
      </w:tr>
      <w:tr>
        <w:trPr/>
        <w:tc>
          <w:tcPr>
            <w:tcW w:w="1584"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lang w:val="en-US"/>
              </w:rPr>
            </w:pPr>
            <w:r>
              <w:rPr>
                <w:rFonts w:eastAsia="Cambria" w:ascii="Palatino Linotype" w:hAnsi="Palatino Linotype"/>
                <w:kern w:val="0"/>
                <w:sz w:val="18"/>
                <w:szCs w:val="18"/>
                <w:lang w:val="en-US" w:bidi="ar-SA"/>
              </w:rPr>
              <w:t>S</w:t>
            </w:r>
            <w:r>
              <w:rPr>
                <w:rFonts w:eastAsia="Cambria" w:ascii="Palatino Linotype" w:hAnsi="Palatino Linotype"/>
                <w:kern w:val="0"/>
                <w:sz w:val="18"/>
                <w:szCs w:val="18"/>
                <w:lang w:val="ru-RU" w:bidi="ar-SA"/>
              </w:rPr>
              <w:t>lope</w:t>
            </w:r>
          </w:p>
        </w:tc>
        <w:tc>
          <w:tcPr>
            <w:tcW w:w="1584"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+0.609</w:t>
            </w:r>
          </w:p>
        </w:tc>
        <w:tc>
          <w:tcPr>
            <w:tcW w:w="1584"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+0.331</w:t>
            </w:r>
          </w:p>
        </w:tc>
        <w:tc>
          <w:tcPr>
            <w:tcW w:w="1584"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-45.7</w:t>
            </w:r>
          </w:p>
        </w:tc>
        <w:tc>
          <w:tcPr>
            <w:tcW w:w="1584"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bookmarkStart w:id="11" w:name="tab%25253Apartial_corr"/>
            <w:bookmarkEnd w:id="11"/>
            <w:r>
              <w:rPr>
                <w:rFonts w:eastAsia="Cambria" w:ascii="Palatino Linotype" w:hAnsi="Palatino Linotype"/>
                <w:kern w:val="0"/>
                <w:sz w:val="18"/>
                <w:szCs w:val="18"/>
                <w:lang w:val="ru-RU" w:bidi="ar-SA"/>
              </w:rPr>
              <w:t>4.2×10</w:t>
            </w:r>
            <w:r>
              <w:rPr>
                <w:rFonts w:eastAsia="Cambria" w:ascii="Palatino Linotype" w:hAnsi="Palatino Linotype"/>
                <w:kern w:val="0"/>
                <w:sz w:val="18"/>
                <w:szCs w:val="18"/>
                <w:vertAlign w:val="superscript"/>
                <w:lang w:val="ru-RU" w:bidi="ar-SA"/>
              </w:rPr>
              <w:t>-29</w:t>
            </w:r>
          </w:p>
        </w:tc>
      </w:tr>
    </w:tbl>
    <w:p>
      <w:pPr>
        <w:pStyle w:val="MDPI31text"/>
        <w:rPr/>
      </w:pPr>
      <w:r>
        <w:rPr/>
        <w:t>A similar analysis was performed for the top predictors of each property (Table 9).</w:t>
      </w:r>
    </w:p>
    <w:p>
      <w:pPr>
        <w:pStyle w:val="MDPI31text"/>
        <w:spacing w:before="240" w:after="120"/>
        <w:ind w:hanging="0" w:start="2608"/>
        <w:rPr>
          <w:iCs/>
          <w:sz w:val="18"/>
          <w:szCs w:val="18"/>
        </w:rPr>
      </w:pPr>
      <w:r>
        <w:rPr>
          <w:b/>
          <w:sz w:val="18"/>
          <w:szCs w:val="18"/>
        </w:rPr>
        <w:t xml:space="preserve">Table 9. </w:t>
      </w:r>
      <w:r>
        <w:rPr>
          <w:bCs/>
          <w:sz w:val="18"/>
          <w:szCs w:val="18"/>
        </w:rPr>
        <w:t>Partial correlations of the top RS predictors for all six properties (controlling for MAP and latitude).</w:t>
      </w:r>
    </w:p>
    <w:tbl>
      <w:tblPr>
        <w:tblStyle w:val="Table"/>
        <w:tblW w:w="10123" w:type="dxa"/>
        <w:jc w:val="start"/>
        <w:tblInd w:w="407" w:type="dxa"/>
        <w:tblLayout w:type="fixed"/>
        <w:tblCellMar>
          <w:top w:w="0" w:type="dxa"/>
          <w:start w:w="108" w:type="dxa"/>
          <w:bottom w:w="0" w:type="dxa"/>
          <w:end w:w="108" w:type="dxa"/>
        </w:tblCellMar>
        <w:tblLook w:firstRow="1" w:noVBand="0" w:lastRow="0" w:firstColumn="0" w:lastColumn="0" w:noHBand="0" w:val="0020"/>
      </w:tblPr>
      <w:tblGrid>
        <w:gridCol w:w="1687"/>
        <w:gridCol w:w="1682"/>
        <w:gridCol w:w="1692"/>
        <w:gridCol w:w="1683"/>
        <w:gridCol w:w="1687"/>
        <w:gridCol w:w="1692"/>
      </w:tblGrid>
      <w:tr>
        <w:trPr>
          <w:tblHeader w:val="true"/>
          <w:trHeight w:val="740" w:hRule="atLeast"/>
          <w:cnfStyle w:val="100000000000" w:firstRow="1" w:lastRow="0" w:firstColumn="0" w:lastColumn="0" w:oddVBand="0" w:evenVBand="0" w:oddHBand="0" w:evenHBand="0" w:firstRowFirstColumn="0" w:firstRowLastColumn="0" w:lastRowFirstColumn="0" w:lastRowLastColumn="0"/>
        </w:trPr>
        <w:tc>
          <w:tcPr>
            <w:tcW w:w="1687"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6"/>
                <w:szCs w:val="16"/>
                <w:lang w:val="en-US"/>
              </w:rPr>
            </w:pPr>
            <w:r>
              <w:rPr>
                <w:rFonts w:eastAsia="Cambria" w:ascii="Palatino Linotype" w:hAnsi="Palatino Linotype"/>
                <w:b/>
                <w:bCs/>
                <w:kern w:val="0"/>
                <w:sz w:val="16"/>
                <w:szCs w:val="16"/>
                <w:lang w:val="ru-RU" w:bidi="ar-SA"/>
              </w:rPr>
              <w:t>Property</w:t>
            </w:r>
            <w:r>
              <w:rPr>
                <w:rFonts w:eastAsia="Cambria" w:ascii="Palatino Linotype" w:hAnsi="Palatino Linotype"/>
                <w:b/>
                <w:bCs/>
                <w:kern w:val="0"/>
                <w:sz w:val="16"/>
                <w:szCs w:val="16"/>
                <w:lang w:val="en-US" w:bidi="ar-SA"/>
              </w:rPr>
              <w:t>*</w:t>
            </w:r>
          </w:p>
        </w:tc>
        <w:tc>
          <w:tcPr>
            <w:tcW w:w="1682"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6"/>
                <w:szCs w:val="16"/>
              </w:rPr>
            </w:pPr>
            <w:r>
              <w:rPr>
                <w:rFonts w:eastAsia="Cambria" w:ascii="Palatino Linotype" w:hAnsi="Palatino Linotype"/>
                <w:b/>
                <w:bCs/>
                <w:kern w:val="0"/>
                <w:sz w:val="16"/>
                <w:szCs w:val="16"/>
                <w:lang w:val="ru-RU" w:bidi="ar-SA"/>
              </w:rPr>
              <w:t>Best RS predictor</w:t>
            </w:r>
          </w:p>
        </w:tc>
        <w:tc>
          <w:tcPr>
            <w:tcW w:w="1692"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6"/>
                <w:szCs w:val="16"/>
              </w:rPr>
            </w:pPr>
            <w:r>
              <w:rPr>
                <w:rFonts w:eastAsia="Cambria" w:ascii="Palatino Linotype" w:hAnsi="Palatino Linotype"/>
                <w:b/>
                <w:bCs/>
                <w:i/>
                <w:iCs/>
                <w:kern w:val="0"/>
                <w:sz w:val="18"/>
                <w:szCs w:val="18"/>
                <w:lang w:val="ru-RU" w:bidi="ar-SA"/>
              </w:rPr>
              <w:t>ρ</w:t>
            </w:r>
            <w:r>
              <w:rPr>
                <w:rFonts w:eastAsia="Cambria" w:ascii="Palatino Linotype" w:hAnsi="Palatino Linotype"/>
                <w:b/>
                <w:bCs/>
                <w:kern w:val="0"/>
                <w:sz w:val="18"/>
                <w:szCs w:val="18"/>
                <w:vertAlign w:val="subscript"/>
                <w:lang w:val="ru-RU" w:bidi="ar-SA"/>
              </w:rPr>
              <w:t>0</w:t>
            </w:r>
          </w:p>
        </w:tc>
        <w:tc>
          <w:tcPr>
            <w:tcW w:w="1683"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6"/>
                <w:szCs w:val="16"/>
                <w:lang w:val="en-US"/>
              </w:rPr>
            </w:pPr>
            <w:r>
              <w:rPr>
                <w:rFonts w:ascii="Palatino Linotype" w:hAnsi="Palatino Linotype"/>
                <w:b/>
                <w:bCs/>
                <w:i/>
                <w:iCs/>
                <w:kern w:val="0"/>
                <w:sz w:val="18"/>
                <w:szCs w:val="18"/>
                <w:lang w:val="ru-RU" w:bidi="ar-SA"/>
              </w:rPr>
              <w:t>ρ</w:t>
            </w:r>
            <w:r>
              <w:rPr>
                <w:rFonts w:ascii="Palatino Linotype" w:hAnsi="Palatino Linotype"/>
                <w:b/>
                <w:bCs/>
                <w:kern w:val="0"/>
                <w:sz w:val="18"/>
                <w:szCs w:val="18"/>
                <w:vertAlign w:val="subscript"/>
                <w:lang w:val="ru-RU" w:bidi="ar-SA"/>
              </w:rPr>
              <w:t>partial</w:t>
            </w:r>
            <w:r>
              <w:rPr>
                <w:rFonts w:ascii="Palatino Linotype" w:hAnsi="Palatino Linotype"/>
                <w:b/>
                <w:bCs/>
                <w:kern w:val="0"/>
                <w:sz w:val="18"/>
                <w:szCs w:val="18"/>
                <w:vertAlign w:val="subscript"/>
                <w:lang w:val="en-US" w:bidi="ar-SA"/>
              </w:rPr>
              <w:t>*</w:t>
            </w:r>
          </w:p>
        </w:tc>
        <w:tc>
          <w:tcPr>
            <w:tcW w:w="1687"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6"/>
                <w:szCs w:val="16"/>
                <w:lang w:val="en-US"/>
              </w:rPr>
            </w:pPr>
            <w:r>
              <w:rPr>
                <w:rFonts w:eastAsia="Cambria" w:ascii="Palatino Linotype" w:hAnsi="Palatino Linotype"/>
                <w:b/>
                <w:bCs/>
                <w:kern w:val="0"/>
                <w:sz w:val="18"/>
                <w:szCs w:val="18"/>
                <w:lang w:val="ru-RU" w:bidi="ar-SA"/>
              </w:rPr>
              <w:t>Δ|ρ|, %</w:t>
            </w:r>
          </w:p>
        </w:tc>
        <w:tc>
          <w:tcPr>
            <w:tcW w:w="1692" w:type="dxa"/>
            <w:tcBorders>
              <w:top w:val="single" w:sz="4" w:space="0" w:color="000000"/>
              <w:bottom w:val="single" w:sz="6" w:space="0" w:color="000000"/>
            </w:tcBorders>
            <w:vAlign w:val="center"/>
          </w:tcPr>
          <w:p>
            <w:pPr>
              <w:pStyle w:val="Compact"/>
              <w:widowControl/>
              <w:suppressAutoHyphens w:val="true"/>
              <w:spacing w:before="36" w:after="36"/>
              <w:jc w:val="center"/>
              <w:rPr>
                <w:rFonts w:ascii="Palatino Linotype" w:hAnsi="Palatino Linotype" w:eastAsia="Cambria"/>
                <w:b/>
                <w:bCs/>
                <w:sz w:val="16"/>
                <w:szCs w:val="16"/>
              </w:rPr>
            </w:pPr>
            <w:r>
              <w:rPr>
                <w:rFonts w:ascii="Palatino Linotype" w:hAnsi="Palatino Linotype"/>
                <w:b/>
                <w:bCs/>
                <w:i/>
                <w:iCs/>
                <w:kern w:val="0"/>
                <w:sz w:val="18"/>
                <w:szCs w:val="18"/>
                <w:lang w:val="ru-RU" w:bidi="ar-SA"/>
              </w:rPr>
              <w:t>ρ</w:t>
            </w:r>
            <w:r>
              <w:rPr>
                <w:rFonts w:ascii="Palatino Linotype" w:hAnsi="Palatino Linotype"/>
                <w:b/>
                <w:bCs/>
                <w:kern w:val="0"/>
                <w:sz w:val="18"/>
                <w:szCs w:val="18"/>
                <w:vertAlign w:val="subscript"/>
                <w:lang w:val="ru-RU" w:bidi="ar-SA"/>
              </w:rPr>
              <w:t>partial</w:t>
            </w:r>
          </w:p>
        </w:tc>
      </w:tr>
      <w:tr>
        <w:trPr>
          <w:trHeight w:val="409" w:hRule="atLeast"/>
        </w:trPr>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pH</w:t>
            </w:r>
          </w:p>
        </w:tc>
        <w:tc>
          <w:tcPr>
            <w:tcW w:w="1682" w:type="dxa"/>
            <w:tcBorders/>
            <w:vAlign w:val="center"/>
          </w:tcPr>
          <w:p>
            <w:pPr>
              <w:pStyle w:val="Compact"/>
              <w:widowControl/>
              <w:suppressAutoHyphens w:val="true"/>
              <w:spacing w:before="36" w:after="36"/>
              <w:jc w:val="center"/>
              <w:rPr>
                <w:rFonts w:ascii="Palatino Linotype" w:hAnsi="Palatino Linotype" w:eastAsia="Cambria"/>
                <w:sz w:val="16"/>
                <w:szCs w:val="16"/>
                <w:lang w:val="en-US"/>
              </w:rPr>
            </w:pPr>
            <w:r>
              <w:rPr>
                <w:rFonts w:eastAsia="Cambria" w:ascii="Palatino Linotype" w:hAnsi="Palatino Linotype"/>
                <w:kern w:val="0"/>
                <w:sz w:val="16"/>
                <w:szCs w:val="16"/>
                <w:lang w:val="ru-RU" w:bidi="ar-SA"/>
              </w:rPr>
              <w:t>GNDVI</w:t>
            </w:r>
            <w:r>
              <w:rPr>
                <w:rFonts w:eastAsia="Cambria" w:ascii="Palatino Linotype" w:hAnsi="Palatino Linotype"/>
                <w:kern w:val="0"/>
                <w:sz w:val="16"/>
                <w:szCs w:val="16"/>
                <w:vertAlign w:val="subscript"/>
                <w:lang w:val="ru-RU" w:bidi="ar-SA"/>
              </w:rPr>
              <w:t xml:space="preserve">L8, </w:t>
            </w:r>
            <w:r>
              <w:rPr>
                <w:rFonts w:eastAsia="Cambria" w:ascii="Palatino Linotype" w:hAnsi="Palatino Linotype"/>
                <w:kern w:val="0"/>
                <w:sz w:val="16"/>
                <w:szCs w:val="16"/>
                <w:vertAlign w:val="subscript"/>
                <w:lang w:val="en-US" w:bidi="ar-SA"/>
              </w:rPr>
              <w:t>spring</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-0.670</w:t>
            </w:r>
          </w:p>
        </w:tc>
        <w:tc>
          <w:tcPr>
            <w:tcW w:w="1683"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-0.552</w:t>
            </w:r>
          </w:p>
        </w:tc>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-17.7</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1.4×10</w:t>
            </w:r>
            <w:r>
              <w:rPr>
                <w:rFonts w:eastAsia="Cambria" w:ascii="Palatino Linotype" w:hAnsi="Palatino Linotype"/>
                <w:kern w:val="0"/>
                <w:sz w:val="16"/>
                <w:szCs w:val="16"/>
                <w:vertAlign w:val="superscript"/>
                <w:lang w:val="ru-RU" w:bidi="ar-SA"/>
              </w:rPr>
              <w:t>-87</w:t>
            </w:r>
          </w:p>
        </w:tc>
      </w:tr>
      <w:tr>
        <w:trPr>
          <w:trHeight w:val="409" w:hRule="atLeast"/>
        </w:trPr>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K</w:t>
            </w:r>
            <w:r>
              <w:rPr>
                <w:rFonts w:eastAsia="Cambria" w:ascii="Palatino Linotype" w:hAnsi="Palatino Linotype"/>
                <w:kern w:val="0"/>
                <w:sz w:val="16"/>
                <w:szCs w:val="16"/>
                <w:vertAlign w:val="subscript"/>
                <w:lang w:val="ru-RU" w:bidi="ar-SA"/>
              </w:rPr>
              <w:t>2</w:t>
            </w:r>
            <w:r>
              <w:rPr>
                <w:rFonts w:eastAsia="Cambria" w:ascii="Palatino Linotype" w:hAnsi="Palatino Linotype"/>
                <w:kern w:val="0"/>
                <w:sz w:val="16"/>
                <w:szCs w:val="16"/>
                <w:lang w:val="ru-RU" w:bidi="ar-SA"/>
              </w:rPr>
              <w:t>O</w:t>
            </w:r>
          </w:p>
        </w:tc>
        <w:tc>
          <w:tcPr>
            <w:tcW w:w="1682" w:type="dxa"/>
            <w:tcBorders/>
            <w:vAlign w:val="center"/>
          </w:tcPr>
          <w:p>
            <w:pPr>
              <w:pStyle w:val="Compact"/>
              <w:widowControl/>
              <w:suppressAutoHyphens w:val="true"/>
              <w:spacing w:before="36" w:after="36"/>
              <w:jc w:val="center"/>
              <w:rPr>
                <w:rFonts w:ascii="Palatino Linotype" w:hAnsi="Palatino Linotype" w:eastAsia="Cambria"/>
                <w:sz w:val="16"/>
                <w:szCs w:val="16"/>
                <w:lang w:val="en-US"/>
              </w:rPr>
            </w:pPr>
            <w:r>
              <w:rPr>
                <w:rFonts w:eastAsia="Cambria" w:ascii="Palatino Linotype" w:hAnsi="Palatino Linotype"/>
                <w:kern w:val="0"/>
                <w:sz w:val="16"/>
                <w:szCs w:val="16"/>
                <w:lang w:val="ru-RU" w:bidi="ar-SA"/>
              </w:rPr>
              <w:t>BSI</w:t>
            </w:r>
            <w:r>
              <w:rPr>
                <w:rFonts w:eastAsia="Cambria" w:ascii="Palatino Linotype" w:hAnsi="Palatino Linotype"/>
                <w:kern w:val="0"/>
                <w:sz w:val="16"/>
                <w:szCs w:val="16"/>
                <w:vertAlign w:val="subscript"/>
                <w:lang w:val="ru-RU" w:bidi="ar-SA"/>
              </w:rPr>
              <w:t xml:space="preserve">S2, </w:t>
            </w:r>
            <w:r>
              <w:rPr>
                <w:rFonts w:eastAsia="Cambria" w:ascii="Palatino Linotype" w:hAnsi="Palatino Linotype"/>
                <w:kern w:val="0"/>
                <w:sz w:val="16"/>
                <w:szCs w:val="16"/>
                <w:vertAlign w:val="subscript"/>
                <w:lang w:val="en-US" w:bidi="ar-SA"/>
              </w:rPr>
              <w:t>spring</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-0.478</w:t>
            </w:r>
          </w:p>
        </w:tc>
        <w:tc>
          <w:tcPr>
            <w:tcW w:w="1683"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-0.458</w:t>
            </w:r>
          </w:p>
        </w:tc>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-4.1</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2.0×10</w:t>
            </w:r>
            <w:r>
              <w:rPr>
                <w:rFonts w:eastAsia="Cambria" w:ascii="Palatino Linotype" w:hAnsi="Palatino Linotype"/>
                <w:kern w:val="0"/>
                <w:sz w:val="16"/>
                <w:szCs w:val="16"/>
                <w:vertAlign w:val="superscript"/>
                <w:lang w:val="ru-RU" w:bidi="ar-SA"/>
              </w:rPr>
              <w:t>-57</w:t>
            </w:r>
          </w:p>
        </w:tc>
      </w:tr>
      <w:tr>
        <w:trPr>
          <w:trHeight w:val="396" w:hRule="atLeast"/>
        </w:trPr>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P</w:t>
            </w:r>
            <w:r>
              <w:rPr>
                <w:rFonts w:eastAsia="Cambria" w:ascii="Palatino Linotype" w:hAnsi="Palatino Linotype"/>
                <w:kern w:val="0"/>
                <w:sz w:val="16"/>
                <w:szCs w:val="16"/>
                <w:vertAlign w:val="subscript"/>
                <w:lang w:val="ru-RU" w:bidi="ar-SA"/>
              </w:rPr>
              <w:t>2</w:t>
            </w:r>
            <w:r>
              <w:rPr>
                <w:rFonts w:eastAsia="Cambria" w:ascii="Palatino Linotype" w:hAnsi="Palatino Linotype"/>
                <w:kern w:val="0"/>
                <w:sz w:val="16"/>
                <w:szCs w:val="16"/>
                <w:lang w:val="ru-RU" w:bidi="ar-SA"/>
              </w:rPr>
              <w:t>O</w:t>
            </w:r>
            <w:r>
              <w:rPr>
                <w:rFonts w:eastAsia="Cambria" w:ascii="Palatino Linotype" w:hAnsi="Palatino Linotype"/>
                <w:kern w:val="0"/>
                <w:sz w:val="16"/>
                <w:szCs w:val="16"/>
                <w:vertAlign w:val="subscript"/>
                <w:lang w:val="ru-RU" w:bidi="ar-SA"/>
              </w:rPr>
              <w:t>5</w:t>
            </w:r>
          </w:p>
        </w:tc>
        <w:tc>
          <w:tcPr>
            <w:tcW w:w="168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GS_temp</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+0.476</w:t>
            </w:r>
          </w:p>
        </w:tc>
        <w:tc>
          <w:tcPr>
            <w:tcW w:w="1683"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+0.430</w:t>
            </w:r>
          </w:p>
        </w:tc>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-9.7</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4.5×10</w:t>
            </w:r>
            <w:r>
              <w:rPr>
                <w:rFonts w:eastAsia="Cambria" w:ascii="Palatino Linotype" w:hAnsi="Palatino Linotype"/>
                <w:kern w:val="0"/>
                <w:sz w:val="16"/>
                <w:szCs w:val="16"/>
                <w:vertAlign w:val="superscript"/>
                <w:lang w:val="ru-RU" w:bidi="ar-SA"/>
              </w:rPr>
              <w:t>-50</w:t>
            </w:r>
          </w:p>
        </w:tc>
      </w:tr>
      <w:tr>
        <w:trPr>
          <w:trHeight w:val="409" w:hRule="atLeast"/>
        </w:trPr>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NO</w:t>
            </w:r>
            <w:r>
              <w:rPr>
                <w:rFonts w:eastAsia="Cambria" w:ascii="Palatino Linotype" w:hAnsi="Palatino Linotype"/>
                <w:kern w:val="0"/>
                <w:sz w:val="16"/>
                <w:szCs w:val="16"/>
                <w:vertAlign w:val="subscript"/>
                <w:lang w:val="ru-RU" w:bidi="ar-SA"/>
              </w:rPr>
              <w:t>3</w:t>
            </w:r>
          </w:p>
        </w:tc>
        <w:tc>
          <w:tcPr>
            <w:tcW w:w="1682" w:type="dxa"/>
            <w:tcBorders/>
            <w:vAlign w:val="center"/>
          </w:tcPr>
          <w:p>
            <w:pPr>
              <w:pStyle w:val="Compact"/>
              <w:widowControl/>
              <w:suppressAutoHyphens w:val="true"/>
              <w:spacing w:before="36" w:after="36"/>
              <w:jc w:val="center"/>
              <w:rPr>
                <w:rFonts w:ascii="Palatino Linotype" w:hAnsi="Palatino Linotype" w:eastAsia="Cambria"/>
                <w:sz w:val="16"/>
                <w:szCs w:val="16"/>
                <w:lang w:val="en-US"/>
              </w:rPr>
            </w:pPr>
            <w:r>
              <w:rPr>
                <w:rFonts w:eastAsia="Cambria" w:ascii="Palatino Linotype" w:hAnsi="Palatino Linotype"/>
                <w:kern w:val="0"/>
                <w:sz w:val="16"/>
                <w:szCs w:val="16"/>
                <w:lang w:val="ru-RU" w:bidi="ar-SA"/>
              </w:rPr>
              <w:t>SAVI</w:t>
            </w:r>
            <w:r>
              <w:rPr>
                <w:rFonts w:eastAsia="Cambria" w:ascii="Palatino Linotype" w:hAnsi="Palatino Linotype"/>
                <w:kern w:val="0"/>
                <w:sz w:val="16"/>
                <w:szCs w:val="16"/>
                <w:vertAlign w:val="subscript"/>
                <w:lang w:val="ru-RU" w:bidi="ar-SA"/>
              </w:rPr>
              <w:t xml:space="preserve">S2, </w:t>
            </w:r>
            <w:r>
              <w:rPr>
                <w:rFonts w:eastAsia="Cambria" w:ascii="Palatino Linotype" w:hAnsi="Palatino Linotype"/>
                <w:kern w:val="0"/>
                <w:sz w:val="16"/>
                <w:szCs w:val="16"/>
                <w:vertAlign w:val="subscript"/>
                <w:lang w:val="en-US" w:bidi="ar-SA"/>
              </w:rPr>
              <w:t>spring</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-0.431</w:t>
            </w:r>
          </w:p>
        </w:tc>
        <w:tc>
          <w:tcPr>
            <w:tcW w:w="1683"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-0.318</w:t>
            </w:r>
          </w:p>
        </w:tc>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-26.2</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5.5×10</w:t>
            </w:r>
            <w:r>
              <w:rPr>
                <w:rFonts w:eastAsia="Cambria" w:ascii="Palatino Linotype" w:hAnsi="Palatino Linotype"/>
                <w:kern w:val="0"/>
                <w:sz w:val="16"/>
                <w:szCs w:val="16"/>
                <w:vertAlign w:val="superscript"/>
                <w:lang w:val="ru-RU" w:bidi="ar-SA"/>
              </w:rPr>
              <w:t>-27</w:t>
            </w:r>
          </w:p>
        </w:tc>
      </w:tr>
      <w:tr>
        <w:trPr>
          <w:trHeight w:val="740" w:hRule="atLeast"/>
        </w:trPr>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S</w:t>
            </w:r>
          </w:p>
        </w:tc>
        <w:tc>
          <w:tcPr>
            <w:tcW w:w="168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SAVI</w:t>
            </w:r>
            <w:r>
              <w:rPr>
                <w:rFonts w:eastAsia="Cambria" w:ascii="Palatino Linotype" w:hAnsi="Palatino Linotype"/>
                <w:kern w:val="0"/>
                <w:sz w:val="16"/>
                <w:szCs w:val="16"/>
                <w:vertAlign w:val="subscript"/>
                <w:lang w:val="ru-RU" w:bidi="ar-SA"/>
              </w:rPr>
              <w:t>L8, late summer</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+0.383</w:t>
            </w:r>
          </w:p>
        </w:tc>
        <w:tc>
          <w:tcPr>
            <w:tcW w:w="1683"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+0.390</w:t>
            </w:r>
          </w:p>
        </w:tc>
        <w:tc>
          <w:tcPr>
            <w:tcW w:w="1687"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+ 1.7</w:t>
            </w:r>
          </w:p>
        </w:tc>
        <w:tc>
          <w:tcPr>
            <w:tcW w:w="1692" w:type="dxa"/>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1.1×10</w:t>
            </w:r>
            <w:r>
              <w:rPr>
                <w:rFonts w:eastAsia="Cambria" w:ascii="Palatino Linotype" w:hAnsi="Palatino Linotype"/>
                <w:kern w:val="0"/>
                <w:sz w:val="16"/>
                <w:szCs w:val="16"/>
                <w:vertAlign w:val="superscript"/>
                <w:lang w:val="ru-RU" w:bidi="ar-SA"/>
              </w:rPr>
              <w:t>-40</w:t>
            </w:r>
          </w:p>
        </w:tc>
      </w:tr>
      <w:tr>
        <w:trPr>
          <w:trHeight w:val="409" w:hRule="atLeast"/>
        </w:trPr>
        <w:tc>
          <w:tcPr>
            <w:tcW w:w="1687"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SOC</w:t>
            </w:r>
          </w:p>
        </w:tc>
        <w:tc>
          <w:tcPr>
            <w:tcW w:w="1682"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6"/>
                <w:szCs w:val="16"/>
                <w:lang w:val="en-US"/>
              </w:rPr>
            </w:pPr>
            <w:r>
              <w:rPr>
                <w:rFonts w:eastAsia="Cambria" w:ascii="Palatino Linotype" w:hAnsi="Palatino Linotype"/>
                <w:kern w:val="0"/>
                <w:sz w:val="16"/>
                <w:szCs w:val="16"/>
                <w:lang w:val="en-US" w:bidi="ar-SA"/>
              </w:rPr>
              <w:t>S</w:t>
            </w:r>
            <w:r>
              <w:rPr>
                <w:rFonts w:eastAsia="Cambria" w:ascii="Palatino Linotype" w:hAnsi="Palatino Linotype"/>
                <w:kern w:val="0"/>
                <w:sz w:val="16"/>
                <w:szCs w:val="16"/>
                <w:lang w:val="ru-RU" w:bidi="ar-SA"/>
              </w:rPr>
              <w:t>lope</w:t>
            </w:r>
          </w:p>
        </w:tc>
        <w:tc>
          <w:tcPr>
            <w:tcW w:w="1692"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-0.368</w:t>
            </w:r>
          </w:p>
        </w:tc>
        <w:tc>
          <w:tcPr>
            <w:tcW w:w="1683"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-0.220</w:t>
            </w:r>
          </w:p>
        </w:tc>
        <w:tc>
          <w:tcPr>
            <w:tcW w:w="1687"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-40.4</w:t>
            </w:r>
          </w:p>
        </w:tc>
        <w:tc>
          <w:tcPr>
            <w:tcW w:w="1692"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6"/>
                <w:szCs w:val="16"/>
              </w:rPr>
            </w:pPr>
            <w:r>
              <w:rPr>
                <w:rFonts w:eastAsia="Cambria" w:ascii="Palatino Linotype" w:hAnsi="Palatino Linotype"/>
                <w:kern w:val="0"/>
                <w:sz w:val="16"/>
                <w:szCs w:val="16"/>
                <w:lang w:val="ru-RU" w:bidi="ar-SA"/>
              </w:rPr>
              <w:t>2.6×10</w:t>
            </w:r>
            <w:r>
              <w:rPr>
                <w:rFonts w:eastAsia="Cambria" w:ascii="Palatino Linotype" w:hAnsi="Palatino Linotype"/>
                <w:kern w:val="0"/>
                <w:sz w:val="16"/>
                <w:szCs w:val="16"/>
                <w:vertAlign w:val="superscript"/>
                <w:lang w:val="ru-RU" w:bidi="ar-SA"/>
              </w:rPr>
              <w:t>-13</w:t>
            </w:r>
          </w:p>
        </w:tc>
      </w:tr>
    </w:tbl>
    <w:p>
      <w:pPr>
        <w:pStyle w:val="MDPI43tablefooter"/>
        <w:rPr>
          <w:szCs w:val="18"/>
        </w:rPr>
      </w:pPr>
      <w:r>
        <w:rPr>
          <w:szCs w:val="18"/>
        </w:rPr>
        <w:t xml:space="preserve">* Properties are sorted in descending order of </w:t>
      </w:r>
      <w:r>
        <w:rPr>
          <w:i/>
          <w:iCs/>
          <w:szCs w:val="18"/>
          <w:lang w:val="ru-RU"/>
        </w:rPr>
        <w:t>ρ</w:t>
      </w:r>
      <w:r>
        <w:rPr>
          <w:szCs w:val="18"/>
          <w:vertAlign w:val="subscript"/>
        </w:rPr>
        <w:t>partial</w:t>
      </w:r>
      <w:r>
        <w:rPr>
          <w:szCs w:val="18"/>
        </w:rPr>
        <w:t>.</w:t>
      </w:r>
    </w:p>
    <w:p>
      <w:pPr>
        <w:pStyle w:val="MDPI43tablefooter"/>
        <w:rPr>
          <w:szCs w:val="18"/>
        </w:rPr>
      </w:pPr>
      <w:r>
        <w:rPr>
          <w:szCs w:val="18"/>
        </w:rPr>
        <w:t>Covariates include mean annual precipitation (MAP) and centroid latitude.</w:t>
      </w:r>
    </w:p>
    <w:p>
      <w:pPr>
        <w:pStyle w:val="MDPI31text"/>
        <w:ind w:hanging="0" w:start="2608"/>
        <w:rPr>
          <w:sz w:val="18"/>
          <w:szCs w:val="18"/>
        </w:rPr>
      </w:pPr>
      <w:r>
        <w:rPr>
          <w:i/>
          <w:iCs/>
          <w:sz w:val="18"/>
          <w:szCs w:val="18"/>
          <w:lang w:val="ru-RU"/>
        </w:rPr>
        <w:t>ρ</w:t>
      </w:r>
      <w:r>
        <w:rPr>
          <w:sz w:val="18"/>
          <w:szCs w:val="18"/>
          <w:vertAlign w:val="subscript"/>
        </w:rPr>
        <w:t>partial</w:t>
      </w:r>
      <w:r>
        <w:rPr>
          <w:sz w:val="18"/>
          <w:szCs w:val="18"/>
        </w:rPr>
        <w:t xml:space="preserve"> values were calculated for a nominal </w:t>
      </w:r>
      <w:r>
        <w:rPr>
          <w:i/>
          <w:iCs/>
          <w:sz w:val="18"/>
          <w:szCs w:val="18"/>
        </w:rPr>
        <w:t>n</w:t>
      </w:r>
      <w:r>
        <w:rPr>
          <w:sz w:val="18"/>
          <w:szCs w:val="18"/>
        </w:rPr>
        <w:t xml:space="preserve"> = 1085 without correction for </w:t>
      </w:r>
      <w:r>
        <w:rPr>
          <w:i/>
          <w:iCs/>
          <w:sz w:val="18"/>
          <w:szCs w:val="18"/>
        </w:rPr>
        <w:t>n</w:t>
      </w:r>
      <w:r>
        <w:rPr>
          <w:sz w:val="18"/>
          <w:szCs w:val="18"/>
          <w:vertAlign w:val="subscript"/>
        </w:rPr>
        <w:t>eff</w:t>
      </w:r>
      <w:r>
        <w:rPr>
          <w:sz w:val="18"/>
          <w:szCs w:val="18"/>
        </w:rPr>
        <w:t>, serving as upper bounds of significance.</w:t>
      </w:r>
    </w:p>
    <w:p>
      <w:pPr>
        <w:pStyle w:val="MDPI31text"/>
        <w:rPr>
          <w:rFonts w:eastAsia="Cambria"/>
          <w:szCs w:val="20"/>
        </w:rPr>
      </w:pPr>
      <w:r>
        <w:rPr>
          <w:rFonts w:eastAsia="Cambria"/>
          <w:szCs w:val="20"/>
        </w:rPr>
        <w:t>K</w:t>
      </w:r>
      <w:r>
        <w:rPr>
          <w:rFonts w:eastAsia="Cambria"/>
          <w:szCs w:val="20"/>
          <w:vertAlign w:val="subscript"/>
        </w:rPr>
        <w:t>2</w:t>
      </w:r>
      <w:r>
        <w:rPr>
          <w:rFonts w:eastAsia="Cambria"/>
          <w:szCs w:val="20"/>
        </w:rPr>
        <w:t>O and S were practically independent of the latitudinal gradient (</w:t>
      </w:r>
      <w:r>
        <w:rPr>
          <w:rFonts w:eastAsia="Cambria"/>
          <w:i/>
          <w:iCs/>
          <w:szCs w:val="20"/>
        </w:rPr>
        <w:t>Δ</w:t>
      </w:r>
      <w:r>
        <w:rPr>
          <w:rFonts w:eastAsia="Cambria"/>
          <w:szCs w:val="20"/>
        </w:rPr>
        <w:t xml:space="preserve"> &lt; 10%), indicating local soil control. For </w:t>
      </w:r>
      <w:r>
        <w:rPr>
          <w:szCs w:val="20"/>
        </w:rPr>
        <w:t xml:space="preserve">pH, </w:t>
      </w:r>
      <w:r>
        <w:rPr>
          <w:rFonts w:eastAsia="Cambria"/>
          <w:szCs w:val="20"/>
        </w:rPr>
        <w:t>P</w:t>
      </w:r>
      <w:r>
        <w:rPr>
          <w:rFonts w:eastAsia="Cambria"/>
          <w:szCs w:val="20"/>
          <w:vertAlign w:val="subscript"/>
        </w:rPr>
        <w:t>2</w:t>
      </w:r>
      <w:r>
        <w:rPr>
          <w:rFonts w:eastAsia="Cambria"/>
          <w:szCs w:val="20"/>
        </w:rPr>
        <w:t>O</w:t>
      </w:r>
      <w:r>
        <w:rPr>
          <w:rFonts w:eastAsia="Cambria"/>
          <w:szCs w:val="20"/>
          <w:vertAlign w:val="subscript"/>
        </w:rPr>
        <w:t>5</w:t>
      </w:r>
      <w:r>
        <w:rPr>
          <w:szCs w:val="20"/>
        </w:rPr>
        <w:t xml:space="preserve">, and </w:t>
      </w:r>
      <w:r>
        <w:rPr>
          <w:rFonts w:eastAsia="Cambria"/>
          <w:szCs w:val="20"/>
        </w:rPr>
        <w:t>NO</w:t>
      </w:r>
      <w:r>
        <w:rPr>
          <w:rFonts w:eastAsia="Cambria"/>
          <w:szCs w:val="20"/>
          <w:vertAlign w:val="subscript"/>
        </w:rPr>
        <w:t>3</w:t>
      </w:r>
      <w:r>
        <w:rPr>
          <w:rFonts w:eastAsia="Cambria"/>
          <w:szCs w:val="20"/>
        </w:rPr>
        <w:t>, the spatial gradient contributed to the relationship (</w:t>
      </w:r>
      <w:r>
        <w:rPr>
          <w:rFonts w:eastAsia="Cambria"/>
          <w:i/>
          <w:iCs/>
          <w:szCs w:val="20"/>
        </w:rPr>
        <w:t>Δ</w:t>
      </w:r>
      <w:r>
        <w:rPr>
          <w:rFonts w:eastAsia="Cambria"/>
          <w:szCs w:val="20"/>
        </w:rPr>
        <w:t xml:space="preserve"> = 10–26%) but did not explain it entirely. For SOC, approximately 40% of its correlation with slope was driven by the latitudinal moisture gradient. This was an unexpectedly high proportion that calls into question the direct interpretation of topographic predictors for SOC.</w:t>
      </w:r>
    </w:p>
    <w:p>
      <w:pPr>
        <w:pStyle w:val="MDPI31text"/>
        <w:rPr/>
      </w:pPr>
      <w:r>
        <w:rPr/>
        <w:t>Bootstrap (1000 iterations; Figure 6) confirmed the reliability of the key correlations: all 95% CIs did not include zero.</w:t>
      </w:r>
    </w:p>
    <w:p>
      <w:pPr>
        <w:pStyle w:val="MDPI31text"/>
        <w:rPr/>
      </w:pPr>
      <w:r>
        <w:rPr>
          <w:b/>
          <w:bCs/>
        </w:rPr>
        <w:t>Spatial permutation test</w:t>
      </w:r>
      <w:r>
        <w:rPr/>
        <w:t xml:space="preserve"> (</w:t>
      </w:r>
      <w:r>
        <w:rPr>
          <w:i/>
          <w:iCs/>
        </w:rPr>
        <w:t>N</w:t>
      </w:r>
      <w:r>
        <w:rPr/>
        <w:t>= 999 toroidal shifts, section 2.4.6). For pH, the |</w:t>
      </w:r>
      <w:r>
        <w:rPr>
          <w:i/>
          <w:iCs/>
          <w:lang w:val="ru-RU"/>
        </w:rPr>
        <w:t>ρ</w:t>
      </w:r>
      <w:r>
        <w:rPr/>
        <w:t>|</w:t>
      </w:r>
      <w:r>
        <w:rPr>
          <w:vertAlign w:val="subscript"/>
        </w:rPr>
        <w:t>max</w:t>
      </w:r>
      <w:r>
        <w:rPr/>
        <w:t xml:space="preserve"> of 0.670 exceeded all 999 permutation maxima (</w:t>
      </w:r>
      <w:r>
        <w:rPr>
          <w:i/>
          <w:iCs/>
        </w:rPr>
        <w:t>p</w:t>
      </w:r>
      <w:r>
        <w:rPr>
          <w:vertAlign w:val="subscript"/>
        </w:rPr>
        <w:t>spat.perm</w:t>
      </w:r>
      <w:r>
        <w:rPr/>
        <w:t xml:space="preserve"> &lt; 0.001). Similarly, significance was observed for K</w:t>
      </w:r>
      <w:r>
        <w:rPr>
          <w:vertAlign w:val="subscript"/>
        </w:rPr>
        <w:t>2</w:t>
      </w:r>
      <w:r>
        <w:rPr/>
        <w:t>O (</w:t>
      </w:r>
      <w:r>
        <w:rPr>
          <w:i/>
          <w:iCs/>
        </w:rPr>
        <w:t>p</w:t>
      </w:r>
      <w:r>
        <w:rPr/>
        <w:t>=0.002) and P</w:t>
      </w:r>
      <w:r>
        <w:rPr>
          <w:vertAlign w:val="subscript"/>
        </w:rPr>
        <w:t>2</w:t>
      </w:r>
      <w:r>
        <w:rPr/>
        <w:t>O</w:t>
      </w:r>
      <w:r>
        <w:rPr>
          <w:vertAlign w:val="subscript"/>
        </w:rPr>
        <w:t>5</w:t>
      </w:r>
      <w:r>
        <w:rPr/>
        <w:t xml:space="preserve"> (</w:t>
      </w:r>
      <w:r>
        <w:rPr>
          <w:i/>
          <w:iCs/>
        </w:rPr>
        <w:t>p</w:t>
      </w:r>
      <w:r>
        <w:rPr/>
        <w:t>=0.003). For SOC, NO</w:t>
      </w:r>
      <w:r>
        <w:rPr>
          <w:vertAlign w:val="subscript"/>
        </w:rPr>
        <w:t>3</w:t>
      </w:r>
      <w:r>
        <w:rPr/>
        <w:t xml:space="preserve">, and S, the permutation </w:t>
      </w:r>
      <w:r>
        <w:rPr>
          <w:i/>
          <w:iCs/>
        </w:rPr>
        <w:t>p</w:t>
      </w:r>
      <w:r>
        <w:rPr/>
        <w:t xml:space="preserve">-values were higher (0.018, 0.041, and 0.087, respectively), which was consistent with their position in the lower part of the predictability hierarchy. For S, the permutation test formally did not reach the </w:t>
      </w:r>
      <w:r>
        <w:rPr>
          <w:i/>
          <w:iCs/>
          <w:lang w:val="ru-RU"/>
        </w:rPr>
        <w:t>α</w:t>
      </w:r>
      <w:r>
        <w:rPr/>
        <w:t>=0.05 threshold.</w:t>
      </w:r>
    </w:p>
    <w:p>
      <w:pPr>
        <w:pStyle w:val="Normal"/>
        <w:spacing w:lineRule="auto" w:line="240"/>
        <w:jc w:val="start"/>
        <w:rPr>
          <w:rFonts w:ascii="Times New Roman" w:hAnsi="Times New Roman" w:eastAsia="Times New Roman"/>
          <w:color w:val="auto"/>
          <w:sz w:val="24"/>
          <w:szCs w:val="24"/>
          <w:lang w:val="ru-RU" w:eastAsia="ru-RU"/>
        </w:rPr>
      </w:pPr>
      <w:r>
        <w:rPr/>
        <w:drawing>
          <wp:inline distT="0" distB="0" distL="0" distR="0">
            <wp:extent cx="6773545" cy="3348990"/>
            <wp:effectExtent l="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
                    <pic:cNvPicPr>
                      <a:picLocks noChangeAspect="1" noChangeArrowheads="1"/>
                    </pic:cNvPicPr>
                  </pic:nvPicPr>
                  <pic:blipFill>
                    <a:blip r:embed="rId9"/>
                    <a:stretch>
                      <a:fillRect/>
                    </a:stretch>
                  </pic:blipFill>
                  <pic:spPr bwMode="auto">
                    <a:xfrm>
                      <a:off x="0" y="0"/>
                      <a:ext cx="6773545" cy="3348990"/>
                    </a:xfrm>
                    <a:prstGeom prst="rect">
                      <a:avLst/>
                    </a:prstGeom>
                    <a:noFill/>
                  </pic:spPr>
                </pic:pic>
              </a:graphicData>
            </a:graphic>
          </wp:inline>
        </w:drawing>
      </w:r>
    </w:p>
    <w:p>
      <w:pPr>
        <w:pStyle w:val="MDPI51figurecaption"/>
        <w:rPr>
          <w:b/>
          <w:szCs w:val="18"/>
        </w:rPr>
      </w:pPr>
      <w:r>
        <w:rPr>
          <w:b/>
          <w:szCs w:val="18"/>
        </w:rPr>
        <w:t xml:space="preserve">Figure 6. </w:t>
      </w:r>
      <w:r>
        <w:rPr>
          <w:bCs/>
          <w:szCs w:val="18"/>
        </w:rPr>
        <w:t>Bootstrap 95% confidence intervals (</w:t>
      </w:r>
      <w:r>
        <w:rPr>
          <w:bCs/>
          <w:i/>
          <w:szCs w:val="18"/>
        </w:rPr>
        <w:t>n</w:t>
      </w:r>
      <w:r>
        <w:rPr>
          <w:bCs/>
          <w:iCs/>
          <w:szCs w:val="18"/>
          <w:vertAlign w:val="subscript"/>
        </w:rPr>
        <w:t>boot</w:t>
      </w:r>
      <w:r>
        <w:rPr>
          <w:bCs/>
          <w:iCs/>
          <w:szCs w:val="18"/>
        </w:rPr>
        <w:t>=1000</w:t>
      </w:r>
      <w:r>
        <w:rPr>
          <w:bCs/>
          <w:szCs w:val="18"/>
        </w:rPr>
        <w:t xml:space="preserve">) for the key correlations reported in the paper. Red diamonds represent point estimates of </w:t>
      </w:r>
      <w:r>
        <w:rPr>
          <w:bCs/>
          <w:i/>
          <w:iCs/>
          <w:szCs w:val="18"/>
        </w:rPr>
        <w:t>ρ</w:t>
      </w:r>
      <w:r>
        <w:rPr>
          <w:bCs/>
          <w:szCs w:val="18"/>
        </w:rPr>
        <w:t>; blue bars represent 95% CIs. None of the CIs include zero.</w:t>
      </w:r>
    </w:p>
    <w:p>
      <w:pPr>
        <w:pStyle w:val="MDPI23heading3"/>
        <w:rPr/>
      </w:pPr>
      <w:r>
        <w:rPr/>
        <w:t xml:space="preserve">3.3.2. Effective sample size </w:t>
      </w:r>
      <w:r>
        <w:rPr>
          <w:i/>
          <w:iCs/>
        </w:rPr>
        <w:t>n</w:t>
      </w:r>
      <w:r>
        <w:rPr>
          <w:vertAlign w:val="subscript"/>
        </w:rPr>
        <w:t>eff</w:t>
      </w:r>
    </w:p>
    <w:p>
      <w:pPr>
        <w:pStyle w:val="MDPI31text"/>
        <w:rPr/>
      </w:pPr>
      <w:r>
        <w:rPr/>
        <w:t xml:space="preserve">Following Clifford’s method (Equation 3) and using Moran </w:t>
      </w:r>
      <w:r>
        <w:rPr>
          <w:i/>
          <w:iCs/>
        </w:rPr>
        <w:t>I</w:t>
      </w:r>
      <w:r>
        <w:rPr/>
        <w:t xml:space="preserve">, the </w:t>
      </w:r>
      <w:r>
        <w:rPr>
          <w:i/>
          <w:iCs/>
        </w:rPr>
        <w:t>n</w:t>
      </w:r>
      <w:r>
        <w:rPr>
          <w:vertAlign w:val="subscript"/>
        </w:rPr>
        <w:t xml:space="preserve">eff </w:t>
      </w:r>
      <w:r>
        <w:rPr/>
        <w:t>was calculated for each property (Table 10).</w:t>
      </w:r>
    </w:p>
    <w:p>
      <w:pPr>
        <w:pStyle w:val="MDPI31text"/>
        <w:spacing w:before="240" w:after="120"/>
        <w:ind w:hanging="0" w:start="2608"/>
        <w:rPr>
          <w:b/>
          <w:sz w:val="18"/>
          <w:szCs w:val="18"/>
        </w:rPr>
      </w:pPr>
      <w:r>
        <w:rPr>
          <w:b/>
          <w:sz w:val="18"/>
          <w:szCs w:val="18"/>
        </w:rPr>
        <w:t xml:space="preserve">Table 10. </w:t>
      </w:r>
      <w:r>
        <w:rPr>
          <w:bCs/>
          <w:sz w:val="18"/>
          <w:szCs w:val="18"/>
        </w:rPr>
        <w:t xml:space="preserve">Effective sample size </w:t>
      </w:r>
      <w:r>
        <w:rPr>
          <w:bCs/>
          <w:i/>
          <w:iCs/>
        </w:rPr>
        <w:t>n</w:t>
      </w:r>
      <w:r>
        <w:rPr>
          <w:bCs/>
          <w:vertAlign w:val="subscript"/>
        </w:rPr>
        <w:t>eff</w:t>
      </w:r>
      <w:r>
        <w:rPr>
          <w:bCs/>
          <w:sz w:val="18"/>
          <w:szCs w:val="18"/>
        </w:rPr>
        <w:t xml:space="preserve"> (Clifford’s approximation). The choice of </w:t>
      </w:r>
      <w:r>
        <w:rPr>
          <w:bCs/>
          <w:i/>
          <w:iCs/>
          <w:sz w:val="18"/>
          <w:szCs w:val="18"/>
        </w:rPr>
        <w:t>I</w:t>
      </w:r>
      <w:r>
        <w:rPr>
          <w:bCs/>
          <w:sz w:val="18"/>
          <w:szCs w:val="18"/>
        </w:rPr>
        <w:t xml:space="preserve"> for the calculation is based on an objective criterion |</w:t>
      </w:r>
      <w:r>
        <w:rPr>
          <w:bCs/>
          <w:i/>
          <w:iCs/>
          <w:sz w:val="18"/>
          <w:szCs w:val="18"/>
        </w:rPr>
        <w:t>Δ I</w:t>
      </w:r>
      <w:r>
        <w:rPr>
          <w:bCs/>
          <w:sz w:val="18"/>
          <w:szCs w:val="18"/>
        </w:rPr>
        <w:t>|: when |</w:t>
      </w:r>
      <w:r>
        <w:rPr>
          <w:bCs/>
          <w:i/>
          <w:iCs/>
          <w:sz w:val="18"/>
          <w:szCs w:val="18"/>
        </w:rPr>
        <w:t>Δ I</w:t>
      </w:r>
      <w:r>
        <w:rPr>
          <w:bCs/>
          <w:sz w:val="18"/>
          <w:szCs w:val="18"/>
        </w:rPr>
        <w:t xml:space="preserve">| &lt; 0.03, declustering does not alter </w:t>
      </w:r>
      <w:r>
        <w:rPr>
          <w:bCs/>
          <w:i/>
          <w:iCs/>
          <w:sz w:val="18"/>
          <w:szCs w:val="18"/>
        </w:rPr>
        <w:t>I</w:t>
      </w:r>
      <w:r>
        <w:rPr>
          <w:bCs/>
          <w:sz w:val="18"/>
          <w:szCs w:val="18"/>
        </w:rPr>
        <w:t xml:space="preserve">, and </w:t>
      </w:r>
      <w:r>
        <w:rPr>
          <w:bCs/>
          <w:i/>
          <w:iCs/>
          <w:sz w:val="18"/>
          <w:szCs w:val="18"/>
        </w:rPr>
        <w:t>I</w:t>
      </w:r>
      <w:r>
        <w:rPr>
          <w:bCs/>
          <w:sz w:val="18"/>
          <w:szCs w:val="18"/>
          <w:vertAlign w:val="subscript"/>
        </w:rPr>
        <w:t>sample</w:t>
      </w:r>
      <w:r>
        <w:rPr>
          <w:bCs/>
          <w:sz w:val="18"/>
          <w:szCs w:val="18"/>
        </w:rPr>
        <w:t xml:space="preserve"> is conservatively used; when |</w:t>
      </w:r>
      <w:r>
        <w:rPr>
          <w:bCs/>
          <w:i/>
          <w:iCs/>
          <w:sz w:val="18"/>
          <w:szCs w:val="18"/>
        </w:rPr>
        <w:t>Δ I</w:t>
      </w:r>
      <w:r>
        <w:rPr>
          <w:bCs/>
          <w:sz w:val="18"/>
          <w:szCs w:val="18"/>
        </w:rPr>
        <w:t xml:space="preserve">| &gt; 0.2, </w:t>
      </w:r>
      <w:r>
        <w:rPr>
          <w:bCs/>
          <w:i/>
          <w:iCs/>
          <w:sz w:val="18"/>
          <w:szCs w:val="18"/>
        </w:rPr>
        <w:t>I</w:t>
      </w:r>
      <w:r>
        <w:rPr>
          <w:bCs/>
          <w:sz w:val="18"/>
          <w:szCs w:val="18"/>
          <w:vertAlign w:val="subscript"/>
        </w:rPr>
        <w:t>sample</w:t>
      </w:r>
      <w:r>
        <w:rPr>
          <w:bCs/>
          <w:sz w:val="18"/>
          <w:szCs w:val="18"/>
        </w:rPr>
        <w:t xml:space="preserve"> is inflated by pseudoreplication, and </w:t>
      </w:r>
      <w:r>
        <w:rPr>
          <w:bCs/>
          <w:i/>
          <w:iCs/>
          <w:sz w:val="18"/>
          <w:szCs w:val="18"/>
        </w:rPr>
        <w:t>I</w:t>
      </w:r>
      <w:r>
        <w:rPr>
          <w:bCs/>
          <w:sz w:val="18"/>
          <w:szCs w:val="18"/>
          <w:vertAlign w:val="subscript"/>
        </w:rPr>
        <w:t>field</w:t>
      </w:r>
      <w:r>
        <w:rPr>
          <w:bCs/>
          <w:sz w:val="18"/>
          <w:szCs w:val="18"/>
        </w:rPr>
        <w:t xml:space="preserve"> is more appropriate.</w:t>
      </w:r>
    </w:p>
    <w:tbl>
      <w:tblPr>
        <w:tblStyle w:val="Table"/>
        <w:tblW w:w="9086" w:type="dxa"/>
        <w:jc w:val="start"/>
        <w:tblInd w:w="1386" w:type="dxa"/>
        <w:tblLayout w:type="fixed"/>
        <w:tblCellMar>
          <w:top w:w="0" w:type="dxa"/>
          <w:start w:w="108" w:type="dxa"/>
          <w:bottom w:w="0" w:type="dxa"/>
          <w:end w:w="108" w:type="dxa"/>
        </w:tblCellMar>
        <w:tblLook w:firstRow="1" w:noVBand="0" w:lastRow="0" w:firstColumn="0" w:lastColumn="0" w:noHBand="0" w:val="0020"/>
      </w:tblPr>
      <w:tblGrid>
        <w:gridCol w:w="1298"/>
        <w:gridCol w:w="1285"/>
        <w:gridCol w:w="1311"/>
        <w:gridCol w:w="1297"/>
        <w:gridCol w:w="1299"/>
        <w:gridCol w:w="1297"/>
        <w:gridCol w:w="1299"/>
      </w:tblGrid>
      <w:tr>
        <w:trPr>
          <w:tblHeader w:val="true"/>
          <w:trHeight w:val="714" w:hRule="atLeast"/>
          <w:cnfStyle w:val="100000000000" w:firstRow="1" w:lastRow="0" w:firstColumn="0" w:lastColumn="0" w:oddVBand="0" w:evenVBand="0" w:oddHBand="0" w:evenHBand="0" w:firstRowFirstColumn="0" w:firstRowLastColumn="0" w:lastRowFirstColumn="0" w:lastRowLastColumn="0"/>
        </w:trPr>
        <w:tc>
          <w:tcPr>
            <w:tcW w:w="1298"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ru-RU" w:bidi="ar-SA"/>
              </w:rPr>
              <w:t>Property</w:t>
            </w:r>
          </w:p>
        </w:tc>
        <w:tc>
          <w:tcPr>
            <w:tcW w:w="1285"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lang w:val="en-US"/>
              </w:rPr>
            </w:pPr>
            <w:r>
              <w:rPr>
                <w:rFonts w:eastAsia="Cambria" w:ascii="Palatino Linotype" w:hAnsi="Palatino Linotype"/>
                <w:b/>
                <w:bCs/>
                <w:i/>
                <w:iCs/>
                <w:kern w:val="0"/>
                <w:sz w:val="18"/>
                <w:szCs w:val="18"/>
                <w:lang w:val="ru-RU" w:bidi="ar-SA"/>
              </w:rPr>
              <w:t>I</w:t>
            </w:r>
            <w:r>
              <w:rPr>
                <w:rFonts w:eastAsia="Cambria" w:ascii="Palatino Linotype" w:hAnsi="Palatino Linotype"/>
                <w:b/>
                <w:bCs/>
                <w:kern w:val="0"/>
                <w:sz w:val="18"/>
                <w:szCs w:val="18"/>
                <w:vertAlign w:val="subscript"/>
                <w:lang w:val="en-US" w:bidi="ar-SA"/>
              </w:rPr>
              <w:t>sample</w:t>
            </w:r>
          </w:p>
        </w:tc>
        <w:tc>
          <w:tcPr>
            <w:tcW w:w="1311" w:type="dxa"/>
            <w:tcBorders>
              <w:top w:val="single" w:sz="4" w:space="0" w:color="000000"/>
              <w:bottom w:val="single" w:sz="6" w:space="0" w:color="000000"/>
            </w:tcBorders>
            <w:vAlign w:val="bottom"/>
          </w:tcPr>
          <w:p>
            <w:pPr>
              <w:pStyle w:val="Compact"/>
              <w:widowControl/>
              <w:suppressAutoHyphens w:val="true"/>
              <w:spacing w:before="36" w:after="36"/>
              <w:jc w:val="start"/>
              <w:rPr>
                <w:rFonts w:ascii="Palatino Linotype" w:hAnsi="Palatino Linotype" w:eastAsia="Cambria"/>
                <w:b/>
                <w:bCs/>
                <w:sz w:val="18"/>
                <w:szCs w:val="18"/>
              </w:rPr>
            </w:pPr>
            <w:r>
              <w:rPr>
                <w:kern w:val="0"/>
                <w:lang w:val="ru-RU" w:bidi="ar-SA"/>
              </w:rPr>
            </w:r>
            <m:oMathPara xmlns:m="http://schemas.openxmlformats.org/officeDocument/2006/math">
              <m:oMathParaPr>
                <m:jc m:val="left"/>
              </m:oMathParaPr>
              <m:oMath>
                <m:sSubSup>
                  <m:e>
                    <m:r>
                      <m:t xml:space="preserve">n</m:t>
                    </m:r>
                  </m:e>
                  <m:sub>
                    <m:r>
                      <m:rPr>
                        <m:lit/>
                        <m:nor/>
                      </m:rPr>
                      <m:t xml:space="preserve">eff</m:t>
                    </m:r>
                  </m:sub>
                  <m:sup>
                    <m:r>
                      <m:rPr>
                        <m:lit/>
                        <m:nor/>
                      </m:rPr>
                      <m:t xml:space="preserve">sample</m:t>
                    </m:r>
                  </m:sup>
                </m:sSubSup>
              </m:oMath>
            </m:oMathPara>
          </w:p>
        </w:tc>
        <w:tc>
          <w:tcPr>
            <w:tcW w:w="1297"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lang w:val="en-US"/>
              </w:rPr>
            </w:pPr>
            <w:r>
              <w:rPr>
                <w:rFonts w:eastAsia="Cambria" w:ascii="Palatino Linotype" w:hAnsi="Palatino Linotype"/>
                <w:b/>
                <w:bCs/>
                <w:i/>
                <w:iCs/>
                <w:kern w:val="0"/>
                <w:sz w:val="18"/>
                <w:szCs w:val="18"/>
                <w:lang w:val="ru-RU" w:bidi="ar-SA"/>
              </w:rPr>
              <w:t>I</w:t>
            </w:r>
            <w:r>
              <w:rPr>
                <w:rFonts w:eastAsia="Cambria" w:ascii="Palatino Linotype" w:hAnsi="Palatino Linotype"/>
                <w:b/>
                <w:bCs/>
                <w:kern w:val="0"/>
                <w:sz w:val="18"/>
                <w:szCs w:val="18"/>
                <w:vertAlign w:val="subscript"/>
                <w:lang w:val="en-US" w:bidi="ar-SA"/>
              </w:rPr>
              <w:t>field</w:t>
            </w:r>
          </w:p>
        </w:tc>
        <w:tc>
          <w:tcPr>
            <w:tcW w:w="1299" w:type="dxa"/>
            <w:tcBorders>
              <w:top w:val="single" w:sz="4" w:space="0" w:color="000000"/>
              <w:bottom w:val="single" w:sz="6" w:space="0" w:color="000000"/>
            </w:tcBorders>
            <w:vAlign w:val="bottom"/>
          </w:tcPr>
          <w:p>
            <w:pPr>
              <w:pStyle w:val="Compact"/>
              <w:widowControl/>
              <w:suppressAutoHyphens w:val="true"/>
              <w:spacing w:before="36" w:after="36"/>
              <w:jc w:val="start"/>
              <w:rPr>
                <w:rFonts w:ascii="Palatino Linotype" w:hAnsi="Palatino Linotype" w:eastAsia="Cambria"/>
                <w:b/>
                <w:bCs/>
                <w:sz w:val="18"/>
                <w:szCs w:val="18"/>
              </w:rPr>
            </w:pPr>
            <w:r>
              <w:rPr>
                <w:kern w:val="0"/>
                <w:lang w:val="ru-RU" w:bidi="ar-SA"/>
              </w:rPr>
            </w:r>
            <m:oMathPara xmlns:m="http://schemas.openxmlformats.org/officeDocument/2006/math">
              <m:oMathParaPr>
                <m:jc m:val="left"/>
              </m:oMathParaPr>
              <m:oMath>
                <m:sSubSup>
                  <m:e>
                    <m:r>
                      <m:t xml:space="preserve">n</m:t>
                    </m:r>
                  </m:e>
                  <m:sub>
                    <m:r>
                      <m:rPr>
                        <m:lit/>
                        <m:nor/>
                      </m:rPr>
                      <m:t xml:space="preserve">eff</m:t>
                    </m:r>
                  </m:sub>
                  <m:sup>
                    <m:r>
                      <m:rPr>
                        <m:lit/>
                        <m:nor/>
                      </m:rPr>
                      <m:t xml:space="preserve">field</m:t>
                    </m:r>
                  </m:sup>
                </m:sSubSup>
              </m:oMath>
            </m:oMathPara>
          </w:p>
        </w:tc>
        <w:tc>
          <w:tcPr>
            <w:tcW w:w="1297"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lang w:val="en-US"/>
              </w:rPr>
            </w:pPr>
            <w:r>
              <w:rPr>
                <w:rFonts w:eastAsia="Cambria" w:ascii="Palatino Linotype" w:hAnsi="Palatino Linotype"/>
                <w:b/>
                <w:bCs/>
                <w:kern w:val="0"/>
                <w:sz w:val="18"/>
                <w:szCs w:val="18"/>
                <w:lang w:val="en-US" w:bidi="ar-SA"/>
              </w:rPr>
              <w:t>Ratio</w:t>
            </w:r>
          </w:p>
        </w:tc>
        <w:tc>
          <w:tcPr>
            <w:tcW w:w="1299" w:type="dxa"/>
            <w:tcBorders>
              <w:top w:val="single" w:sz="4" w:space="0" w:color="000000"/>
              <w:bottom w:val="single" w:sz="6" w:space="0" w:color="000000"/>
            </w:tcBorders>
            <w:vAlign w:val="bottom"/>
          </w:tcPr>
          <w:p>
            <w:pPr>
              <w:pStyle w:val="Compact"/>
              <w:widowControl/>
              <w:suppressAutoHyphens w:val="true"/>
              <w:spacing w:before="36" w:after="36"/>
              <w:jc w:val="both"/>
              <w:rPr>
                <w:rFonts w:ascii="Palatino Linotype" w:hAnsi="Palatino Linotype" w:eastAsia="Cambria"/>
                <w:b/>
                <w:bCs/>
                <w:sz w:val="18"/>
                <w:szCs w:val="18"/>
              </w:rPr>
            </w:pPr>
            <w:r>
              <w:rPr>
                <w:rFonts w:eastAsia="Cambria" w:ascii="Palatino Linotype" w:hAnsi="Palatino Linotype"/>
                <w:b/>
                <w:bCs/>
                <w:kern w:val="0"/>
                <w:sz w:val="18"/>
                <w:szCs w:val="18"/>
                <w:lang w:val="en-US" w:bidi="ar-SA"/>
              </w:rPr>
              <w:t>Used</w:t>
            </w:r>
            <w:r>
              <w:rPr>
                <w:rFonts w:eastAsia="Cambria" w:ascii="Palatino Linotype" w:hAnsi="Palatino Linotype"/>
                <w:b/>
                <w:bCs/>
                <w:kern w:val="0"/>
                <w:sz w:val="18"/>
                <w:szCs w:val="18"/>
                <w:lang w:val="ru-RU" w:bidi="ar-SA"/>
              </w:rPr>
              <w:t xml:space="preserve"> </w:t>
            </w:r>
            <w:r>
              <w:rPr>
                <w:rFonts w:eastAsia="Cambria" w:ascii="Palatino Linotype" w:hAnsi="Palatino Linotype"/>
                <w:b/>
                <w:bCs/>
                <w:i/>
                <w:iCs/>
                <w:kern w:val="0"/>
                <w:sz w:val="18"/>
                <w:szCs w:val="18"/>
                <w:lang w:val="ru-RU" w:bidi="ar-SA"/>
              </w:rPr>
              <w:t>I</w:t>
            </w:r>
            <w:r>
              <w:rPr>
                <w:kern w:val="0"/>
                <w:lang w:val="ru-RU" w:bidi="ar-SA"/>
              </w:rPr>
            </w:r>
            <m:oMath xmlns:m="http://schemas.openxmlformats.org/officeDocument/2006/math">
              <m:r>
                <m:rPr>
                  <m:lit/>
                  <m:nor/>
                </m:rPr>
                <m:t xml:space="preserve"> </m:t>
              </m:r>
            </m:oMath>
          </w:p>
        </w:tc>
      </w:tr>
      <w:tr>
        <w:trPr>
          <w:trHeight w:val="394" w:hRule="atLeast"/>
        </w:trPr>
        <w:tc>
          <w:tcPr>
            <w:tcW w:w="129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pH</w:t>
            </w:r>
          </w:p>
        </w:tc>
        <w:tc>
          <w:tcPr>
            <w:tcW w:w="128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0.861</w:t>
            </w:r>
          </w:p>
        </w:tc>
        <w:tc>
          <w:tcPr>
            <w:tcW w:w="1311"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81</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0.838</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96</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1.2×</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i/>
                <w:iCs/>
                <w:kern w:val="0"/>
                <w:sz w:val="18"/>
                <w:szCs w:val="18"/>
                <w:lang w:val="ru-RU" w:bidi="ar-SA"/>
              </w:rPr>
              <w:t>I</w:t>
            </w:r>
            <w:r>
              <w:rPr>
                <w:rFonts w:eastAsia="Cambria" w:ascii="Palatino Linotype" w:hAnsi="Palatino Linotype"/>
                <w:kern w:val="0"/>
                <w:sz w:val="18"/>
                <w:szCs w:val="18"/>
                <w:vertAlign w:val="subscript"/>
                <w:lang w:val="en-US" w:bidi="ar-SA"/>
              </w:rPr>
              <w:t>sample</w:t>
            </w:r>
            <w:r>
              <w:rPr>
                <w:rFonts w:eastAsia="Cambria" w:ascii="Palatino Linotype" w:hAnsi="Palatino Linotype"/>
                <w:kern w:val="0"/>
                <w:sz w:val="18"/>
                <w:szCs w:val="18"/>
                <w:vertAlign w:val="superscript"/>
                <w:lang w:val="ru-RU" w:bidi="ar-SA"/>
              </w:rPr>
              <w:t>a</w:t>
            </w:r>
          </w:p>
        </w:tc>
      </w:tr>
      <w:tr>
        <w:trPr>
          <w:trHeight w:val="394" w:hRule="atLeast"/>
        </w:trPr>
        <w:tc>
          <w:tcPr>
            <w:tcW w:w="129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128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0.684</w:t>
            </w:r>
          </w:p>
        </w:tc>
        <w:tc>
          <w:tcPr>
            <w:tcW w:w="1311"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204</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0.695</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195</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1.0×</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i/>
                <w:iCs/>
                <w:kern w:val="0"/>
                <w:sz w:val="18"/>
                <w:szCs w:val="18"/>
                <w:lang w:val="ru-RU" w:bidi="ar-SA"/>
              </w:rPr>
              <w:t>I</w:t>
            </w:r>
            <w:r>
              <w:rPr>
                <w:rFonts w:eastAsia="Cambria" w:ascii="Palatino Linotype" w:hAnsi="Palatino Linotype"/>
                <w:kern w:val="0"/>
                <w:sz w:val="18"/>
                <w:szCs w:val="18"/>
                <w:vertAlign w:val="subscript"/>
                <w:lang w:val="en-US" w:bidi="ar-SA"/>
              </w:rPr>
              <w:t>sample</w:t>
            </w:r>
            <w:r>
              <w:rPr>
                <w:rFonts w:eastAsia="Cambria" w:ascii="Palatino Linotype" w:hAnsi="Palatino Linotype"/>
                <w:kern w:val="0"/>
                <w:sz w:val="18"/>
                <w:szCs w:val="18"/>
                <w:vertAlign w:val="superscript"/>
                <w:lang w:val="ru-RU" w:bidi="ar-SA"/>
              </w:rPr>
              <w:t>a</w:t>
            </w:r>
          </w:p>
        </w:tc>
      </w:tr>
      <w:tr>
        <w:trPr>
          <w:trHeight w:val="381" w:hRule="atLeast"/>
        </w:trPr>
        <w:tc>
          <w:tcPr>
            <w:tcW w:w="129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128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0.628</w:t>
            </w:r>
          </w:p>
        </w:tc>
        <w:tc>
          <w:tcPr>
            <w:tcW w:w="1311"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248</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0.373</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495</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2.0×</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i/>
                <w:iCs/>
                <w:kern w:val="0"/>
                <w:sz w:val="18"/>
                <w:szCs w:val="18"/>
                <w:lang w:val="ru-RU" w:bidi="ar-SA"/>
              </w:rPr>
              <w:t>I</w:t>
            </w:r>
            <w:r>
              <w:rPr>
                <w:rFonts w:eastAsia="Cambria" w:ascii="Palatino Linotype" w:hAnsi="Palatino Linotype"/>
                <w:kern w:val="0"/>
                <w:sz w:val="18"/>
                <w:szCs w:val="18"/>
                <w:vertAlign w:val="subscript"/>
                <w:lang w:val="en-US" w:bidi="ar-SA"/>
              </w:rPr>
              <w:t>field</w:t>
            </w:r>
            <w:r>
              <w:rPr>
                <w:rFonts w:eastAsia="Cambria" w:ascii="Palatino Linotype" w:hAnsi="Palatino Linotype"/>
                <w:kern w:val="0"/>
                <w:sz w:val="18"/>
                <w:szCs w:val="18"/>
                <w:vertAlign w:val="superscript"/>
                <w:lang w:val="ru-RU" w:bidi="ar-SA"/>
              </w:rPr>
              <w:t>b</w:t>
            </w:r>
          </w:p>
        </w:tc>
      </w:tr>
      <w:tr>
        <w:trPr>
          <w:trHeight w:val="394" w:hRule="atLeast"/>
        </w:trPr>
        <w:tc>
          <w:tcPr>
            <w:tcW w:w="129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128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0.676</w:t>
            </w:r>
          </w:p>
        </w:tc>
        <w:tc>
          <w:tcPr>
            <w:tcW w:w="1311"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210</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0.418</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445</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2.1×</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i/>
                <w:iCs/>
                <w:kern w:val="0"/>
                <w:sz w:val="18"/>
                <w:szCs w:val="18"/>
                <w:lang w:val="ru-RU" w:bidi="ar-SA"/>
              </w:rPr>
              <w:t>I</w:t>
            </w:r>
            <w:r>
              <w:rPr>
                <w:rFonts w:eastAsia="Cambria" w:ascii="Palatino Linotype" w:hAnsi="Palatino Linotype"/>
                <w:kern w:val="0"/>
                <w:sz w:val="18"/>
                <w:szCs w:val="18"/>
                <w:vertAlign w:val="subscript"/>
                <w:lang w:val="en-US" w:bidi="ar-SA"/>
              </w:rPr>
              <w:t>field</w:t>
            </w:r>
            <w:r>
              <w:rPr>
                <w:rFonts w:eastAsia="Cambria" w:ascii="Palatino Linotype" w:hAnsi="Palatino Linotype"/>
                <w:kern w:val="0"/>
                <w:sz w:val="18"/>
                <w:szCs w:val="18"/>
                <w:vertAlign w:val="superscript"/>
                <w:lang w:val="ru-RU" w:bidi="ar-SA"/>
              </w:rPr>
              <w:t>b</w:t>
            </w:r>
          </w:p>
        </w:tc>
      </w:tr>
      <w:tr>
        <w:trPr>
          <w:trHeight w:val="394" w:hRule="atLeast"/>
        </w:trPr>
        <w:tc>
          <w:tcPr>
            <w:tcW w:w="1298"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1285"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0.510</w:t>
            </w:r>
          </w:p>
        </w:tc>
        <w:tc>
          <w:tcPr>
            <w:tcW w:w="1311"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352</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0.500</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362</w:t>
            </w:r>
          </w:p>
        </w:tc>
        <w:tc>
          <w:tcPr>
            <w:tcW w:w="1297"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1.0×</w:t>
            </w:r>
          </w:p>
        </w:tc>
        <w:tc>
          <w:tcPr>
            <w:tcW w:w="1299" w:type="dxa"/>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i/>
                <w:iCs/>
                <w:kern w:val="0"/>
                <w:sz w:val="18"/>
                <w:szCs w:val="18"/>
                <w:lang w:val="ru-RU" w:bidi="ar-SA"/>
              </w:rPr>
              <w:t>I</w:t>
            </w:r>
            <w:r>
              <w:rPr>
                <w:rFonts w:eastAsia="Cambria" w:ascii="Palatino Linotype" w:hAnsi="Palatino Linotype"/>
                <w:kern w:val="0"/>
                <w:sz w:val="18"/>
                <w:szCs w:val="18"/>
                <w:vertAlign w:val="subscript"/>
                <w:lang w:val="en-US" w:bidi="ar-SA"/>
              </w:rPr>
              <w:t>sample</w:t>
            </w:r>
            <w:r>
              <w:rPr>
                <w:rFonts w:eastAsia="Cambria" w:ascii="Palatino Linotype" w:hAnsi="Palatino Linotype"/>
                <w:kern w:val="0"/>
                <w:sz w:val="18"/>
                <w:szCs w:val="18"/>
                <w:vertAlign w:val="superscript"/>
                <w:lang w:val="ru-RU" w:bidi="ar-SA"/>
              </w:rPr>
              <w:t>a</w:t>
            </w:r>
          </w:p>
        </w:tc>
      </w:tr>
      <w:tr>
        <w:trPr>
          <w:trHeight w:val="394" w:hRule="atLeast"/>
        </w:trPr>
        <w:tc>
          <w:tcPr>
            <w:tcW w:w="1298"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1285"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0.767</w:t>
            </w:r>
          </w:p>
        </w:tc>
        <w:tc>
          <w:tcPr>
            <w:tcW w:w="1311"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143</w:t>
            </w:r>
          </w:p>
        </w:tc>
        <w:tc>
          <w:tcPr>
            <w:tcW w:w="1297"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0.150</w:t>
            </w:r>
          </w:p>
        </w:tc>
        <w:tc>
          <w:tcPr>
            <w:tcW w:w="1299"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802</w:t>
            </w:r>
          </w:p>
        </w:tc>
        <w:tc>
          <w:tcPr>
            <w:tcW w:w="1297"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kern w:val="0"/>
                <w:sz w:val="18"/>
                <w:szCs w:val="18"/>
                <w:lang w:val="ru-RU" w:bidi="ar-SA"/>
              </w:rPr>
              <w:t>5.6×</w:t>
            </w:r>
          </w:p>
        </w:tc>
        <w:tc>
          <w:tcPr>
            <w:tcW w:w="1299" w:type="dxa"/>
            <w:tcBorders>
              <w:bottom w:val="single" w:sz="4" w:space="0" w:color="000000"/>
            </w:tcBorders>
          </w:tcPr>
          <w:p>
            <w:pPr>
              <w:pStyle w:val="Compact"/>
              <w:widowControl/>
              <w:suppressAutoHyphens w:val="true"/>
              <w:spacing w:before="36" w:after="36"/>
              <w:jc w:val="both"/>
              <w:rPr>
                <w:rFonts w:ascii="Palatino Linotype" w:hAnsi="Palatino Linotype" w:eastAsia="Cambria"/>
                <w:sz w:val="18"/>
                <w:szCs w:val="18"/>
              </w:rPr>
            </w:pPr>
            <w:r>
              <w:rPr>
                <w:rFonts w:eastAsia="Cambria" w:ascii="Palatino Linotype" w:hAnsi="Palatino Linotype"/>
                <w:i/>
                <w:iCs/>
                <w:kern w:val="0"/>
                <w:sz w:val="18"/>
                <w:szCs w:val="18"/>
                <w:lang w:val="ru-RU" w:bidi="ar-SA"/>
              </w:rPr>
              <w:t>I</w:t>
            </w:r>
            <w:r>
              <w:rPr>
                <w:rFonts w:eastAsia="Cambria" w:ascii="Palatino Linotype" w:hAnsi="Palatino Linotype"/>
                <w:kern w:val="0"/>
                <w:sz w:val="18"/>
                <w:szCs w:val="18"/>
                <w:vertAlign w:val="subscript"/>
                <w:lang w:val="en-US" w:bidi="ar-SA"/>
              </w:rPr>
              <w:t>field</w:t>
            </w:r>
            <w:r>
              <w:rPr>
                <w:rFonts w:eastAsia="Cambria" w:ascii="Palatino Linotype" w:hAnsi="Palatino Linotype"/>
                <w:kern w:val="0"/>
                <w:sz w:val="18"/>
                <w:szCs w:val="18"/>
                <w:vertAlign w:val="superscript"/>
                <w:lang w:val="ru-RU" w:bidi="ar-SA"/>
              </w:rPr>
              <w:t>b</w:t>
            </w:r>
          </w:p>
        </w:tc>
      </w:tr>
    </w:tbl>
    <w:p>
      <w:pPr>
        <w:pStyle w:val="MDPI43tablefooter"/>
        <w:rPr>
          <w:iCs/>
          <w:szCs w:val="18"/>
        </w:rPr>
      </w:pPr>
      <w:r>
        <w:rPr>
          <w:iCs/>
          <w:szCs w:val="18"/>
          <w:vertAlign w:val="superscript"/>
        </w:rPr>
        <w:t>a</w:t>
      </w:r>
      <w:r>
        <w:rPr>
          <w:iCs/>
          <w:szCs w:val="18"/>
        </w:rPr>
        <w:t>|</w:t>
      </w:r>
      <w:r>
        <w:rPr>
          <w:iCs/>
          <w:szCs w:val="18"/>
          <w:lang w:val="ru-RU"/>
        </w:rPr>
        <w:t>Δ</w:t>
      </w:r>
      <w:r>
        <w:rPr>
          <w:iCs/>
          <w:szCs w:val="18"/>
        </w:rPr>
        <w:t>I</w:t>
      </w:r>
      <w:r>
        <w:rPr>
          <w:bCs/>
          <w:szCs w:val="18"/>
        </w:rPr>
        <w:t>|</w:t>
      </w:r>
      <w:r>
        <w:rPr>
          <w:iCs/>
          <w:szCs w:val="18"/>
        </w:rPr>
        <w:t xml:space="preserve"> &lt; 0.03: Declustering does not alter </w:t>
      </w:r>
      <w:r>
        <w:rPr>
          <w:i/>
          <w:szCs w:val="18"/>
        </w:rPr>
        <w:t>I</w:t>
      </w:r>
      <w:r>
        <w:rPr>
          <w:iCs/>
          <w:szCs w:val="18"/>
        </w:rPr>
        <w:t xml:space="preserve"> </w:t>
      </w:r>
      <w:r>
        <w:rPr>
          <w:rFonts w:cs="Times New Roman" w:ascii="Times New Roman" w:hAnsi="Times New Roman"/>
          <w:iCs/>
          <w:szCs w:val="18"/>
        </w:rPr>
        <w:t>→</w:t>
      </w:r>
      <w:r>
        <w:rPr>
          <w:iCs/>
          <w:szCs w:val="18"/>
        </w:rPr>
        <w:t xml:space="preserve"> conservative estimate based on </w:t>
      </w:r>
      <w:r>
        <w:rPr>
          <w:i/>
          <w:iCs/>
          <w:szCs w:val="18"/>
        </w:rPr>
        <w:t>I</w:t>
      </w:r>
      <w:r>
        <w:rPr>
          <w:iCs/>
          <w:szCs w:val="18"/>
          <w:vertAlign w:val="subscript"/>
        </w:rPr>
        <w:t>sample</w:t>
      </w:r>
      <w:r>
        <w:rPr>
          <w:iCs/>
          <w:szCs w:val="18"/>
        </w:rPr>
        <w:t>.</w:t>
      </w:r>
    </w:p>
    <w:p>
      <w:pPr>
        <w:pStyle w:val="MDPI31text"/>
        <w:spacing w:before="0" w:after="120"/>
        <w:ind w:hanging="0" w:start="2608"/>
        <w:rPr>
          <w:iCs/>
          <w:sz w:val="18"/>
          <w:szCs w:val="18"/>
        </w:rPr>
      </w:pPr>
      <w:r>
        <w:rPr>
          <w:iCs/>
          <w:sz w:val="18"/>
          <w:szCs w:val="18"/>
          <w:vertAlign w:val="superscript"/>
        </w:rPr>
        <w:t>b</w:t>
      </w:r>
      <w:r>
        <w:rPr>
          <w:iCs/>
          <w:sz w:val="18"/>
          <w:szCs w:val="18"/>
        </w:rPr>
        <w:t>|</w:t>
      </w:r>
      <w:r>
        <w:rPr>
          <w:iCs/>
          <w:sz w:val="18"/>
          <w:szCs w:val="18"/>
          <w:lang w:val="ru-RU"/>
        </w:rPr>
        <w:t>Δ</w:t>
      </w:r>
      <w:r>
        <w:rPr>
          <w:iCs/>
          <w:sz w:val="18"/>
          <w:szCs w:val="18"/>
        </w:rPr>
        <w:t>I</w:t>
      </w:r>
      <w:r>
        <w:rPr>
          <w:bCs/>
          <w:sz w:val="18"/>
          <w:szCs w:val="18"/>
        </w:rPr>
        <w:t>|</w:t>
      </w:r>
      <w:r>
        <w:rPr>
          <w:iCs/>
          <w:sz w:val="18"/>
          <w:szCs w:val="18"/>
        </w:rPr>
        <w:t xml:space="preserve"> &gt; 0.2 : </w:t>
      </w:r>
      <w:r>
        <w:rPr>
          <w:i/>
          <w:sz w:val="18"/>
          <w:szCs w:val="18"/>
        </w:rPr>
        <w:t>I</w:t>
      </w:r>
      <w:r>
        <w:rPr>
          <w:rFonts w:cs="Palatino Linotype"/>
          <w:i/>
          <w:sz w:val="18"/>
          <w:szCs w:val="18"/>
          <w:vertAlign w:val="subscript"/>
        </w:rPr>
        <w:t>sample</w:t>
      </w:r>
      <w:r>
        <w:rPr>
          <w:iCs/>
          <w:sz w:val="18"/>
          <w:szCs w:val="18"/>
          <w:vertAlign w:val="subscript"/>
        </w:rPr>
        <w:t xml:space="preserve"> </w:t>
      </w:r>
      <w:r>
        <w:rPr>
          <w:iCs/>
          <w:sz w:val="18"/>
          <w:szCs w:val="18"/>
        </w:rPr>
        <w:t xml:space="preserve">is inflated by pseudoreplication </w:t>
      </w:r>
      <w:r>
        <w:rPr>
          <w:rFonts w:ascii="Times New Roman" w:hAnsi="Times New Roman"/>
          <w:iCs/>
          <w:sz w:val="18"/>
          <w:szCs w:val="18"/>
        </w:rPr>
        <w:t>→</w:t>
      </w:r>
      <w:r>
        <w:rPr>
          <w:iCs/>
          <w:sz w:val="18"/>
          <w:szCs w:val="18"/>
        </w:rPr>
        <w:t xml:space="preserve"> </w:t>
      </w:r>
      <w:r>
        <w:rPr>
          <w:i/>
          <w:iCs/>
          <w:sz w:val="18"/>
          <w:szCs w:val="18"/>
        </w:rPr>
        <w:t>I</w:t>
      </w:r>
      <w:r>
        <w:rPr>
          <w:iCs/>
          <w:sz w:val="18"/>
          <w:szCs w:val="18"/>
          <w:vertAlign w:val="subscript"/>
        </w:rPr>
        <w:t xml:space="preserve">field </w:t>
      </w:r>
      <w:r>
        <w:rPr>
          <w:rFonts w:cs="Palatino Linotype"/>
          <w:iCs/>
          <w:sz w:val="18"/>
          <w:szCs w:val="18"/>
        </w:rPr>
        <w:t>is more appropriate</w:t>
      </w:r>
      <w:r>
        <w:rPr>
          <w:iCs/>
          <w:sz w:val="18"/>
          <w:szCs w:val="18"/>
        </w:rPr>
        <w:t>.</w:t>
      </w:r>
    </w:p>
    <w:p>
      <w:pPr>
        <w:pStyle w:val="MDPI31text"/>
        <w:rPr>
          <w:szCs w:val="20"/>
        </w:rPr>
      </w:pPr>
      <w:r>
        <w:rPr>
          <w:szCs w:val="20"/>
        </w:rPr>
        <w:t xml:space="preserve">For properties with </w:t>
      </w:r>
      <w:r>
        <w:rPr>
          <w:iCs/>
          <w:szCs w:val="20"/>
        </w:rPr>
        <w:t>|</w:t>
      </w:r>
      <w:r>
        <w:rPr>
          <w:i/>
          <w:szCs w:val="20"/>
          <w:lang w:val="ru-RU"/>
        </w:rPr>
        <w:t>Δ</w:t>
      </w:r>
      <w:r>
        <w:rPr>
          <w:i/>
          <w:szCs w:val="20"/>
        </w:rPr>
        <w:t>I</w:t>
      </w:r>
      <w:r>
        <w:rPr>
          <w:iCs/>
          <w:szCs w:val="20"/>
        </w:rPr>
        <w:t>| &lt; 0.03 (</w:t>
      </w:r>
      <w:r>
        <w:rPr>
          <w:szCs w:val="20"/>
        </w:rPr>
        <w:t>pH, SOC, K</w:t>
      </w:r>
      <w:r>
        <w:rPr>
          <w:szCs w:val="20"/>
          <w:vertAlign w:val="subscript"/>
        </w:rPr>
        <w:t>2</w:t>
      </w:r>
      <w:r>
        <w:rPr>
          <w:szCs w:val="20"/>
        </w:rPr>
        <w:t xml:space="preserve">O), declustering practically did not alter </w:t>
      </w:r>
      <w:r>
        <w:rPr>
          <w:i/>
          <w:iCs/>
          <w:szCs w:val="20"/>
        </w:rPr>
        <w:t>I</w:t>
      </w:r>
      <w:r>
        <w:rPr>
          <w:szCs w:val="20"/>
        </w:rPr>
        <w:t xml:space="preserve">, and a conservative estimate of </w:t>
      </w:r>
      <w:r>
        <w:rPr>
          <w:i/>
          <w:iCs/>
          <w:szCs w:val="20"/>
        </w:rPr>
        <w:t>n</w:t>
      </w:r>
      <w:r>
        <w:rPr>
          <w:szCs w:val="20"/>
          <w:vertAlign w:val="subscript"/>
        </w:rPr>
        <w:t>eff</w:t>
      </w:r>
      <w:r>
        <w:rPr>
          <w:szCs w:val="20"/>
        </w:rPr>
        <w:t xml:space="preserve"> based on </w:t>
      </w:r>
      <w:r>
        <w:rPr>
          <w:i/>
          <w:iCs/>
          <w:szCs w:val="20"/>
        </w:rPr>
        <w:t>I</w:t>
      </w:r>
      <w:r>
        <w:rPr>
          <w:iCs/>
          <w:szCs w:val="20"/>
          <w:vertAlign w:val="subscript"/>
        </w:rPr>
        <w:t>sample</w:t>
      </w:r>
      <w:r>
        <w:rPr>
          <w:szCs w:val="20"/>
        </w:rPr>
        <w:t xml:space="preserve"> was justified. For NO</w:t>
      </w:r>
      <w:r>
        <w:rPr>
          <w:szCs w:val="20"/>
          <w:vertAlign w:val="subscript"/>
        </w:rPr>
        <w:t>3</w:t>
      </w:r>
      <w:r>
        <w:rPr>
          <w:szCs w:val="20"/>
        </w:rPr>
        <w:t>, P</w:t>
      </w:r>
      <w:r>
        <w:rPr>
          <w:szCs w:val="20"/>
          <w:vertAlign w:val="subscript"/>
        </w:rPr>
        <w:t>2</w:t>
      </w:r>
      <w:r>
        <w:rPr>
          <w:szCs w:val="20"/>
        </w:rPr>
        <w:t>O</w:t>
      </w:r>
      <w:r>
        <w:rPr>
          <w:szCs w:val="20"/>
          <w:vertAlign w:val="subscript"/>
        </w:rPr>
        <w:t>5</w:t>
      </w:r>
      <w:r>
        <w:rPr>
          <w:szCs w:val="20"/>
        </w:rPr>
        <w:t>, and especially S (</w:t>
      </w:r>
      <w:r>
        <w:rPr>
          <w:iCs/>
          <w:szCs w:val="20"/>
        </w:rPr>
        <w:t>|</w:t>
      </w:r>
      <w:r>
        <w:rPr>
          <w:i/>
          <w:szCs w:val="20"/>
          <w:lang w:val="ru-RU"/>
        </w:rPr>
        <w:t>Δ</w:t>
      </w:r>
      <w:r>
        <w:rPr>
          <w:i/>
          <w:szCs w:val="20"/>
        </w:rPr>
        <w:t>I</w:t>
      </w:r>
      <w:r>
        <w:rPr>
          <w:iCs/>
          <w:szCs w:val="20"/>
        </w:rPr>
        <w:t>|</w:t>
      </w:r>
      <w:r>
        <w:rPr>
          <w:szCs w:val="20"/>
        </w:rPr>
        <w:t xml:space="preserve"> = 0.62) </w:t>
      </w:r>
      <w:r>
        <w:rPr>
          <w:i/>
          <w:iCs/>
          <w:szCs w:val="20"/>
        </w:rPr>
        <w:t>I</w:t>
      </w:r>
      <w:r>
        <w:rPr>
          <w:szCs w:val="20"/>
          <w:vertAlign w:val="subscript"/>
        </w:rPr>
        <w:t>sample</w:t>
      </w:r>
      <w:r>
        <w:rPr>
          <w:szCs w:val="20"/>
        </w:rPr>
        <w:t xml:space="preserve"> was inflated by pseudoreplication; it was more appropriate to use </w:t>
      </w:r>
      <w:r>
        <w:rPr>
          <w:i/>
          <w:iCs/>
          <w:szCs w:val="20"/>
        </w:rPr>
        <w:t>I</w:t>
      </w:r>
      <w:r>
        <w:rPr>
          <w:szCs w:val="20"/>
          <w:vertAlign w:val="subscript"/>
        </w:rPr>
        <w:t>field</w:t>
      </w:r>
      <w:r>
        <w:rPr>
          <w:szCs w:val="20"/>
        </w:rPr>
        <w:t xml:space="preserve">, which yields </w:t>
      </w:r>
      <w:r>
        <w:rPr/>
      </w:r>
      <m:oMath xmlns:m="http://schemas.openxmlformats.org/officeDocument/2006/math">
        <m:sSubSup>
          <m:e>
            <m:r>
              <m:t xml:space="preserve">n</m:t>
            </m:r>
          </m:e>
          <m:sub>
            <m:r>
              <m:rPr>
                <m:lit/>
                <m:nor/>
              </m:rPr>
              <m:t xml:space="preserve">eff</m:t>
            </m:r>
          </m:sub>
          <m:sup>
            <m:r>
              <m:rPr>
                <m:lit/>
                <m:nor/>
              </m:rPr>
              <m:t xml:space="preserve">field</m:t>
            </m:r>
          </m:sup>
        </m:sSubSup>
      </m:oMath>
      <w:r>
        <w:rPr>
          <w:szCs w:val="20"/>
        </w:rPr>
        <w:t xml:space="preserve"> = 802 for S (vs. 143 using </w:t>
      </w:r>
      <w:r>
        <w:rPr>
          <w:i/>
          <w:iCs/>
          <w:szCs w:val="20"/>
        </w:rPr>
        <w:t>I</w:t>
      </w:r>
      <w:r>
        <w:rPr>
          <w:szCs w:val="20"/>
          <w:vertAlign w:val="subscript"/>
        </w:rPr>
        <w:t>sample</w:t>
      </w:r>
      <w:r>
        <w:rPr>
          <w:szCs w:val="20"/>
        </w:rPr>
        <w:t xml:space="preserve">). With </w:t>
      </w:r>
      <w:r>
        <w:rPr>
          <w:i/>
          <w:iCs/>
          <w:szCs w:val="20"/>
        </w:rPr>
        <w:t>n</w:t>
      </w:r>
      <w:r>
        <w:rPr>
          <w:szCs w:val="20"/>
          <w:vertAlign w:val="subscript"/>
        </w:rPr>
        <w:t>eff</w:t>
      </w:r>
      <w:r>
        <w:rPr>
          <w:szCs w:val="20"/>
        </w:rPr>
        <w:t xml:space="preserve"> = 81 for pH, correlations with </w:t>
      </w:r>
      <w:r>
        <w:rPr>
          <w:iCs/>
          <w:szCs w:val="20"/>
        </w:rPr>
        <w:t>|</w:t>
      </w:r>
      <w:r>
        <w:rPr>
          <w:i/>
          <w:szCs w:val="20"/>
        </w:rPr>
        <w:t>ρ</w:t>
      </w:r>
      <w:r>
        <w:rPr>
          <w:szCs w:val="20"/>
        </w:rPr>
        <w:t>|≥ 0.280 remained significant (</w:t>
      </w:r>
      <w:r>
        <w:rPr>
          <w:i/>
          <w:szCs w:val="20"/>
        </w:rPr>
        <w:t>p</w:t>
      </w:r>
      <w:r>
        <w:rPr>
          <w:szCs w:val="20"/>
        </w:rPr>
        <w:t xml:space="preserve"> &lt; 0.01); for weak correlations (</w:t>
      </w:r>
      <w:r>
        <w:rPr>
          <w:i/>
          <w:szCs w:val="20"/>
        </w:rPr>
        <w:t>ρ</w:t>
      </w:r>
      <w:r>
        <w:rPr>
          <w:szCs w:val="20"/>
        </w:rPr>
        <w:t xml:space="preserve"> &lt; 0.15), significance was not reached, and the result should be interpreted as a trend.</w:t>
      </w:r>
    </w:p>
    <w:p>
      <w:pPr>
        <w:pStyle w:val="MDPI23heading3"/>
      </w:pPr>
      <w:r>
        <w:rPr>
          <w:highlight w:val="green"/>
        </w:rPr>
        <w:t>3.3.3. Empirical feature classification and recommendations for modelling</w:t>
      </w:r>
    </w:p>
    <w:p>
      <w:r>
        <w:rPr>
          <w:highlight w:val="green"/>
        </w:rPr>
        <w:t>Beyond the single strongest correlation, every one of the 512 features was classified empirically by its cross-validation behaviour into one of four classes — generalizable (a transferable local signal), zonal-only (a regional gradient with no within-field skill), unstable (a year-dependent sign reversal), or weak — by removing spatial-block means (within- vs between-block components) and testing cross-year sign stability. Table 7 summarises the resulting predictability per property; Tables 7a-7e give the class definitions, the leading features of each class with their mechanism, and the implied recommendations for predictive modelling.</w:t>
      </w:r>
    </w:p>
    <w:p>
      <w:r>
        <w:rPr>
          <w:b/>
          <w:highlight w:val="green"/>
        </w:rPr>
        <w:t>Table 7. Empirical classification of remote-sensing features and resulting predictability, by soil property.</w:t>
      </w:r>
    </w:p>
    <w:tbl>
      <w:tblPr>
        <w:tblStyle w:val="aff1"/>
        <w:tblW w:type="auto" w:w="0"/>
        <w:tblLook w:firstColumn="1" w:firstRow="1" w:lastColumn="0" w:lastRow="0" w:noHBand="0" w:noVBand="1" w:val="04A0"/>
      </w:tblPr>
      <w:tblGrid>
        <w:gridCol w:w="1308"/>
        <w:gridCol w:w="1308"/>
        <w:gridCol w:w="1308"/>
        <w:gridCol w:w="1308"/>
        <w:gridCol w:w="1308"/>
        <w:gridCol w:w="1308"/>
        <w:gridCol w:w="1308"/>
        <w:gridCol w:w="1308"/>
      </w:tblGrid>
      <w:tr>
        <w:tc>
          <w:tcPr>
            <w:tcW w:type="dxa" w:w="1308"/>
          </w:tcPr>
          <w:p>
            <w:r>
              <w:rPr>
                <w:b/>
                <w:sz w:val="16"/>
                <w:highlight w:val="green"/>
              </w:rPr>
              <w:t>Property</w:t>
            </w:r>
          </w:p>
        </w:tc>
        <w:tc>
          <w:tcPr>
            <w:tcW w:type="dxa" w:w="1308"/>
          </w:tcPr>
          <w:p>
            <w:r>
              <w:rPr>
                <w:b/>
                <w:sz w:val="16"/>
                <w:highlight w:val="green"/>
              </w:rPr>
              <w:t>|ρ|max (LC)</w:t>
            </w:r>
          </w:p>
        </w:tc>
        <w:tc>
          <w:tcPr>
            <w:tcW w:type="dxa" w:w="1308"/>
          </w:tcPr>
          <w:p>
            <w:r>
              <w:rPr>
                <w:b/>
                <w:sz w:val="16"/>
                <w:highlight w:val="green"/>
              </w:rPr>
              <w:t>Farm-LOFO ρ</w:t>
            </w:r>
          </w:p>
        </w:tc>
        <w:tc>
          <w:tcPr>
            <w:tcW w:type="dxa" w:w="1308"/>
          </w:tcPr>
          <w:p>
            <w:r>
              <w:rPr>
                <w:b/>
                <w:sz w:val="16"/>
                <w:highlight w:val="green"/>
              </w:rPr>
              <w:t>general. (robust)</w:t>
            </w:r>
          </w:p>
        </w:tc>
        <w:tc>
          <w:tcPr>
            <w:tcW w:type="dxa" w:w="1308"/>
          </w:tcPr>
          <w:p>
            <w:r>
              <w:rPr>
                <w:b/>
                <w:sz w:val="16"/>
                <w:highlight w:val="green"/>
              </w:rPr>
              <w:t>zonal-only</w:t>
            </w:r>
          </w:p>
        </w:tc>
        <w:tc>
          <w:tcPr>
            <w:tcW w:type="dxa" w:w="1308"/>
          </w:tcPr>
          <w:p>
            <w:r>
              <w:rPr>
                <w:b/>
                <w:sz w:val="16"/>
                <w:highlight w:val="green"/>
              </w:rPr>
              <w:t>unstable</w:t>
            </w:r>
          </w:p>
        </w:tc>
        <w:tc>
          <w:tcPr>
            <w:tcW w:type="dxa" w:w="1308"/>
          </w:tcPr>
          <w:p>
            <w:r>
              <w:rPr>
                <w:b/>
                <w:sz w:val="16"/>
                <w:highlight w:val="green"/>
              </w:rPr>
              <w:t>weak</w:t>
            </w:r>
          </w:p>
        </w:tc>
        <w:tc>
          <w:tcPr>
            <w:tcW w:type="dxa" w:w="1308"/>
          </w:tcPr>
          <w:p>
            <w:r>
              <w:rPr>
                <w:b/>
                <w:sz w:val="16"/>
                <w:highlight w:val="green"/>
              </w:rPr>
              <w:t>Verdict</w:t>
            </w:r>
          </w:p>
        </w:tc>
      </w:tr>
      <w:tr>
        <w:tc>
          <w:tcPr>
            <w:tcW w:type="dxa" w:w="1308"/>
          </w:tcPr>
          <w:p>
            <w:r>
              <w:rPr>
                <w:sz w:val="16"/>
                <w:highlight w:val="green"/>
              </w:rPr>
              <w:t>pH</w:t>
            </w:r>
          </w:p>
        </w:tc>
        <w:tc>
          <w:tcPr>
            <w:tcW w:type="dxa" w:w="1308"/>
          </w:tcPr>
          <w:p>
            <w:r>
              <w:rPr>
                <w:sz w:val="16"/>
                <w:highlight w:val="green"/>
              </w:rPr>
              <w:t>0.670</w:t>
            </w:r>
          </w:p>
        </w:tc>
        <w:tc>
          <w:tcPr>
            <w:tcW w:type="dxa" w:w="1308"/>
          </w:tcPr>
          <w:p>
            <w:r>
              <w:rPr>
                <w:sz w:val="16"/>
                <w:highlight w:val="green"/>
              </w:rPr>
              <w:t>0.43</w:t>
            </w:r>
          </w:p>
        </w:tc>
        <w:tc>
          <w:tcPr>
            <w:tcW w:type="dxa" w:w="1308"/>
          </w:tcPr>
          <w:p>
            <w:r>
              <w:rPr>
                <w:sz w:val="16"/>
                <w:highlight w:val="green"/>
              </w:rPr>
              <w:t>13 (6)</w:t>
            </w:r>
          </w:p>
        </w:tc>
        <w:tc>
          <w:tcPr>
            <w:tcW w:type="dxa" w:w="1308"/>
          </w:tcPr>
          <w:p>
            <w:r>
              <w:rPr>
                <w:sz w:val="16"/>
                <w:highlight w:val="green"/>
              </w:rPr>
              <w:t>134</w:t>
            </w:r>
          </w:p>
        </w:tc>
        <w:tc>
          <w:tcPr>
            <w:tcW w:type="dxa" w:w="1308"/>
          </w:tcPr>
          <w:p>
            <w:r>
              <w:rPr>
                <w:sz w:val="16"/>
                <w:highlight w:val="green"/>
              </w:rPr>
              <w:t>86</w:t>
            </w:r>
          </w:p>
        </w:tc>
        <w:tc>
          <w:tcPr>
            <w:tcW w:type="dxa" w:w="1308"/>
          </w:tcPr>
          <w:p>
            <w:r>
              <w:rPr>
                <w:sz w:val="16"/>
                <w:highlight w:val="green"/>
              </w:rPr>
              <w:t>279</w:t>
            </w:r>
          </w:p>
        </w:tc>
        <w:tc>
          <w:tcPr>
            <w:tcW w:type="dxa" w:w="1308"/>
          </w:tcPr>
          <w:p>
            <w:r>
              <w:rPr>
                <w:sz w:val="16"/>
                <w:highlight w:val="green"/>
              </w:rPr>
              <w:t>regionally + locally mappable</w:t>
            </w:r>
          </w:p>
        </w:tc>
      </w:tr>
      <w:tr>
        <w:tc>
          <w:tcPr>
            <w:tcW w:type="dxa" w:w="1308"/>
          </w:tcPr>
          <w:p>
            <w:r>
              <w:rPr>
                <w:sz w:val="16"/>
                <w:highlight w:val="green"/>
              </w:rPr>
              <w:t>K2O</w:t>
            </w:r>
          </w:p>
        </w:tc>
        <w:tc>
          <w:tcPr>
            <w:tcW w:type="dxa" w:w="1308"/>
          </w:tcPr>
          <w:p>
            <w:r>
              <w:rPr>
                <w:sz w:val="16"/>
                <w:highlight w:val="green"/>
              </w:rPr>
              <w:t>0.478</w:t>
            </w:r>
          </w:p>
        </w:tc>
        <w:tc>
          <w:tcPr>
            <w:tcW w:type="dxa" w:w="1308"/>
          </w:tcPr>
          <w:p>
            <w:r>
              <w:rPr>
                <w:sz w:val="16"/>
                <w:highlight w:val="green"/>
              </w:rPr>
              <w:t>0.33</w:t>
            </w:r>
          </w:p>
        </w:tc>
        <w:tc>
          <w:tcPr>
            <w:tcW w:type="dxa" w:w="1308"/>
          </w:tcPr>
          <w:p>
            <w:r>
              <w:rPr>
                <w:sz w:val="16"/>
                <w:highlight w:val="green"/>
              </w:rPr>
              <w:t>27 (10)</w:t>
            </w:r>
          </w:p>
        </w:tc>
        <w:tc>
          <w:tcPr>
            <w:tcW w:type="dxa" w:w="1308"/>
          </w:tcPr>
          <w:p>
            <w:r>
              <w:rPr>
                <w:sz w:val="16"/>
                <w:highlight w:val="green"/>
              </w:rPr>
              <w:t>27</w:t>
            </w:r>
          </w:p>
        </w:tc>
        <w:tc>
          <w:tcPr>
            <w:tcW w:type="dxa" w:w="1308"/>
          </w:tcPr>
          <w:p>
            <w:r>
              <w:rPr>
                <w:sz w:val="16"/>
                <w:highlight w:val="green"/>
              </w:rPr>
              <w:t>70</w:t>
            </w:r>
          </w:p>
        </w:tc>
        <w:tc>
          <w:tcPr>
            <w:tcW w:type="dxa" w:w="1308"/>
          </w:tcPr>
          <w:p>
            <w:r>
              <w:rPr>
                <w:sz w:val="16"/>
                <w:highlight w:val="green"/>
              </w:rPr>
              <w:t>388</w:t>
            </w:r>
          </w:p>
        </w:tc>
        <w:tc>
          <w:tcPr>
            <w:tcW w:type="dxa" w:w="1308"/>
          </w:tcPr>
          <w:p>
            <w:r>
              <w:rPr>
                <w:sz w:val="16"/>
                <w:highlight w:val="green"/>
              </w:rPr>
              <w:t>mappable (clay/SWIR)</w:t>
            </w:r>
          </w:p>
        </w:tc>
      </w:tr>
      <w:tr>
        <w:tc>
          <w:tcPr>
            <w:tcW w:type="dxa" w:w="1308"/>
          </w:tcPr>
          <w:p>
            <w:r>
              <w:rPr>
                <w:sz w:val="16"/>
                <w:highlight w:val="green"/>
              </w:rPr>
              <w:t>P2O5</w:t>
            </w:r>
          </w:p>
        </w:tc>
        <w:tc>
          <w:tcPr>
            <w:tcW w:type="dxa" w:w="1308"/>
          </w:tcPr>
          <w:p>
            <w:r>
              <w:rPr>
                <w:sz w:val="16"/>
                <w:highlight w:val="green"/>
              </w:rPr>
              <w:t>0.476</w:t>
            </w:r>
          </w:p>
        </w:tc>
        <w:tc>
          <w:tcPr>
            <w:tcW w:type="dxa" w:w="1308"/>
          </w:tcPr>
          <w:p>
            <w:r>
              <w:rPr>
                <w:sz w:val="16"/>
                <w:highlight w:val="green"/>
              </w:rPr>
              <w:t>0.42</w:t>
            </w:r>
          </w:p>
        </w:tc>
        <w:tc>
          <w:tcPr>
            <w:tcW w:type="dxa" w:w="1308"/>
          </w:tcPr>
          <w:p>
            <w:r>
              <w:rPr>
                <w:sz w:val="16"/>
                <w:highlight w:val="green"/>
              </w:rPr>
              <w:t>8 (3)</w:t>
            </w:r>
          </w:p>
        </w:tc>
        <w:tc>
          <w:tcPr>
            <w:tcW w:type="dxa" w:w="1308"/>
          </w:tcPr>
          <w:p>
            <w:r>
              <w:rPr>
                <w:sz w:val="16"/>
                <w:highlight w:val="green"/>
              </w:rPr>
              <w:t>25</w:t>
            </w:r>
          </w:p>
        </w:tc>
        <w:tc>
          <w:tcPr>
            <w:tcW w:type="dxa" w:w="1308"/>
          </w:tcPr>
          <w:p>
            <w:r>
              <w:rPr>
                <w:sz w:val="16"/>
                <w:highlight w:val="green"/>
              </w:rPr>
              <w:t>33</w:t>
            </w:r>
          </w:p>
        </w:tc>
        <w:tc>
          <w:tcPr>
            <w:tcW w:type="dxa" w:w="1308"/>
          </w:tcPr>
          <w:p>
            <w:r>
              <w:rPr>
                <w:sz w:val="16"/>
                <w:highlight w:val="green"/>
              </w:rPr>
              <w:t>446</w:t>
            </w:r>
          </w:p>
        </w:tc>
        <w:tc>
          <w:tcPr>
            <w:tcW w:type="dxa" w:w="1308"/>
          </w:tcPr>
          <w:p>
            <w:r>
              <w:rPr>
                <w:sz w:val="16"/>
                <w:highlight w:val="green"/>
              </w:rPr>
              <w:t>weakly mappable (texture)</w:t>
            </w:r>
          </w:p>
        </w:tc>
      </w:tr>
      <w:tr>
        <w:tc>
          <w:tcPr>
            <w:tcW w:type="dxa" w:w="1308"/>
          </w:tcPr>
          <w:p>
            <w:r>
              <w:rPr>
                <w:sz w:val="16"/>
                <w:highlight w:val="green"/>
              </w:rPr>
              <w:t>NO3</w:t>
            </w:r>
          </w:p>
        </w:tc>
        <w:tc>
          <w:tcPr>
            <w:tcW w:type="dxa" w:w="1308"/>
          </w:tcPr>
          <w:p>
            <w:r>
              <w:rPr>
                <w:sz w:val="16"/>
                <w:highlight w:val="green"/>
              </w:rPr>
              <w:t>0.431</w:t>
            </w:r>
          </w:p>
        </w:tc>
        <w:tc>
          <w:tcPr>
            <w:tcW w:type="dxa" w:w="1308"/>
          </w:tcPr>
          <w:p>
            <w:r>
              <w:rPr>
                <w:sz w:val="16"/>
                <w:highlight w:val="green"/>
              </w:rPr>
              <w:t>0.22</w:t>
            </w:r>
          </w:p>
        </w:tc>
        <w:tc>
          <w:tcPr>
            <w:tcW w:type="dxa" w:w="1308"/>
          </w:tcPr>
          <w:p>
            <w:r>
              <w:rPr>
                <w:sz w:val="16"/>
                <w:highlight w:val="green"/>
              </w:rPr>
              <w:t>44 (12)</w:t>
            </w:r>
          </w:p>
        </w:tc>
        <w:tc>
          <w:tcPr>
            <w:tcW w:type="dxa" w:w="1308"/>
          </w:tcPr>
          <w:p>
            <w:r>
              <w:rPr>
                <w:sz w:val="16"/>
                <w:highlight w:val="green"/>
              </w:rPr>
              <w:t>9</w:t>
            </w:r>
          </w:p>
        </w:tc>
        <w:tc>
          <w:tcPr>
            <w:tcW w:type="dxa" w:w="1308"/>
          </w:tcPr>
          <w:p>
            <w:r>
              <w:rPr>
                <w:sz w:val="16"/>
                <w:highlight w:val="green"/>
              </w:rPr>
              <w:t>123</w:t>
            </w:r>
          </w:p>
        </w:tc>
        <w:tc>
          <w:tcPr>
            <w:tcW w:type="dxa" w:w="1308"/>
          </w:tcPr>
          <w:p>
            <w:r>
              <w:rPr>
                <w:sz w:val="16"/>
                <w:highlight w:val="green"/>
              </w:rPr>
              <w:t>336</w:t>
            </w:r>
          </w:p>
        </w:tc>
        <w:tc>
          <w:tcPr>
            <w:tcW w:type="dxa" w:w="1308"/>
          </w:tcPr>
          <w:p>
            <w:r>
              <w:rPr>
                <w:sz w:val="16"/>
                <w:highlight w:val="green"/>
              </w:rPr>
              <w:t>indirect (canopy-N proxy)</w:t>
            </w:r>
          </w:p>
        </w:tc>
      </w:tr>
      <w:tr>
        <w:tc>
          <w:tcPr>
            <w:tcW w:type="dxa" w:w="1308"/>
          </w:tcPr>
          <w:p>
            <w:r>
              <w:rPr>
                <w:sz w:val="16"/>
                <w:highlight w:val="green"/>
              </w:rPr>
              <w:t>SOC</w:t>
            </w:r>
          </w:p>
        </w:tc>
        <w:tc>
          <w:tcPr>
            <w:tcW w:type="dxa" w:w="1308"/>
          </w:tcPr>
          <w:p>
            <w:r>
              <w:rPr>
                <w:sz w:val="16"/>
                <w:highlight w:val="green"/>
              </w:rPr>
              <w:t>0.368</w:t>
            </w:r>
          </w:p>
        </w:tc>
        <w:tc>
          <w:tcPr>
            <w:tcW w:type="dxa" w:w="1308"/>
          </w:tcPr>
          <w:p>
            <w:r>
              <w:rPr>
                <w:sz w:val="16"/>
                <w:highlight w:val="green"/>
              </w:rPr>
              <w:t>0.25</w:t>
            </w:r>
          </w:p>
        </w:tc>
        <w:tc>
          <w:tcPr>
            <w:tcW w:type="dxa" w:w="1308"/>
          </w:tcPr>
          <w:p>
            <w:r>
              <w:rPr>
                <w:sz w:val="16"/>
                <w:highlight w:val="green"/>
              </w:rPr>
              <w:t>4 (0)</w:t>
            </w:r>
          </w:p>
        </w:tc>
        <w:tc>
          <w:tcPr>
            <w:tcW w:type="dxa" w:w="1308"/>
          </w:tcPr>
          <w:p>
            <w:r>
              <w:rPr>
                <w:sz w:val="16"/>
                <w:highlight w:val="green"/>
              </w:rPr>
              <w:t>13</w:t>
            </w:r>
          </w:p>
        </w:tc>
        <w:tc>
          <w:tcPr>
            <w:tcW w:type="dxa" w:w="1308"/>
          </w:tcPr>
          <w:p>
            <w:r>
              <w:rPr>
                <w:sz w:val="16"/>
                <w:highlight w:val="green"/>
              </w:rPr>
              <w:t>15</w:t>
            </w:r>
          </w:p>
        </w:tc>
        <w:tc>
          <w:tcPr>
            <w:tcW w:type="dxa" w:w="1308"/>
          </w:tcPr>
          <w:p>
            <w:r>
              <w:rPr>
                <w:sz w:val="16"/>
                <w:highlight w:val="green"/>
              </w:rPr>
              <w:t>480</w:t>
            </w:r>
          </w:p>
        </w:tc>
        <w:tc>
          <w:tcPr>
            <w:tcW w:type="dxa" w:w="1308"/>
          </w:tcPr>
          <w:p>
            <w:r>
              <w:rPr>
                <w:sz w:val="16"/>
                <w:highlight w:val="green"/>
              </w:rPr>
              <w:t>regional gradient only</w:t>
            </w:r>
          </w:p>
        </w:tc>
      </w:tr>
      <w:tr>
        <w:tc>
          <w:tcPr>
            <w:tcW w:type="dxa" w:w="1308"/>
          </w:tcPr>
          <w:p>
            <w:r>
              <w:rPr>
                <w:sz w:val="16"/>
                <w:highlight w:val="green"/>
              </w:rPr>
              <w:t>S</w:t>
            </w:r>
          </w:p>
        </w:tc>
        <w:tc>
          <w:tcPr>
            <w:tcW w:type="dxa" w:w="1308"/>
          </w:tcPr>
          <w:p>
            <w:r>
              <w:rPr>
                <w:sz w:val="16"/>
                <w:highlight w:val="green"/>
              </w:rPr>
              <w:t>0.309</w:t>
            </w:r>
          </w:p>
        </w:tc>
        <w:tc>
          <w:tcPr>
            <w:tcW w:type="dxa" w:w="1308"/>
          </w:tcPr>
          <w:p>
            <w:r>
              <w:rPr>
                <w:sz w:val="16"/>
                <w:highlight w:val="green"/>
              </w:rPr>
              <w:t>0.04</w:t>
            </w:r>
          </w:p>
        </w:tc>
        <w:tc>
          <w:tcPr>
            <w:tcW w:type="dxa" w:w="1308"/>
          </w:tcPr>
          <w:p>
            <w:r>
              <w:rPr>
                <w:sz w:val="16"/>
                <w:highlight w:val="green"/>
              </w:rPr>
              <w:t>0 (0)</w:t>
            </w:r>
          </w:p>
        </w:tc>
        <w:tc>
          <w:tcPr>
            <w:tcW w:type="dxa" w:w="1308"/>
          </w:tcPr>
          <w:p>
            <w:r>
              <w:rPr>
                <w:sz w:val="16"/>
                <w:highlight w:val="green"/>
              </w:rPr>
              <w:t>37</w:t>
            </w:r>
          </w:p>
        </w:tc>
        <w:tc>
          <w:tcPr>
            <w:tcW w:type="dxa" w:w="1308"/>
          </w:tcPr>
          <w:p>
            <w:r>
              <w:rPr>
                <w:sz w:val="16"/>
                <w:highlight w:val="green"/>
              </w:rPr>
              <w:t>77</w:t>
            </w:r>
          </w:p>
        </w:tc>
        <w:tc>
          <w:tcPr>
            <w:tcW w:type="dxa" w:w="1308"/>
          </w:tcPr>
          <w:p>
            <w:r>
              <w:rPr>
                <w:sz w:val="16"/>
                <w:highlight w:val="green"/>
              </w:rPr>
              <w:t>398</w:t>
            </w:r>
          </w:p>
        </w:tc>
        <w:tc>
          <w:tcPr>
            <w:tcW w:type="dxa" w:w="1308"/>
          </w:tcPr>
          <w:p>
            <w:r>
              <w:rPr>
                <w:sz w:val="16"/>
                <w:highlight w:val="green"/>
              </w:rPr>
              <w:t>unpredictable</w:t>
            </w:r>
          </w:p>
        </w:tc>
      </w:tr>
    </w:tbl>
    <w:p/>
    <w:p>
      <w:r>
        <w:rPr>
          <w:i/>
          <w:sz w:val="16"/>
          <w:highlight w:val="green"/>
        </w:rPr>
        <w:t>|ρ|max (LC): leakage-controlled univariate maximum (temporally-aligned pool); Farm-LOFO ρ: out-of-farm Random-Forest validation; counts: number of the 512 features in each class; (robust): generalizable features additionally passing |ρ_full| ≥ 0.30 and within-sign = pooled-sign. Pool totals: weak 2327, unstable 404, zonal-only 245, generalizable 96 (31 robust). For NO3, SOC and S the present full-pool screen yields slightly higher |ρ| than the companion predictive study [18] (0.290 / 0.350 / 0.280), which additionally excludes canopy/management proxies for the labile nutrients under leakage-aware selection; the two studies agree for pH, K2O and P2O5 (0.670 / 0.478 / 0.476).</w:t>
      </w:r>
    </w:p>
    <w:p>
      <w:r>
        <w:rPr>
          <w:b/>
          <w:highlight w:val="green"/>
        </w:rPr>
        <w:t>Table 7a. Definitions of the four empirical feature classes.</w:t>
      </w:r>
    </w:p>
    <w:tbl>
      <w:tblPr>
        <w:tblStyle w:val="aff1"/>
        <w:tblW w:type="auto" w:w="0"/>
        <w:tblLook w:firstColumn="1" w:firstRow="1" w:lastColumn="0" w:lastRow="0" w:noHBand="0" w:noVBand="1" w:val="04A0"/>
      </w:tblPr>
      <w:tblGrid>
        <w:gridCol w:w="3489"/>
        <w:gridCol w:w="3489"/>
        <w:gridCol w:w="3489"/>
      </w:tblGrid>
      <w:tr>
        <w:tc>
          <w:tcPr>
            <w:tcW w:type="dxa" w:w="3489"/>
          </w:tcPr>
          <w:p>
            <w:r>
              <w:rPr>
                <w:b/>
                <w:sz w:val="16"/>
                <w:highlight w:val="green"/>
              </w:rPr>
              <w:t>Class</w:t>
            </w:r>
          </w:p>
        </w:tc>
        <w:tc>
          <w:tcPr>
            <w:tcW w:type="dxa" w:w="3489"/>
          </w:tcPr>
          <w:p>
            <w:r>
              <w:rPr>
                <w:b/>
                <w:sz w:val="16"/>
                <w:highlight w:val="green"/>
              </w:rPr>
              <w:t>Rule</w:t>
            </w:r>
          </w:p>
        </w:tc>
        <w:tc>
          <w:tcPr>
            <w:tcW w:type="dxa" w:w="3489"/>
          </w:tcPr>
          <w:p>
            <w:r>
              <w:rPr>
                <w:b/>
                <w:sz w:val="16"/>
                <w:highlight w:val="green"/>
              </w:rPr>
              <w:t>Meaning</w:t>
            </w:r>
          </w:p>
        </w:tc>
      </w:tr>
      <w:tr>
        <w:tc>
          <w:tcPr>
            <w:tcW w:type="dxa" w:w="3489"/>
          </w:tcPr>
          <w:p>
            <w:r>
              <w:rPr>
                <w:sz w:val="16"/>
                <w:highlight w:val="green"/>
              </w:rPr>
              <w:t>generalizable</w:t>
            </w:r>
          </w:p>
        </w:tc>
        <w:tc>
          <w:tcPr>
            <w:tcW w:type="dxa" w:w="3489"/>
          </w:tcPr>
          <w:p>
            <w:r>
              <w:rPr>
                <w:sz w:val="16"/>
                <w:highlight w:val="green"/>
              </w:rPr>
              <w:t>|within| ≥ 0.15 AND year-consistent</w:t>
            </w:r>
          </w:p>
        </w:tc>
        <w:tc>
          <w:tcPr>
            <w:tcW w:type="dxa" w:w="3489"/>
          </w:tcPr>
          <w:p>
            <w:r>
              <w:rPr>
                <w:sz w:val="16"/>
                <w:highlight w:val="green"/>
              </w:rPr>
              <w:t>real local signal, stable across years</w:t>
            </w:r>
          </w:p>
        </w:tc>
      </w:tr>
      <w:tr>
        <w:tc>
          <w:tcPr>
            <w:tcW w:type="dxa" w:w="3489"/>
          </w:tcPr>
          <w:p>
            <w:r>
              <w:rPr>
                <w:sz w:val="16"/>
                <w:highlight w:val="green"/>
              </w:rPr>
              <w:t>zonal-only</w:t>
            </w:r>
          </w:p>
        </w:tc>
        <w:tc>
          <w:tcPr>
            <w:tcW w:type="dxa" w:w="3489"/>
          </w:tcPr>
          <w:p>
            <w:r>
              <w:rPr>
                <w:sz w:val="16"/>
                <w:highlight w:val="green"/>
              </w:rPr>
              <w:t>high |ρ_full| &amp; |between|, |within| &lt; 0.15</w:t>
            </w:r>
          </w:p>
        </w:tc>
        <w:tc>
          <w:tcPr>
            <w:tcW w:type="dxa" w:w="3489"/>
          </w:tcPr>
          <w:p>
            <w:r>
              <w:rPr>
                <w:sz w:val="16"/>
                <w:highlight w:val="green"/>
              </w:rPr>
              <w:t>regional gradient only (mapping yes, local no)</w:t>
            </w:r>
          </w:p>
        </w:tc>
      </w:tr>
      <w:tr>
        <w:tc>
          <w:tcPr>
            <w:tcW w:type="dxa" w:w="3489"/>
          </w:tcPr>
          <w:p>
            <w:r>
              <w:rPr>
                <w:sz w:val="16"/>
                <w:highlight w:val="green"/>
              </w:rPr>
              <w:t>unstable</w:t>
            </w:r>
          </w:p>
        </w:tc>
        <w:tc>
          <w:tcPr>
            <w:tcW w:type="dxa" w:w="3489"/>
          </w:tcPr>
          <w:p>
            <w:r>
              <w:rPr>
                <w:sz w:val="16"/>
                <w:highlight w:val="green"/>
              </w:rPr>
              <w:t>ρ sign flips between 2022 and 2023</w:t>
            </w:r>
          </w:p>
        </w:tc>
        <w:tc>
          <w:tcPr>
            <w:tcW w:type="dxa" w:w="3489"/>
          </w:tcPr>
          <w:p>
            <w:r>
              <w:rPr>
                <w:sz w:val="16"/>
                <w:highlight w:val="green"/>
              </w:rPr>
              <w:t>non-transferable (year × location confound)</w:t>
            </w:r>
          </w:p>
        </w:tc>
      </w:tr>
      <w:tr>
        <w:tc>
          <w:tcPr>
            <w:tcW w:type="dxa" w:w="3489"/>
          </w:tcPr>
          <w:p>
            <w:r>
              <w:rPr>
                <w:sz w:val="16"/>
                <w:highlight w:val="green"/>
              </w:rPr>
              <w:t>weak</w:t>
            </w:r>
          </w:p>
        </w:tc>
        <w:tc>
          <w:tcPr>
            <w:tcW w:type="dxa" w:w="3489"/>
          </w:tcPr>
          <w:p>
            <w:r>
              <w:rPr>
                <w:sz w:val="16"/>
                <w:highlight w:val="green"/>
              </w:rPr>
              <w:t>none of the above</w:t>
            </w:r>
          </w:p>
        </w:tc>
        <w:tc>
          <w:tcPr>
            <w:tcW w:type="dxa" w:w="3489"/>
          </w:tcPr>
          <w:p>
            <w:r>
              <w:rPr>
                <w:sz w:val="16"/>
                <w:highlight w:val="green"/>
              </w:rPr>
              <w:t>no exploitable association</w:t>
            </w:r>
          </w:p>
        </w:tc>
      </w:tr>
    </w:tbl>
    <w:p/>
    <w:p>
      <w:r>
        <w:rPr>
          <w:b/>
          <w:highlight w:val="green"/>
        </w:rPr>
        <w:t>Table 7b. GENERALIZABLE — top features (by within-block signal) and mechanism.</w:t>
      </w:r>
    </w:p>
    <w:tbl>
      <w:tblPr>
        <w:tblStyle w:val="aff1"/>
        <w:tblW w:type="auto" w:w="0"/>
        <w:tblLook w:firstColumn="1" w:firstRow="1" w:lastColumn="0" w:lastRow="0" w:noHBand="0" w:noVBand="1" w:val="04A0"/>
      </w:tblPr>
      <w:tblGrid>
        <w:gridCol w:w="2616"/>
        <w:gridCol w:w="2616"/>
        <w:gridCol w:w="2616"/>
        <w:gridCol w:w="2616"/>
      </w:tblGrid>
      <w:tr>
        <w:tc>
          <w:tcPr>
            <w:tcW w:type="dxa" w:w="2616"/>
          </w:tcPr>
          <w:p>
            <w:r>
              <w:rPr>
                <w:b/>
                <w:sz w:val="16"/>
                <w:highlight w:val="green"/>
              </w:rPr>
              <w:t>Feature</w:t>
            </w:r>
          </w:p>
        </w:tc>
        <w:tc>
          <w:tcPr>
            <w:tcW w:type="dxa" w:w="2616"/>
          </w:tcPr>
          <w:p>
            <w:r>
              <w:rPr>
                <w:b/>
                <w:sz w:val="16"/>
                <w:highlight w:val="green"/>
              </w:rPr>
              <w:t>Prop.</w:t>
            </w:r>
          </w:p>
        </w:tc>
        <w:tc>
          <w:tcPr>
            <w:tcW w:type="dxa" w:w="2616"/>
          </w:tcPr>
          <w:p>
            <w:r>
              <w:rPr>
                <w:b/>
                <w:sz w:val="16"/>
                <w:highlight w:val="green"/>
              </w:rPr>
              <w:t>within (both-yr ρ)</w:t>
            </w:r>
          </w:p>
        </w:tc>
        <w:tc>
          <w:tcPr>
            <w:tcW w:type="dxa" w:w="2616"/>
          </w:tcPr>
          <w:p>
            <w:r>
              <w:rPr>
                <w:b/>
                <w:sz w:val="16"/>
                <w:highlight w:val="green"/>
              </w:rPr>
              <w:t>Why a genuine local predictor</w:t>
            </w:r>
          </w:p>
        </w:tc>
      </w:tr>
      <w:tr>
        <w:tc>
          <w:tcPr>
            <w:tcW w:type="dxa" w:w="2616"/>
          </w:tcPr>
          <w:p>
            <w:r>
              <w:rPr>
                <w:sz w:val="16"/>
                <w:highlight w:val="green"/>
              </w:rPr>
              <w:t>GNDVI_L8 spring</w:t>
            </w:r>
          </w:p>
        </w:tc>
        <w:tc>
          <w:tcPr>
            <w:tcW w:type="dxa" w:w="2616"/>
          </w:tcPr>
          <w:p>
            <w:r>
              <w:rPr>
                <w:sz w:val="16"/>
                <w:highlight w:val="green"/>
              </w:rPr>
              <w:t>pH</w:t>
            </w:r>
          </w:p>
        </w:tc>
        <w:tc>
          <w:tcPr>
            <w:tcW w:type="dxa" w:w="2616"/>
          </w:tcPr>
          <w:p>
            <w:r>
              <w:rPr>
                <w:sz w:val="16"/>
                <w:highlight w:val="green"/>
              </w:rPr>
              <w:t>−0.32 (−0.29/−0.62)</w:t>
            </w:r>
          </w:p>
        </w:tc>
        <w:tc>
          <w:tcPr>
            <w:tcW w:type="dxa" w:w="2616"/>
          </w:tcPr>
          <w:p>
            <w:r>
              <w:rPr>
                <w:sz w:val="16"/>
                <w:highlight w:val="green"/>
              </w:rPr>
              <w:t>On bare spring soil GNDVI inverts to soil brightness → carbonate content that co-sets pH; mineralogy year-stable.</w:t>
            </w:r>
          </w:p>
        </w:tc>
      </w:tr>
      <w:tr>
        <w:tc>
          <w:tcPr>
            <w:tcW w:type="dxa" w:w="2616"/>
          </w:tcPr>
          <w:p>
            <w:r>
              <w:rPr>
                <w:sz w:val="16"/>
                <w:highlight w:val="green"/>
              </w:rPr>
              <w:t>GLCM contrast summer</w:t>
            </w:r>
          </w:p>
        </w:tc>
        <w:tc>
          <w:tcPr>
            <w:tcW w:type="dxa" w:w="2616"/>
          </w:tcPr>
          <w:p>
            <w:r>
              <w:rPr>
                <w:sz w:val="16"/>
                <w:highlight w:val="green"/>
              </w:rPr>
              <w:t>NO3</w:t>
            </w:r>
          </w:p>
        </w:tc>
        <w:tc>
          <w:tcPr>
            <w:tcW w:type="dxa" w:w="2616"/>
          </w:tcPr>
          <w:p>
            <w:r>
              <w:rPr>
                <w:sz w:val="16"/>
                <w:highlight w:val="green"/>
              </w:rPr>
              <w:t>+0.32 (+0.47/+0.18)</w:t>
            </w:r>
          </w:p>
        </w:tc>
        <w:tc>
          <w:tcPr>
            <w:tcW w:type="dxa" w:w="2616"/>
          </w:tcPr>
          <w:p>
            <w:r>
              <w:rPr>
                <w:sz w:val="16"/>
                <w:highlight w:val="green"/>
              </w:rPr>
              <w:t>Within-field crop-vigour patchiness: greener/more-textured = better-fertilised = more residual N (local proxy).</w:t>
            </w:r>
          </w:p>
        </w:tc>
      </w:tr>
      <w:tr>
        <w:tc>
          <w:tcPr>
            <w:tcW w:type="dxa" w:w="2616"/>
          </w:tcPr>
          <w:p>
            <w:r>
              <w:rPr>
                <w:sz w:val="16"/>
                <w:highlight w:val="green"/>
              </w:rPr>
              <w:t>SAVI_L8 spring</w:t>
            </w:r>
          </w:p>
        </w:tc>
        <w:tc>
          <w:tcPr>
            <w:tcW w:type="dxa" w:w="2616"/>
          </w:tcPr>
          <w:p>
            <w:r>
              <w:rPr>
                <w:sz w:val="16"/>
                <w:highlight w:val="green"/>
              </w:rPr>
              <w:t>pH</w:t>
            </w:r>
          </w:p>
        </w:tc>
        <w:tc>
          <w:tcPr>
            <w:tcW w:type="dxa" w:w="2616"/>
          </w:tcPr>
          <w:p>
            <w:r>
              <w:rPr>
                <w:sz w:val="16"/>
                <w:highlight w:val="green"/>
              </w:rPr>
              <w:t>−0.30 (−0.39/−0.41)</w:t>
            </w:r>
          </w:p>
        </w:tc>
        <w:tc>
          <w:tcPr>
            <w:tcW w:type="dxa" w:w="2616"/>
          </w:tcPr>
          <w:p>
            <w:r>
              <w:rPr>
                <w:sz w:val="16"/>
                <w:highlight w:val="green"/>
              </w:rPr>
              <w:t>Soil-adjusted bare-soil index — same carbonate/brightness mechanism as GNDVI.</w:t>
            </w:r>
          </w:p>
        </w:tc>
      </w:tr>
      <w:tr>
        <w:tc>
          <w:tcPr>
            <w:tcW w:type="dxa" w:w="2616"/>
          </w:tcPr>
          <w:p>
            <w:r>
              <w:rPr>
                <w:sz w:val="16"/>
                <w:highlight w:val="green"/>
              </w:rPr>
              <w:t>NBR_S2 spring</w:t>
            </w:r>
          </w:p>
        </w:tc>
        <w:tc>
          <w:tcPr>
            <w:tcW w:type="dxa" w:w="2616"/>
          </w:tcPr>
          <w:p>
            <w:r>
              <w:rPr>
                <w:sz w:val="16"/>
                <w:highlight w:val="green"/>
              </w:rPr>
              <w:t>K2O</w:t>
            </w:r>
          </w:p>
        </w:tc>
        <w:tc>
          <w:tcPr>
            <w:tcW w:type="dxa" w:w="2616"/>
          </w:tcPr>
          <w:p>
            <w:r>
              <w:rPr>
                <w:sz w:val="16"/>
                <w:highlight w:val="green"/>
              </w:rPr>
              <w:t>+0.29 (+0.12/+0.34)</w:t>
            </w:r>
          </w:p>
        </w:tc>
        <w:tc>
          <w:tcPr>
            <w:tcW w:type="dxa" w:w="2616"/>
          </w:tcPr>
          <w:p>
            <w:r>
              <w:rPr>
                <w:sz w:val="16"/>
                <w:highlight w:val="green"/>
              </w:rPr>
              <w:t>NBR uses SWIR (B12, clay-OH overtones); exchangeable K sits in the illitic clay/CEC fraction.</w:t>
            </w:r>
          </w:p>
        </w:tc>
      </w:tr>
      <w:tr>
        <w:tc>
          <w:tcPr>
            <w:tcW w:type="dxa" w:w="2616"/>
          </w:tcPr>
          <w:p>
            <w:r>
              <w:rPr>
                <w:sz w:val="16"/>
                <w:highlight w:val="green"/>
              </w:rPr>
              <w:t>ts_GNDVI_L8 mean</w:t>
            </w:r>
          </w:p>
        </w:tc>
        <w:tc>
          <w:tcPr>
            <w:tcW w:type="dxa" w:w="2616"/>
          </w:tcPr>
          <w:p>
            <w:r>
              <w:rPr>
                <w:sz w:val="16"/>
                <w:highlight w:val="green"/>
              </w:rPr>
              <w:t>NO3</w:t>
            </w:r>
          </w:p>
        </w:tc>
        <w:tc>
          <w:tcPr>
            <w:tcW w:type="dxa" w:w="2616"/>
          </w:tcPr>
          <w:p>
            <w:r>
              <w:rPr>
                <w:sz w:val="16"/>
                <w:highlight w:val="green"/>
              </w:rPr>
              <w:t>+0.29 (−0.14/−0.11)</w:t>
            </w:r>
          </w:p>
        </w:tc>
        <w:tc>
          <w:tcPr>
            <w:tcW w:type="dxa" w:w="2616"/>
          </w:tcPr>
          <w:p>
            <w:r>
              <w:rPr>
                <w:sz w:val="16"/>
                <w:highlight w:val="green"/>
              </w:rPr>
              <w:t>Multi-season greenness as within-field N proxy (positive within, negative regional → Simpson split).</w:t>
            </w:r>
          </w:p>
        </w:tc>
      </w:tr>
    </w:tbl>
    <w:p/>
    <w:p>
      <w:r>
        <w:rPr>
          <w:b/>
          <w:highlight w:val="green"/>
        </w:rPr>
        <w:t>Table 7c. ZONAL-ONLY — top features (by between-block signal) and why they carry no local skill.</w:t>
      </w:r>
    </w:p>
    <w:tbl>
      <w:tblPr>
        <w:tblStyle w:val="aff1"/>
        <w:tblW w:type="auto" w:w="0"/>
        <w:tblLook w:firstColumn="1" w:firstRow="1" w:lastColumn="0" w:lastRow="0" w:noHBand="0" w:noVBand="1" w:val="04A0"/>
      </w:tblPr>
      <w:tblGrid>
        <w:gridCol w:w="2616"/>
        <w:gridCol w:w="2616"/>
        <w:gridCol w:w="2616"/>
        <w:gridCol w:w="2616"/>
      </w:tblGrid>
      <w:tr>
        <w:tc>
          <w:tcPr>
            <w:tcW w:type="dxa" w:w="2616"/>
          </w:tcPr>
          <w:p>
            <w:r>
              <w:rPr>
                <w:b/>
                <w:sz w:val="16"/>
                <w:highlight w:val="green"/>
              </w:rPr>
              <w:t>Feature</w:t>
            </w:r>
          </w:p>
        </w:tc>
        <w:tc>
          <w:tcPr>
            <w:tcW w:type="dxa" w:w="2616"/>
          </w:tcPr>
          <w:p>
            <w:r>
              <w:rPr>
                <w:b/>
                <w:sz w:val="16"/>
                <w:highlight w:val="green"/>
              </w:rPr>
              <w:t>Prop.</w:t>
            </w:r>
          </w:p>
        </w:tc>
        <w:tc>
          <w:tcPr>
            <w:tcW w:type="dxa" w:w="2616"/>
          </w:tcPr>
          <w:p>
            <w:r>
              <w:rPr>
                <w:b/>
                <w:sz w:val="16"/>
                <w:highlight w:val="green"/>
              </w:rPr>
              <w:t>between / within</w:t>
            </w:r>
          </w:p>
        </w:tc>
        <w:tc>
          <w:tcPr>
            <w:tcW w:type="dxa" w:w="2616"/>
          </w:tcPr>
          <w:p>
            <w:r>
              <w:rPr>
                <w:b/>
                <w:sz w:val="16"/>
                <w:highlight w:val="green"/>
              </w:rPr>
              <w:t>Why regional-only</w:t>
            </w:r>
          </w:p>
        </w:tc>
      </w:tr>
      <w:tr>
        <w:tc>
          <w:tcPr>
            <w:tcW w:type="dxa" w:w="2616"/>
          </w:tcPr>
          <w:p>
            <w:r>
              <w:rPr>
                <w:sz w:val="16"/>
                <w:highlight w:val="green"/>
              </w:rPr>
              <w:t>S2REP spring</w:t>
            </w:r>
          </w:p>
        </w:tc>
        <w:tc>
          <w:tcPr>
            <w:tcW w:type="dxa" w:w="2616"/>
          </w:tcPr>
          <w:p>
            <w:r>
              <w:rPr>
                <w:sz w:val="16"/>
                <w:highlight w:val="green"/>
              </w:rPr>
              <w:t>pH</w:t>
            </w:r>
          </w:p>
        </w:tc>
        <w:tc>
          <w:tcPr>
            <w:tcW w:type="dxa" w:w="2616"/>
          </w:tcPr>
          <w:p>
            <w:r>
              <w:rPr>
                <w:sz w:val="16"/>
                <w:highlight w:val="green"/>
              </w:rPr>
              <w:t>−0.75 / +0.06</w:t>
            </w:r>
          </w:p>
        </w:tc>
        <w:tc>
          <w:tcPr>
            <w:tcW w:type="dxa" w:w="2616"/>
          </w:tcPr>
          <w:p>
            <w:r>
              <w:rPr>
                <w:sz w:val="16"/>
                <w:highlight w:val="green"/>
              </w:rPr>
              <w:t>Red-edge position senses canopy at the regional scale; tracks the chernozem→kastanozem gradient, not within-field soil.</w:t>
            </w:r>
          </w:p>
        </w:tc>
      </w:tr>
      <w:tr>
        <w:tc>
          <w:tcPr>
            <w:tcW w:type="dxa" w:w="2616"/>
          </w:tcPr>
          <w:p>
            <w:r>
              <w:rPr>
                <w:sz w:val="16"/>
                <w:highlight w:val="green"/>
              </w:rPr>
              <w:t>GNDVI_S2 spring</w:t>
            </w:r>
          </w:p>
        </w:tc>
        <w:tc>
          <w:tcPr>
            <w:tcW w:type="dxa" w:w="2616"/>
          </w:tcPr>
          <w:p>
            <w:r>
              <w:rPr>
                <w:sz w:val="16"/>
                <w:highlight w:val="green"/>
              </w:rPr>
              <w:t>K2O</w:t>
            </w:r>
          </w:p>
        </w:tc>
        <w:tc>
          <w:tcPr>
            <w:tcW w:type="dxa" w:w="2616"/>
          </w:tcPr>
          <w:p>
            <w:r>
              <w:rPr>
                <w:sz w:val="16"/>
                <w:highlight w:val="green"/>
              </w:rPr>
              <w:t>−0.74 / −0.01</w:t>
            </w:r>
          </w:p>
        </w:tc>
        <w:tc>
          <w:tcPr>
            <w:tcW w:type="dxa" w:w="2616"/>
          </w:tcPr>
          <w:p>
            <w:r>
              <w:rPr>
                <w:sz w:val="16"/>
                <w:highlight w:val="green"/>
              </w:rPr>
              <w:t>Regional greenness gradient aligned with the zonal clay/K gradient; no sub-field content.</w:t>
            </w:r>
          </w:p>
        </w:tc>
      </w:tr>
      <w:tr>
        <w:tc>
          <w:tcPr>
            <w:tcW w:type="dxa" w:w="2616"/>
          </w:tcPr>
          <w:p>
            <w:r>
              <w:rPr>
                <w:sz w:val="16"/>
                <w:highlight w:val="green"/>
              </w:rPr>
              <w:t>NDRE spring</w:t>
            </w:r>
          </w:p>
        </w:tc>
        <w:tc>
          <w:tcPr>
            <w:tcW w:type="dxa" w:w="2616"/>
          </w:tcPr>
          <w:p>
            <w:r>
              <w:rPr>
                <w:sz w:val="16"/>
                <w:highlight w:val="green"/>
              </w:rPr>
              <w:t>pH</w:t>
            </w:r>
          </w:p>
        </w:tc>
        <w:tc>
          <w:tcPr>
            <w:tcW w:type="dxa" w:w="2616"/>
          </w:tcPr>
          <w:p>
            <w:r>
              <w:rPr>
                <w:sz w:val="16"/>
                <w:highlight w:val="green"/>
              </w:rPr>
              <w:t>−0.71 / −0.03</w:t>
            </w:r>
          </w:p>
        </w:tc>
        <w:tc>
          <w:tcPr>
            <w:tcW w:type="dxa" w:w="2616"/>
          </w:tcPr>
          <w:p>
            <w:r>
              <w:rPr>
                <w:sz w:val="16"/>
                <w:highlight w:val="green"/>
              </w:rPr>
              <w:t>Red-edge chlorophyll index = macro-climatic vegetation gradient parallel to carbonate leaching.</w:t>
            </w:r>
          </w:p>
        </w:tc>
      </w:tr>
      <w:tr>
        <w:tc>
          <w:tcPr>
            <w:tcW w:type="dxa" w:w="2616"/>
          </w:tcPr>
          <w:p>
            <w:r>
              <w:rPr>
                <w:sz w:val="16"/>
                <w:highlight w:val="green"/>
              </w:rPr>
              <w:t>NDWI_S2 spring</w:t>
            </w:r>
          </w:p>
        </w:tc>
        <w:tc>
          <w:tcPr>
            <w:tcW w:type="dxa" w:w="2616"/>
          </w:tcPr>
          <w:p>
            <w:r>
              <w:rPr>
                <w:sz w:val="16"/>
                <w:highlight w:val="green"/>
              </w:rPr>
              <w:t>K2O</w:t>
            </w:r>
          </w:p>
        </w:tc>
        <w:tc>
          <w:tcPr>
            <w:tcW w:type="dxa" w:w="2616"/>
          </w:tcPr>
          <w:p>
            <w:r>
              <w:rPr>
                <w:sz w:val="16"/>
                <w:highlight w:val="green"/>
              </w:rPr>
              <w:t>+0.69 / −0.06</w:t>
            </w:r>
          </w:p>
        </w:tc>
        <w:tc>
          <w:tcPr>
            <w:tcW w:type="dxa" w:w="2616"/>
          </w:tcPr>
          <w:p>
            <w:r>
              <w:rPr>
                <w:sz w:val="16"/>
                <w:highlight w:val="green"/>
              </w:rPr>
              <w:t>Canopy/soil-moisture index reflecting the regional rainfall gradient driving K zonation.</w:t>
            </w:r>
          </w:p>
        </w:tc>
      </w:tr>
    </w:tbl>
    <w:p/>
    <w:p>
      <w:r>
        <w:rPr>
          <w:b/>
          <w:highlight w:val="green"/>
        </w:rPr>
        <w:t>Table 7d. UNSTABLE — top features (by cross-year sign-flip): all are time-invariant covariates, exposing the year × location confound.</w:t>
      </w:r>
    </w:p>
    <w:tbl>
      <w:tblPr>
        <w:tblStyle w:val="aff1"/>
        <w:tblW w:type="auto" w:w="0"/>
        <w:tblLook w:firstColumn="1" w:firstRow="1" w:lastColumn="0" w:lastRow="0" w:noHBand="0" w:noVBand="1" w:val="04A0"/>
      </w:tblPr>
      <w:tblGrid>
        <w:gridCol w:w="2616"/>
        <w:gridCol w:w="2616"/>
        <w:gridCol w:w="2616"/>
        <w:gridCol w:w="2616"/>
      </w:tblGrid>
      <w:tr>
        <w:tc>
          <w:tcPr>
            <w:tcW w:type="dxa" w:w="2616"/>
          </w:tcPr>
          <w:p>
            <w:r>
              <w:rPr>
                <w:b/>
                <w:sz w:val="16"/>
                <w:highlight w:val="green"/>
              </w:rPr>
              <w:t>Feature</w:t>
            </w:r>
          </w:p>
        </w:tc>
        <w:tc>
          <w:tcPr>
            <w:tcW w:type="dxa" w:w="2616"/>
          </w:tcPr>
          <w:p>
            <w:r>
              <w:rPr>
                <w:b/>
                <w:sz w:val="16"/>
                <w:highlight w:val="green"/>
              </w:rPr>
              <w:t>Prop.</w:t>
            </w:r>
          </w:p>
        </w:tc>
        <w:tc>
          <w:tcPr>
            <w:tcW w:type="dxa" w:w="2616"/>
          </w:tcPr>
          <w:p>
            <w:r>
              <w:rPr>
                <w:b/>
                <w:sz w:val="16"/>
                <w:highlight w:val="green"/>
              </w:rPr>
              <w:t>ρ 2022 → 2023</w:t>
            </w:r>
          </w:p>
        </w:tc>
        <w:tc>
          <w:tcPr>
            <w:tcW w:type="dxa" w:w="2616"/>
          </w:tcPr>
          <w:p>
            <w:r>
              <w:rPr>
                <w:b/>
                <w:sz w:val="16"/>
                <w:highlight w:val="green"/>
              </w:rPr>
              <w:t>Why it flips (artefact, not change)</w:t>
            </w:r>
          </w:p>
        </w:tc>
      </w:tr>
      <w:tr>
        <w:tc>
          <w:tcPr>
            <w:tcW w:type="dxa" w:w="2616"/>
          </w:tcPr>
          <w:p>
            <w:r>
              <w:rPr>
                <w:sz w:val="16"/>
                <w:highlight w:val="green"/>
              </w:rPr>
              <w:t>Aspect (sin)</w:t>
            </w:r>
          </w:p>
        </w:tc>
        <w:tc>
          <w:tcPr>
            <w:tcW w:type="dxa" w:w="2616"/>
          </w:tcPr>
          <w:p>
            <w:r>
              <w:rPr>
                <w:sz w:val="16"/>
                <w:highlight w:val="green"/>
              </w:rPr>
              <w:t>pH</w:t>
            </w:r>
          </w:p>
        </w:tc>
        <w:tc>
          <w:tcPr>
            <w:tcW w:type="dxa" w:w="2616"/>
          </w:tcPr>
          <w:p>
            <w:r>
              <w:rPr>
                <w:sz w:val="16"/>
                <w:highlight w:val="green"/>
              </w:rPr>
              <w:t>+0.83 → −0.51</w:t>
            </w:r>
          </w:p>
        </w:tc>
        <w:tc>
          <w:tcPr>
            <w:tcW w:type="dxa" w:w="2616"/>
          </w:tcPr>
          <w:p>
            <w:r>
              <w:rPr>
                <w:sz w:val="16"/>
                <w:highlight w:val="green"/>
              </w:rPr>
              <w:t>Aspect is time-invariant; a sign reversal is physically impossible temporally → year × location Simpson's paradox.</w:t>
            </w:r>
          </w:p>
        </w:tc>
      </w:tr>
      <w:tr>
        <w:tc>
          <w:tcPr>
            <w:tcW w:type="dxa" w:w="2616"/>
          </w:tcPr>
          <w:p>
            <w:r>
              <w:rPr>
                <w:sz w:val="16"/>
                <w:highlight w:val="green"/>
              </w:rPr>
              <w:t>Aspect (cos)</w:t>
            </w:r>
          </w:p>
        </w:tc>
        <w:tc>
          <w:tcPr>
            <w:tcW w:type="dxa" w:w="2616"/>
          </w:tcPr>
          <w:p>
            <w:r>
              <w:rPr>
                <w:sz w:val="16"/>
                <w:highlight w:val="green"/>
              </w:rPr>
              <w:t>SOC</w:t>
            </w:r>
          </w:p>
        </w:tc>
        <w:tc>
          <w:tcPr>
            <w:tcW w:type="dxa" w:w="2616"/>
          </w:tcPr>
          <w:p>
            <w:r>
              <w:rPr>
                <w:sz w:val="16"/>
                <w:highlight w:val="green"/>
              </w:rPr>
              <w:t>−0.64 → +0.62</w:t>
            </w:r>
          </w:p>
        </w:tc>
        <w:tc>
          <w:tcPr>
            <w:tcW w:type="dxa" w:w="2616"/>
          </w:tcPr>
          <w:p>
            <w:r>
              <w:rPr>
                <w:sz w:val="16"/>
                <w:highlight w:val="green"/>
              </w:rPr>
              <w:t>Static topography cannot reverse in one year; the flip is the disjoint-region confound.</w:t>
            </w:r>
          </w:p>
        </w:tc>
      </w:tr>
      <w:tr>
        <w:tc>
          <w:tcPr>
            <w:tcW w:type="dxa" w:w="2616"/>
          </w:tcPr>
          <w:p>
            <w:r>
              <w:rPr>
                <w:sz w:val="16"/>
                <w:highlight w:val="green"/>
              </w:rPr>
              <w:t>Slope</w:t>
            </w:r>
          </w:p>
        </w:tc>
        <w:tc>
          <w:tcPr>
            <w:tcW w:type="dxa" w:w="2616"/>
          </w:tcPr>
          <w:p>
            <w:r>
              <w:rPr>
                <w:sz w:val="16"/>
                <w:highlight w:val="green"/>
              </w:rPr>
              <w:t>SOC</w:t>
            </w:r>
          </w:p>
        </w:tc>
        <w:tc>
          <w:tcPr>
            <w:tcW w:type="dxa" w:w="2616"/>
          </w:tcPr>
          <w:p>
            <w:r>
              <w:rPr>
                <w:sz w:val="16"/>
                <w:highlight w:val="green"/>
              </w:rPr>
              <w:t>+0.66 → −0.48</w:t>
            </w:r>
          </w:p>
        </w:tc>
        <w:tc>
          <w:tcPr>
            <w:tcW w:type="dxa" w:w="2616"/>
          </w:tcPr>
          <w:p>
            <w:r>
              <w:rPr>
                <w:sz w:val="16"/>
                <w:highlight w:val="green"/>
              </w:rPr>
              <w:t>Slope is fixed and decadal SOC ~constant; reversal comes from the two years sampling different terrain.</w:t>
            </w:r>
          </w:p>
        </w:tc>
      </w:tr>
      <w:tr>
        <w:tc>
          <w:tcPr>
            <w:tcW w:type="dxa" w:w="2616"/>
          </w:tcPr>
          <w:p>
            <w:r>
              <w:rPr>
                <w:sz w:val="16"/>
                <w:highlight w:val="green"/>
              </w:rPr>
              <w:t>MAP</w:t>
            </w:r>
          </w:p>
        </w:tc>
        <w:tc>
          <w:tcPr>
            <w:tcW w:type="dxa" w:w="2616"/>
          </w:tcPr>
          <w:p>
            <w:r>
              <w:rPr>
                <w:sz w:val="16"/>
                <w:highlight w:val="green"/>
              </w:rPr>
              <w:t>SOC</w:t>
            </w:r>
          </w:p>
        </w:tc>
        <w:tc>
          <w:tcPr>
            <w:tcW w:type="dxa" w:w="2616"/>
          </w:tcPr>
          <w:p>
            <w:r>
              <w:rPr>
                <w:sz w:val="16"/>
                <w:highlight w:val="green"/>
              </w:rPr>
              <w:t>+0.73 → −0.34</w:t>
            </w:r>
          </w:p>
        </w:tc>
        <w:tc>
          <w:tcPr>
            <w:tcW w:type="dxa" w:w="2616"/>
          </w:tcPr>
          <w:p>
            <w:r>
              <w:rPr>
                <w:sz w:val="16"/>
                <w:highlight w:val="green"/>
              </w:rPr>
              <w:t>A ~9 km climate covariate; the 2022 and 2023 farm sets occupy opposite arms of the MAP–SOC gradient.</w:t>
            </w:r>
          </w:p>
        </w:tc>
      </w:tr>
    </w:tbl>
    <w:p/>
    <w:p>
      <w:r>
        <w:rPr>
          <w:b/>
          <w:highlight w:val="green"/>
        </w:rPr>
        <w:t>Table 7e. Recommendations for predictive modelling, derived from the feature classification.</w:t>
      </w:r>
    </w:p>
    <w:tbl>
      <w:tblPr>
        <w:tblStyle w:val="aff1"/>
        <w:tblW w:type="auto" w:w="0"/>
        <w:tblLook w:firstColumn="1" w:firstRow="1" w:lastColumn="0" w:lastRow="0" w:noHBand="0" w:noVBand="1" w:val="04A0"/>
      </w:tblPr>
      <w:tblGrid>
        <w:gridCol w:w="3489"/>
        <w:gridCol w:w="3489"/>
        <w:gridCol w:w="3489"/>
      </w:tblGrid>
      <w:tr>
        <w:tc>
          <w:tcPr>
            <w:tcW w:type="dxa" w:w="3489"/>
          </w:tcPr>
          <w:p>
            <w:r>
              <w:rPr>
                <w:b/>
                <w:sz w:val="16"/>
                <w:highlight w:val="green"/>
              </w:rPr>
              <w:t>Recommendation</w:t>
            </w:r>
          </w:p>
        </w:tc>
        <w:tc>
          <w:tcPr>
            <w:tcW w:type="dxa" w:w="3489"/>
          </w:tcPr>
          <w:p>
            <w:r>
              <w:rPr>
                <w:b/>
                <w:sz w:val="16"/>
                <w:highlight w:val="green"/>
              </w:rPr>
              <w:t>Pairs</w:t>
            </w:r>
          </w:p>
        </w:tc>
        <w:tc>
          <w:tcPr>
            <w:tcW w:type="dxa" w:w="3489"/>
          </w:tcPr>
          <w:p>
            <w:r>
              <w:rPr>
                <w:b/>
                <w:sz w:val="16"/>
                <w:highlight w:val="green"/>
              </w:rPr>
              <w:t>Action for predictive modelling</w:t>
            </w:r>
          </w:p>
        </w:tc>
      </w:tr>
      <w:tr>
        <w:tc>
          <w:tcPr>
            <w:tcW w:type="dxa" w:w="3489"/>
          </w:tcPr>
          <w:p>
            <w:r>
              <w:rPr>
                <w:sz w:val="16"/>
                <w:highlight w:val="green"/>
              </w:rPr>
              <w:t>USE-PREDICTOR</w:t>
            </w:r>
          </w:p>
        </w:tc>
        <w:tc>
          <w:tcPr>
            <w:tcW w:type="dxa" w:w="3489"/>
          </w:tcPr>
          <w:p>
            <w:r>
              <w:rPr>
                <w:sz w:val="16"/>
                <w:highlight w:val="green"/>
              </w:rPr>
              <w:t>31</w:t>
            </w:r>
          </w:p>
        </w:tc>
        <w:tc>
          <w:tcPr>
            <w:tcW w:type="dxa" w:w="3489"/>
          </w:tcPr>
          <w:p>
            <w:r>
              <w:rPr>
                <w:sz w:val="16"/>
                <w:highlight w:val="green"/>
              </w:rPr>
              <w:t>Robust local signal → use as model input (spring bare-soil spectra for pH/K2O/P2O5).</w:t>
            </w:r>
          </w:p>
        </w:tc>
      </w:tr>
      <w:tr>
        <w:tc>
          <w:tcPr>
            <w:tcW w:type="dxa" w:w="3489"/>
          </w:tcPr>
          <w:p>
            <w:r>
              <w:rPr>
                <w:sz w:val="16"/>
                <w:highlight w:val="green"/>
              </w:rPr>
              <w:t>USE-WITH-CAUTION</w:t>
            </w:r>
          </w:p>
        </w:tc>
        <w:tc>
          <w:tcPr>
            <w:tcW w:type="dxa" w:w="3489"/>
          </w:tcPr>
          <w:p>
            <w:r>
              <w:rPr>
                <w:sz w:val="16"/>
                <w:highlight w:val="green"/>
              </w:rPr>
              <w:t>47</w:t>
            </w:r>
          </w:p>
        </w:tc>
        <w:tc>
          <w:tcPr>
            <w:tcW w:type="dxa" w:w="3489"/>
          </w:tcPr>
          <w:p>
            <w:r>
              <w:rPr>
                <w:sz w:val="16"/>
                <w:highlight w:val="green"/>
              </w:rPr>
              <w:t>Local but weak / proxy (esp. NO3 canopy-N); interpret, do not over-trust.</w:t>
            </w:r>
          </w:p>
        </w:tc>
      </w:tr>
      <w:tr>
        <w:tc>
          <w:tcPr>
            <w:tcW w:type="dxa" w:w="3489"/>
          </w:tcPr>
          <w:p>
            <w:r>
              <w:rPr>
                <w:sz w:val="16"/>
                <w:highlight w:val="green"/>
              </w:rPr>
              <w:t>CONTROL-COVARIATE</w:t>
            </w:r>
          </w:p>
        </w:tc>
        <w:tc>
          <w:tcPr>
            <w:tcW w:type="dxa" w:w="3489"/>
          </w:tcPr>
          <w:p>
            <w:r>
              <w:rPr>
                <w:sz w:val="16"/>
                <w:highlight w:val="green"/>
              </w:rPr>
              <w:t>221</w:t>
            </w:r>
          </w:p>
        </w:tc>
        <w:tc>
          <w:tcPr>
            <w:tcW w:type="dxa" w:w="3489"/>
          </w:tcPr>
          <w:p>
            <w:r>
              <w:rPr>
                <w:sz w:val="16"/>
                <w:highlight w:val="green"/>
              </w:rPr>
              <w:t>Zonal/regional features (climate, coarse covariates): include ONLY under farm-blocked CV or as a stratifier to partial out — never as a stand-alone local predictor.</w:t>
            </w:r>
          </w:p>
        </w:tc>
      </w:tr>
      <w:tr>
        <w:tc>
          <w:tcPr>
            <w:tcW w:type="dxa" w:w="3489"/>
          </w:tcPr>
          <w:p>
            <w:r>
              <w:rPr>
                <w:sz w:val="16"/>
                <w:highlight w:val="green"/>
              </w:rPr>
              <w:t>EXCLUDE-UNSTABLE</w:t>
            </w:r>
          </w:p>
        </w:tc>
        <w:tc>
          <w:tcPr>
            <w:tcW w:type="dxa" w:w="3489"/>
          </w:tcPr>
          <w:p>
            <w:r>
              <w:rPr>
                <w:sz w:val="16"/>
                <w:highlight w:val="green"/>
              </w:rPr>
              <w:t>404</w:t>
            </w:r>
          </w:p>
        </w:tc>
        <w:tc>
          <w:tcPr>
            <w:tcW w:type="dxa" w:w="3489"/>
          </w:tcPr>
          <w:p>
            <w:r>
              <w:rPr>
                <w:sz w:val="16"/>
                <w:highlight w:val="green"/>
              </w:rPr>
              <w:t>Year × location-confounded (sign flips, incl. raw topo/climate) → exclude.</w:t>
            </w:r>
          </w:p>
        </w:tc>
      </w:tr>
      <w:tr>
        <w:tc>
          <w:tcPr>
            <w:tcW w:type="dxa" w:w="3489"/>
          </w:tcPr>
          <w:p>
            <w:r>
              <w:rPr>
                <w:sz w:val="16"/>
                <w:highlight w:val="green"/>
              </w:rPr>
              <w:t>EXCLUDE-TEMPORAL</w:t>
            </w:r>
          </w:p>
        </w:tc>
        <w:tc>
          <w:tcPr>
            <w:tcW w:type="dxa" w:w="3489"/>
          </w:tcPr>
          <w:p>
            <w:r>
              <w:rPr>
                <w:sz w:val="16"/>
                <w:highlight w:val="green"/>
              </w:rPr>
              <w:t>42</w:t>
            </w:r>
          </w:p>
        </w:tc>
        <w:tc>
          <w:tcPr>
            <w:tcW w:type="dxa" w:w="3489"/>
          </w:tcPr>
          <w:p>
            <w:r>
              <w:rPr>
                <w:sz w:val="16"/>
                <w:highlight w:val="green"/>
              </w:rPr>
              <w:t>Cross-season features for labile NO3/S → temporal-mismatch leakage.</w:t>
            </w:r>
          </w:p>
        </w:tc>
      </w:tr>
      <w:tr>
        <w:tc>
          <w:tcPr>
            <w:tcW w:type="dxa" w:w="3489"/>
          </w:tcPr>
          <w:p>
            <w:r>
              <w:rPr>
                <w:sz w:val="16"/>
                <w:highlight w:val="green"/>
              </w:rPr>
              <w:t>DROP-WEAK</w:t>
            </w:r>
          </w:p>
        </w:tc>
        <w:tc>
          <w:tcPr>
            <w:tcW w:type="dxa" w:w="3489"/>
          </w:tcPr>
          <w:p>
            <w:r>
              <w:rPr>
                <w:sz w:val="16"/>
                <w:highlight w:val="green"/>
              </w:rPr>
              <w:t>2327</w:t>
            </w:r>
          </w:p>
        </w:tc>
        <w:tc>
          <w:tcPr>
            <w:tcW w:type="dxa" w:w="3489"/>
          </w:tcPr>
          <w:p>
            <w:r>
              <w:rPr>
                <w:sz w:val="16"/>
                <w:highlight w:val="green"/>
              </w:rPr>
              <w:t>No exploitable association.</w:t>
            </w:r>
          </w:p>
        </w:tc>
      </w:tr>
    </w:tbl>
    <w:p/>
    <w:p>
      <w:pPr>
        <w:pStyle w:val="MDPI22heading2"/>
        <w:spacing w:before="240" w:after="60"/>
        <w:rPr/>
      </w:pPr>
      <w:r>
        <w:rPr/>
        <w:t>3.4. Seasonal dynamics of correlations</w:t>
      </w:r>
    </w:p>
    <w:p>
      <w:pPr>
        <w:pStyle w:val="MDPI31text"/>
        <w:rPr/>
      </w:pPr>
      <w:r>
        <w:rPr/>
        <w:t xml:space="preserve">Pairwise comparison of </w:t>
      </w:r>
      <w:r>
        <w:rPr>
          <w:iCs/>
        </w:rPr>
        <w:t>|</w:t>
      </w:r>
      <w:r>
        <w:rPr>
          <w:i/>
        </w:rPr>
        <w:t>ρ</w:t>
      </w:r>
      <w:r>
        <w:rPr/>
        <w:t>| for spring and summer counterparts (26 shared S2 and L8 indices) was evaluated using the Wilcoxon signed-rank test for paired samples (Table 11).</w:t>
      </w:r>
    </w:p>
    <w:p>
      <w:pPr>
        <w:pStyle w:val="MDPI31text"/>
        <w:spacing w:before="240" w:after="120"/>
        <w:ind w:hanging="0" w:start="2608"/>
        <w:rPr>
          <w:bCs/>
          <w:sz w:val="18"/>
          <w:szCs w:val="18"/>
        </w:rPr>
      </w:pPr>
      <w:r>
        <w:rPr>
          <w:b/>
          <w:sz w:val="18"/>
          <w:szCs w:val="18"/>
        </w:rPr>
        <w:t xml:space="preserve">Table 11. </w:t>
      </w:r>
      <w:r>
        <w:rPr>
          <w:bCs/>
          <w:sz w:val="18"/>
          <w:szCs w:val="18"/>
        </w:rPr>
        <w:t xml:space="preserve">Seasonal comparison of </w:t>
      </w:r>
      <w:r>
        <w:rPr>
          <w:bCs/>
          <w:iCs/>
          <w:sz w:val="18"/>
          <w:szCs w:val="18"/>
        </w:rPr>
        <w:t>|</w:t>
      </w:r>
      <w:r>
        <w:rPr>
          <w:bCs/>
          <w:i/>
          <w:sz w:val="18"/>
          <w:szCs w:val="18"/>
        </w:rPr>
        <w:t>ρ</w:t>
      </w:r>
      <w:r>
        <w:rPr>
          <w:bCs/>
          <w:sz w:val="18"/>
          <w:szCs w:val="18"/>
        </w:rPr>
        <w:t>|: Wilcoxon test (spring vs. summer, 26 index pairs)</w:t>
      </w:r>
    </w:p>
    <w:tbl>
      <w:tblPr>
        <w:tblStyle w:val="Table"/>
        <w:tblW w:w="9516" w:type="dxa"/>
        <w:jc w:val="start"/>
        <w:tblInd w:w="1271" w:type="dxa"/>
        <w:tblLayout w:type="fixed"/>
        <w:tblCellMar>
          <w:top w:w="0" w:type="dxa"/>
          <w:start w:w="108" w:type="dxa"/>
          <w:bottom w:w="0" w:type="dxa"/>
          <w:end w:w="108" w:type="dxa"/>
        </w:tblCellMar>
        <w:tblLook w:firstRow="0" w:noVBand="0" w:lastRow="0" w:firstColumn="0" w:lastColumn="0" w:noHBand="0" w:val="0000"/>
      </w:tblPr>
      <w:tblGrid>
        <w:gridCol w:w="1586"/>
        <w:gridCol w:w="1585"/>
        <w:gridCol w:w="1587"/>
        <w:gridCol w:w="1586"/>
        <w:gridCol w:w="1585"/>
        <w:gridCol w:w="1587"/>
      </w:tblGrid>
      <w:tr>
        <w:trPr>
          <w:trHeight w:val="640" w:hRule="atLeast"/>
        </w:trPr>
        <w:tc>
          <w:tcPr>
            <w:tcW w:w="1586"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kern w:val="0"/>
                <w:sz w:val="18"/>
                <w:szCs w:val="18"/>
                <w:lang w:val="en-US" w:bidi="ar-SA"/>
              </w:rPr>
              <w:t>Property</w:t>
            </w:r>
          </w:p>
        </w:tc>
        <w:tc>
          <w:tcPr>
            <w:tcW w:w="1585"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lang w:val="en-US"/>
              </w:rPr>
            </w:pPr>
            <w:r>
              <w:rPr>
                <w:rFonts w:eastAsia="Cambria" w:ascii="Palatino Linotype" w:hAnsi="Palatino Linotype"/>
                <w:b/>
                <w:bCs/>
                <w:kern w:val="0"/>
                <w:sz w:val="18"/>
                <w:szCs w:val="18"/>
                <w:lang w:val="en-US" w:bidi="ar-SA"/>
              </w:rPr>
              <w:t>Summer</w:t>
            </w:r>
          </w:p>
        </w:tc>
        <w:tc>
          <w:tcPr>
            <w:tcW w:w="1587"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i/>
                <w:iCs/>
                <w:sz w:val="18"/>
                <w:szCs w:val="18"/>
              </w:rPr>
            </w:pPr>
            <w:r>
              <w:rPr>
                <w:rFonts w:eastAsia="Cambria" w:ascii="Palatino Linotype" w:hAnsi="Palatino Linotype"/>
                <w:b/>
                <w:bCs/>
                <w:i/>
                <w:iCs/>
                <w:kern w:val="0"/>
                <w:sz w:val="18"/>
                <w:szCs w:val="18"/>
                <w:lang w:val="ru-RU" w:bidi="ar-SA"/>
              </w:rPr>
              <w:t>Δ</w:t>
            </w:r>
            <w:r>
              <w:rPr>
                <w:rFonts w:eastAsia="Cambria" w:ascii="Palatino Linotype" w:hAnsi="Palatino Linotype"/>
                <w:b/>
                <w:bCs/>
                <w:kern w:val="0"/>
                <w:sz w:val="18"/>
                <w:szCs w:val="18"/>
                <w:lang w:val="ru-RU" w:bidi="ar-SA"/>
              </w:rPr>
              <w:t>|</w:t>
            </w:r>
            <w:r>
              <w:rPr>
                <w:rFonts w:eastAsia="Cambria" w:ascii="Palatino Linotype" w:hAnsi="Palatino Linotype"/>
                <w:b/>
                <w:bCs/>
                <w:i/>
                <w:iCs/>
                <w:kern w:val="0"/>
                <w:sz w:val="18"/>
                <w:szCs w:val="18"/>
                <w:lang w:val="ru-RU" w:bidi="ar-SA"/>
              </w:rPr>
              <w:t>ρ</w:t>
            </w:r>
            <w:r>
              <w:rPr>
                <w:rFonts w:eastAsia="Cambria" w:ascii="Palatino Linotype" w:hAnsi="Palatino Linotype"/>
                <w:b/>
                <w:bCs/>
                <w:kern w:val="0"/>
                <w:sz w:val="18"/>
                <w:szCs w:val="18"/>
                <w:lang w:val="ru-RU" w:bidi="ar-SA"/>
              </w:rPr>
              <w:t>|</w:t>
            </w:r>
          </w:p>
        </w:tc>
        <w:tc>
          <w:tcPr>
            <w:tcW w:w="1586"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i/>
                <w:iCs/>
                <w:sz w:val="18"/>
                <w:szCs w:val="18"/>
              </w:rPr>
            </w:pPr>
            <w:r>
              <w:rPr>
                <w:rFonts w:eastAsia="Cambria" w:ascii="Palatino Linotype" w:hAnsi="Palatino Linotype"/>
                <w:b/>
                <w:bCs/>
                <w:i/>
                <w:iCs/>
                <w:kern w:val="0"/>
                <w:sz w:val="18"/>
                <w:szCs w:val="18"/>
                <w:lang w:val="ru-RU" w:bidi="ar-SA"/>
              </w:rPr>
              <w:t>W</w:t>
            </w:r>
          </w:p>
        </w:tc>
        <w:tc>
          <w:tcPr>
            <w:tcW w:w="1585"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i/>
                <w:iCs/>
                <w:kern w:val="0"/>
                <w:sz w:val="18"/>
                <w:szCs w:val="18"/>
                <w:lang w:val="ru-RU" w:bidi="ar-SA"/>
              </w:rPr>
              <w:t>p</w:t>
            </w:r>
          </w:p>
        </w:tc>
        <w:tc>
          <w:tcPr>
            <w:tcW w:w="1587"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b/>
                <w:bCs/>
                <w:kern w:val="0"/>
                <w:sz w:val="18"/>
                <w:szCs w:val="18"/>
                <w:lang w:val="en-US" w:bidi="ar-SA"/>
              </w:rPr>
              <w:t>Conclusion</w:t>
            </w:r>
          </w:p>
        </w:tc>
      </w:tr>
      <w:tr>
        <w:trPr>
          <w:trHeight w:val="216" w:hRule="atLeast"/>
        </w:trPr>
        <w:tc>
          <w:tcPr>
            <w:tcW w:w="1586"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pH</w:t>
            </w:r>
          </w:p>
        </w:tc>
        <w:tc>
          <w:tcPr>
            <w:tcW w:w="1585"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18/26</w:t>
            </w:r>
          </w:p>
        </w:tc>
        <w:tc>
          <w:tcPr>
            <w:tcW w:w="1587"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+0.068</w:t>
            </w:r>
          </w:p>
        </w:tc>
        <w:tc>
          <w:tcPr>
            <w:tcW w:w="1586"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119</w:t>
            </w:r>
          </w:p>
        </w:tc>
        <w:tc>
          <w:tcPr>
            <w:tcW w:w="1585"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0.157</w:t>
            </w:r>
          </w:p>
        </w:tc>
        <w:tc>
          <w:tcPr>
            <w:tcW w:w="1587"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ns*</w:t>
            </w:r>
          </w:p>
        </w:tc>
      </w:tr>
      <w:tr>
        <w:trPr>
          <w:trHeight w:val="385" w:hRule="atLeast"/>
        </w:trPr>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26/26</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+0.175</w:t>
            </w:r>
          </w:p>
        </w:tc>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&lt;10</w:t>
            </w:r>
            <w:r>
              <w:rPr>
                <w:rFonts w:eastAsia="Cambria" w:ascii="Palatino Linotype" w:hAnsi="Palatino Linotype"/>
                <w:kern w:val="0"/>
                <w:sz w:val="18"/>
                <w:szCs w:val="18"/>
                <w:vertAlign w:val="superscript"/>
                <w:lang w:val="ru-RU" w:bidi="ar-SA"/>
              </w:rPr>
              <w:t>-4</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b/>
                <w:bCs/>
                <w:kern w:val="0"/>
                <w:sz w:val="18"/>
                <w:szCs w:val="18"/>
                <w:lang w:val="en-US" w:bidi="ar-SA"/>
              </w:rPr>
              <w:t>Spring</w:t>
            </w:r>
            <w:r>
              <w:rPr>
                <w:rFonts w:eastAsia="Cambria" w:ascii="Palatino Linotype" w:hAnsi="Palatino Linotype"/>
                <w:b/>
                <w:bCs/>
                <w:kern w:val="0"/>
                <w:sz w:val="18"/>
                <w:szCs w:val="18"/>
                <w:lang w:val="ru-RU" w:bidi="ar-SA"/>
              </w:rPr>
              <w:t xml:space="preserve"> </w:t>
            </w:r>
            <w:r>
              <w:rPr>
                <w:kern w:val="0"/>
                <w:lang w:val="ru-RU" w:bidi="ar-SA"/>
              </w:rPr>
            </w:r>
            <m:oMath xmlns:m="http://schemas.openxmlformats.org/officeDocument/2006/math">
              <m:r>
                <m:t xml:space="preserve">≫</m:t>
              </m:r>
            </m:oMath>
            <w:r>
              <w:rPr>
                <w:rFonts w:eastAsia="Cambria" w:ascii="Palatino Linotype" w:hAnsi="Palatino Linotype"/>
                <w:b/>
                <w:bCs/>
                <w:kern w:val="0"/>
                <w:sz w:val="18"/>
                <w:szCs w:val="18"/>
                <w:lang w:val="ru-RU" w:bidi="ar-SA"/>
              </w:rPr>
              <w:t xml:space="preserve"> </w:t>
            </w:r>
            <w:r>
              <w:rPr>
                <w:rFonts w:eastAsia="Cambria" w:ascii="Palatino Linotype" w:hAnsi="Palatino Linotype"/>
                <w:b/>
                <w:bCs/>
                <w:kern w:val="0"/>
                <w:sz w:val="18"/>
                <w:szCs w:val="18"/>
                <w:lang w:val="en-US" w:bidi="ar-SA"/>
              </w:rPr>
              <w:t>summer</w:t>
            </w:r>
          </w:p>
        </w:tc>
      </w:tr>
      <w:tr>
        <w:trPr>
          <w:trHeight w:val="391" w:hRule="atLeast"/>
        </w:trPr>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20/26</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+0.106</w:t>
            </w:r>
          </w:p>
        </w:tc>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23</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&lt;10</w:t>
            </w:r>
            <w:r>
              <w:rPr>
                <w:rFonts w:eastAsia="Cambria" w:ascii="Palatino Linotype" w:hAnsi="Palatino Linotype"/>
                <w:kern w:val="0"/>
                <w:sz w:val="18"/>
                <w:szCs w:val="18"/>
                <w:vertAlign w:val="superscript"/>
                <w:lang w:val="ru-RU" w:bidi="ar-SA"/>
              </w:rPr>
              <w:t>-4</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b/>
                <w:bCs/>
                <w:kern w:val="0"/>
                <w:sz w:val="18"/>
                <w:szCs w:val="18"/>
                <w:lang w:val="en-US" w:bidi="ar-SA"/>
              </w:rPr>
              <w:t>Spring</w:t>
            </w:r>
            <w:r>
              <w:rPr>
                <w:rFonts w:eastAsia="Cambria" w:ascii="Palatino Linotype" w:hAnsi="Palatino Linotype"/>
                <w:b/>
                <w:bCs/>
                <w:kern w:val="0"/>
                <w:sz w:val="18"/>
                <w:szCs w:val="18"/>
                <w:lang w:val="ru-RU" w:bidi="ar-SA"/>
              </w:rPr>
              <w:t xml:space="preserve"> </w:t>
            </w:r>
            <w:r>
              <w:rPr>
                <w:kern w:val="0"/>
                <w:lang w:val="ru-RU" w:bidi="ar-SA"/>
              </w:rPr>
            </w:r>
            <m:oMath xmlns:m="http://schemas.openxmlformats.org/officeDocument/2006/math">
              <m:r>
                <m:rPr>
                  <m:lit/>
                  <m:nor/>
                </m:rPr>
                <m:t xml:space="preserve">&gt;</m:t>
              </m:r>
            </m:oMath>
            <w:r>
              <w:rPr>
                <w:rFonts w:eastAsia="Cambria" w:ascii="Palatino Linotype" w:hAnsi="Palatino Linotype"/>
                <w:b/>
                <w:bCs/>
                <w:kern w:val="0"/>
                <w:sz w:val="18"/>
                <w:szCs w:val="18"/>
                <w:lang w:val="ru-RU" w:bidi="ar-SA"/>
              </w:rPr>
              <w:t xml:space="preserve"> </w:t>
            </w:r>
            <w:r>
              <w:rPr>
                <w:rFonts w:eastAsia="Cambria" w:ascii="Palatino Linotype" w:hAnsi="Palatino Linotype"/>
                <w:b/>
                <w:bCs/>
                <w:kern w:val="0"/>
                <w:sz w:val="18"/>
                <w:szCs w:val="18"/>
                <w:lang w:val="en-US" w:bidi="ar-SA"/>
              </w:rPr>
              <w:t>summer</w:t>
            </w:r>
          </w:p>
        </w:tc>
      </w:tr>
      <w:tr>
        <w:trPr>
          <w:trHeight w:val="391" w:hRule="atLeast"/>
        </w:trPr>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9/26</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-0.040</w:t>
            </w:r>
          </w:p>
        </w:tc>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100</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0.056</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en-US" w:bidi="ar-SA"/>
              </w:rPr>
              <w:t xml:space="preserve">ns </w:t>
            </w:r>
            <w:r>
              <w:rPr>
                <w:rFonts w:eastAsia="Cambria" w:ascii="Palatino Linotype" w:hAnsi="Palatino Linotype"/>
                <w:kern w:val="0"/>
                <w:sz w:val="18"/>
                <w:szCs w:val="18"/>
                <w:lang w:val="ru-RU" w:bidi="ar-SA"/>
              </w:rPr>
              <w:t>(trend)</w:t>
            </w:r>
          </w:p>
        </w:tc>
      </w:tr>
      <w:tr>
        <w:trPr>
          <w:trHeight w:val="208" w:hRule="atLeast"/>
        </w:trPr>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18/26</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+0.020</w:t>
            </w:r>
          </w:p>
        </w:tc>
        <w:tc>
          <w:tcPr>
            <w:tcW w:w="158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128</w:t>
            </w:r>
          </w:p>
        </w:tc>
        <w:tc>
          <w:tcPr>
            <w:tcW w:w="158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0.237</w:t>
            </w:r>
          </w:p>
        </w:tc>
        <w:tc>
          <w:tcPr>
            <w:tcW w:w="1587"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ns</w:t>
            </w:r>
          </w:p>
        </w:tc>
      </w:tr>
      <w:tr>
        <w:trPr>
          <w:trHeight w:val="216" w:hRule="atLeast"/>
        </w:trPr>
        <w:tc>
          <w:tcPr>
            <w:tcW w:w="1586"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1585"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7/26</w:t>
            </w:r>
          </w:p>
        </w:tc>
        <w:tc>
          <w:tcPr>
            <w:tcW w:w="1587"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-0.004</w:t>
            </w:r>
          </w:p>
        </w:tc>
        <w:tc>
          <w:tcPr>
            <w:tcW w:w="1586"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141</w:t>
            </w:r>
          </w:p>
        </w:tc>
        <w:tc>
          <w:tcPr>
            <w:tcW w:w="1585"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0.394</w:t>
            </w:r>
          </w:p>
        </w:tc>
        <w:tc>
          <w:tcPr>
            <w:tcW w:w="1587"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bookmarkStart w:id="12" w:name="tab%25253Aseasonal_wilcoxon"/>
            <w:bookmarkEnd w:id="12"/>
            <w:r>
              <w:rPr>
                <w:rFonts w:eastAsia="Cambria" w:ascii="Palatino Linotype" w:hAnsi="Palatino Linotype"/>
                <w:kern w:val="0"/>
                <w:sz w:val="18"/>
                <w:szCs w:val="18"/>
                <w:lang w:val="en-US" w:bidi="ar-SA"/>
              </w:rPr>
              <w:t>ns</w:t>
            </w:r>
          </w:p>
        </w:tc>
      </w:tr>
    </w:tbl>
    <w:p>
      <w:pPr>
        <w:pStyle w:val="MDPI43tablefooter"/>
        <w:rPr>
          <w:iCs/>
          <w:szCs w:val="18"/>
        </w:rPr>
      </w:pPr>
      <w:r>
        <w:rPr>
          <w:iCs/>
          <w:szCs w:val="18"/>
          <w:vertAlign w:val="superscript"/>
        </w:rPr>
        <w:t>*</w:t>
      </w:r>
      <w:r>
        <w:rPr>
          <w:iCs/>
          <w:szCs w:val="18"/>
        </w:rPr>
        <w:t>ns – non-significant.</w:t>
      </w:r>
    </w:p>
    <w:p>
      <w:pPr>
        <w:pStyle w:val="MDPI31text"/>
        <w:rPr/>
      </w:pPr>
      <w:r>
        <w:rPr/>
        <w:t>The heatmap (Figure 7) visualizes in detail the correlation structure across indices and seasons.</w:t>
      </w:r>
    </w:p>
    <w:p>
      <w:pPr>
        <w:pStyle w:val="MDPI31text"/>
        <w:rPr>
          <w:rFonts w:eastAsia="Cambria"/>
          <w:szCs w:val="20"/>
        </w:rPr>
      </w:pPr>
      <w:r>
        <w:rPr>
          <w:rFonts w:eastAsia="Cambria"/>
          <w:szCs w:val="20"/>
        </w:rPr>
        <w:t>K</w:t>
      </w:r>
      <w:r>
        <w:rPr>
          <w:rFonts w:eastAsia="Cambria"/>
          <w:szCs w:val="20"/>
          <w:vertAlign w:val="subscript"/>
        </w:rPr>
        <w:t>2</w:t>
      </w:r>
      <w:r>
        <w:rPr>
          <w:rFonts w:eastAsia="Cambria"/>
          <w:szCs w:val="20"/>
        </w:rPr>
        <w:t>O and P</w:t>
      </w:r>
      <w:r>
        <w:rPr>
          <w:rFonts w:eastAsia="Cambria"/>
          <w:szCs w:val="20"/>
          <w:vertAlign w:val="subscript"/>
        </w:rPr>
        <w:t>2</w:t>
      </w:r>
      <w:r>
        <w:rPr>
          <w:rFonts w:eastAsia="Cambria"/>
          <w:szCs w:val="20"/>
        </w:rPr>
        <w:t>O</w:t>
      </w:r>
      <w:r>
        <w:rPr>
          <w:rFonts w:eastAsia="Cambria"/>
          <w:szCs w:val="20"/>
          <w:vertAlign w:val="subscript"/>
        </w:rPr>
        <w:t>5</w:t>
      </w:r>
      <w:r>
        <w:rPr>
          <w:rFonts w:eastAsia="Cambria"/>
          <w:szCs w:val="20"/>
        </w:rPr>
        <w:t xml:space="preserve"> demonstrated a statistically significant advantage for spring (</w:t>
      </w:r>
      <w:r>
        <w:rPr>
          <w:rFonts w:eastAsia="Cambria"/>
          <w:i/>
          <w:iCs/>
          <w:szCs w:val="20"/>
        </w:rPr>
        <w:t>p</w:t>
      </w:r>
      <w:r>
        <w:rPr>
          <w:rFonts w:eastAsia="Cambria"/>
          <w:szCs w:val="20"/>
        </w:rPr>
        <w:t>&lt; 10</w:t>
      </w:r>
      <w:r>
        <w:rPr>
          <w:rFonts w:eastAsia="Cambria"/>
          <w:szCs w:val="20"/>
          <w:vertAlign w:val="superscript"/>
        </w:rPr>
        <w:t>-4</w:t>
      </w:r>
      <w:r>
        <w:rPr>
          <w:rFonts w:eastAsia="Cambria"/>
          <w:szCs w:val="20"/>
        </w:rPr>
        <w:t>). For K</w:t>
      </w:r>
      <w:r>
        <w:rPr>
          <w:rFonts w:eastAsia="Cambria"/>
          <w:szCs w:val="20"/>
          <w:vertAlign w:val="subscript"/>
        </w:rPr>
        <w:t>2</w:t>
      </w:r>
      <w:r>
        <w:rPr>
          <w:rFonts w:eastAsia="Cambria"/>
          <w:szCs w:val="20"/>
        </w:rPr>
        <w:t>O, all 26 indices were more informative in spring, with BSI and SWIR dominating under bare soil conditions. For pH, spring performed better in 18 out of 26 pairs, but the difference did not reach significance (</w:t>
      </w:r>
      <w:r>
        <w:rPr>
          <w:rFonts w:eastAsia="Cambria"/>
          <w:i/>
          <w:iCs/>
          <w:szCs w:val="20"/>
        </w:rPr>
        <w:t>p</w:t>
      </w:r>
      <w:r>
        <w:rPr>
          <w:rFonts w:eastAsia="Cambria"/>
          <w:szCs w:val="20"/>
        </w:rPr>
        <w:t>=0.157). Conversely, NO</w:t>
      </w:r>
      <w:r>
        <w:rPr>
          <w:rFonts w:eastAsia="Cambria"/>
          <w:szCs w:val="20"/>
          <w:vertAlign w:val="subscript"/>
        </w:rPr>
        <w:t>3</w:t>
      </w:r>
      <w:r>
        <w:rPr>
          <w:rFonts w:eastAsia="Cambria"/>
          <w:szCs w:val="20"/>
        </w:rPr>
        <w:t xml:space="preserve"> correlated more strongly with summer indices (NDVI and EVI at peak vegetation), although the advantage of summer was formally not confirmed across the 26 pairs. For SOC and S, seasonal differentiation was absent.</w:t>
      </w:r>
    </w:p>
    <w:p>
      <w:pPr>
        <w:pStyle w:val="MDPI31text"/>
        <w:rPr/>
      </w:pPr>
      <w:r>
        <w:rPr/>
      </w:r>
    </w:p>
    <w:p>
      <w:pPr>
        <w:pStyle w:val="Normal"/>
        <w:spacing w:lineRule="auto" w:line="240" w:beforeAutospacing="1" w:afterAutospacing="1"/>
        <w:ind w:start="1134"/>
        <w:jc w:val="start"/>
        <w:rPr>
          <w:rFonts w:ascii="Times New Roman" w:hAnsi="Times New Roman" w:eastAsia="Times New Roman"/>
          <w:color w:val="auto"/>
          <w:sz w:val="24"/>
          <w:szCs w:val="24"/>
          <w:lang w:eastAsia="ru-RU"/>
        </w:rPr>
      </w:pPr>
      <w:r>
        <w:rPr/>
        <w:drawing>
          <wp:inline distT="0" distB="0" distL="0" distR="0">
            <wp:extent cx="5706110" cy="799211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10"/>
                    <a:stretch>
                      <a:fillRect/>
                    </a:stretch>
                  </pic:blipFill>
                  <pic:spPr bwMode="auto">
                    <a:xfrm>
                      <a:off x="0" y="0"/>
                      <a:ext cx="5706110" cy="7992110"/>
                    </a:xfrm>
                    <a:prstGeom prst="rect">
                      <a:avLst/>
                    </a:prstGeom>
                    <a:noFill/>
                  </pic:spPr>
                </pic:pic>
              </a:graphicData>
            </a:graphic>
          </wp:inline>
        </w:drawing>
      </w:r>
    </w:p>
    <w:p>
      <w:pPr>
        <w:pStyle w:val="MDPI31text"/>
        <w:spacing w:before="120" w:after="240"/>
        <w:ind w:hanging="0" w:start="2608"/>
        <w:rPr>
          <w:b/>
          <w:sz w:val="18"/>
          <w:szCs w:val="18"/>
        </w:rPr>
      </w:pPr>
      <w:r>
        <w:rPr>
          <w:b/>
          <w:sz w:val="18"/>
          <w:szCs w:val="18"/>
        </w:rPr>
        <w:t xml:space="preserve">Figure 7. </w:t>
      </w:r>
      <w:r>
        <w:rPr>
          <w:bCs/>
          <w:sz w:val="18"/>
          <w:szCs w:val="18"/>
        </w:rPr>
        <w:t xml:space="preserve">Spearman’s heatmap: correlations of soil properties with Sentinel-2 indices across four seasons. Color intensity reflects </w:t>
      </w:r>
      <w:r>
        <w:rPr>
          <w:bCs/>
          <w:iCs/>
          <w:sz w:val="18"/>
          <w:szCs w:val="18"/>
        </w:rPr>
        <w:t>|</w:t>
      </w:r>
      <w:r>
        <w:rPr>
          <w:bCs/>
          <w:i/>
          <w:sz w:val="18"/>
          <w:szCs w:val="18"/>
        </w:rPr>
        <w:t>ρ</w:t>
      </w:r>
      <w:r>
        <w:rPr>
          <w:bCs/>
          <w:sz w:val="18"/>
          <w:szCs w:val="18"/>
        </w:rPr>
        <w:t xml:space="preserve">|; red indicates positive correlations, and blue indicates negative correlations. The strongest signals are pH–GNDVI (spring), </w:t>
      </w:r>
      <w:r>
        <w:rPr>
          <w:rFonts w:eastAsia="Cambria"/>
          <w:sz w:val="18"/>
          <w:szCs w:val="18"/>
        </w:rPr>
        <w:t>K</w:t>
      </w:r>
      <w:r>
        <w:rPr>
          <w:rFonts w:eastAsia="Cambria"/>
          <w:sz w:val="18"/>
          <w:szCs w:val="18"/>
          <w:vertAlign w:val="subscript"/>
        </w:rPr>
        <w:t>2</w:t>
      </w:r>
      <w:r>
        <w:rPr>
          <w:rFonts w:eastAsia="Cambria"/>
          <w:sz w:val="18"/>
          <w:szCs w:val="18"/>
        </w:rPr>
        <w:t>O</w:t>
      </w:r>
      <w:r>
        <w:rPr>
          <w:bCs/>
          <w:sz w:val="18"/>
          <w:szCs w:val="18"/>
        </w:rPr>
        <w:t xml:space="preserve">–BSI (spring), and </w:t>
      </w:r>
      <w:r>
        <w:rPr>
          <w:rFonts w:eastAsia="Cambria"/>
          <w:sz w:val="18"/>
          <w:szCs w:val="18"/>
        </w:rPr>
        <w:t>NO</w:t>
      </w:r>
      <w:r>
        <w:rPr>
          <w:rFonts w:eastAsia="Cambria"/>
          <w:sz w:val="18"/>
          <w:szCs w:val="18"/>
          <w:vertAlign w:val="subscript"/>
        </w:rPr>
        <w:t>3</w:t>
      </w:r>
      <w:r>
        <w:rPr>
          <w:bCs/>
          <w:sz w:val="18"/>
          <w:szCs w:val="18"/>
        </w:rPr>
        <w:t xml:space="preserve">–NDVI (summer). </w:t>
      </w:r>
    </w:p>
    <w:p>
      <w:pPr>
        <w:pStyle w:val="MDPI23heading3"/>
        <w:rPr/>
      </w:pPr>
      <w:r>
        <w:rPr/>
        <w:t>3.4.1. Temporal stability of NO</w:t>
      </w:r>
      <w:r>
        <w:rPr>
          <w:vertAlign w:val="subscript"/>
        </w:rPr>
        <w:t>3</w:t>
      </w:r>
      <w:r>
        <w:rPr/>
        <w:t xml:space="preserve"> correlations</w:t>
      </w:r>
    </w:p>
    <w:p>
      <w:pPr>
        <w:pStyle w:val="MDPI31text"/>
        <w:rPr/>
      </w:pPr>
      <w:r>
        <w:rPr/>
        <w:t xml:space="preserve">Splitting the dataset by sampling season (spring: </w:t>
      </w:r>
      <w:r>
        <w:rPr>
          <w:i/>
          <w:iCs/>
        </w:rPr>
        <w:t>n</w:t>
      </w:r>
      <w:r>
        <w:rPr/>
        <w:t xml:space="preserve"> = 817; autumn: </w:t>
      </w:r>
      <w:r>
        <w:rPr>
          <w:i/>
          <w:iCs/>
        </w:rPr>
        <w:t>n</w:t>
      </w:r>
      <w:r>
        <w:rPr/>
        <w:t xml:space="preserve"> = 54) revealed drastic differences in the correlations between NO</w:t>
      </w:r>
      <w:r>
        <w:rPr>
          <w:vertAlign w:val="subscript"/>
        </w:rPr>
        <w:t>3</w:t>
      </w:r>
      <w:r>
        <w:rPr/>
        <w:t xml:space="preserve"> and RS features (Table 12). Out of 268 autumn samples (section 2.2), the size was reduced to 54 due to filtering for the simultaneous presence of NO</w:t>
      </w:r>
      <w:r>
        <w:rPr>
          <w:vertAlign w:val="subscript"/>
        </w:rPr>
        <w:t>3</w:t>
      </w:r>
      <w:r>
        <w:rPr/>
        <w:t xml:space="preserve"> and RS feature values (dropna): some autumn locations lacked satellite data due to cloud cover or falling outside the coverage area. The small sub-sample size (</w:t>
      </w:r>
      <w:r>
        <w:rPr>
          <w:i/>
          <w:iCs/>
        </w:rPr>
        <w:t>n</w:t>
      </w:r>
      <w:r>
        <w:rPr/>
        <w:t xml:space="preserve"> = 54) limited statistical power. </w:t>
      </w:r>
    </w:p>
    <w:p>
      <w:pPr>
        <w:pStyle w:val="MDPI31text"/>
        <w:spacing w:before="240" w:after="120"/>
        <w:ind w:hanging="0" w:start="2608"/>
        <w:rPr>
          <w:sz w:val="18"/>
          <w:szCs w:val="18"/>
        </w:rPr>
      </w:pPr>
      <w:r>
        <w:rPr>
          <w:b/>
          <w:sz w:val="18"/>
          <w:szCs w:val="18"/>
        </w:rPr>
        <w:t xml:space="preserve">Table 12. </w:t>
      </w:r>
      <w:r>
        <w:rPr/>
        <w:t>NO</w:t>
      </w:r>
      <w:r>
        <w:rPr>
          <w:vertAlign w:val="subscript"/>
        </w:rPr>
        <w:t xml:space="preserve">3 </w:t>
      </w:r>
      <w:r>
        <w:rPr>
          <w:sz w:val="18"/>
          <w:szCs w:val="18"/>
        </w:rPr>
        <w:t>correlations by sampling season sub-samples.</w:t>
      </w:r>
    </w:p>
    <w:tbl>
      <w:tblPr>
        <w:tblStyle w:val="Table"/>
        <w:tblW w:w="7920" w:type="dxa"/>
        <w:jc w:val="start"/>
        <w:tblInd w:w="2551" w:type="dxa"/>
        <w:tblLayout w:type="fixed"/>
        <w:tblCellMar>
          <w:top w:w="0" w:type="dxa"/>
          <w:start w:w="108" w:type="dxa"/>
          <w:bottom w:w="0" w:type="dxa"/>
          <w:end w:w="108" w:type="dxa"/>
        </w:tblCellMar>
        <w:tblLook w:firstRow="1" w:noVBand="0" w:lastRow="0" w:firstColumn="0" w:lastColumn="0" w:noHBand="0" w:val="0020"/>
      </w:tblPr>
      <w:tblGrid>
        <w:gridCol w:w="1584"/>
        <w:gridCol w:w="1584"/>
        <w:gridCol w:w="1584"/>
        <w:gridCol w:w="1584"/>
        <w:gridCol w:w="1584"/>
      </w:tblGrid>
      <w:tr>
        <w:trPr>
          <w:tblHeader w:val="true"/>
          <w:cnfStyle w:val="100000000000" w:firstRow="1" w:lastRow="0" w:firstColumn="0" w:lastColumn="0" w:oddVBand="0" w:evenVBand="0" w:oddHBand="0" w:evenHBand="0" w:firstRowFirstColumn="0" w:firstRowLastColumn="0" w:lastRowFirstColumn="0" w:lastRowLastColumn="0"/>
        </w:trPr>
        <w:tc>
          <w:tcPr>
            <w:tcW w:w="1584"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en-US" w:bidi="ar-SA"/>
              </w:rPr>
              <w:t>RS f</w:t>
            </w:r>
            <w:r>
              <w:rPr>
                <w:rFonts w:eastAsia="Cambria" w:ascii="Palatino Linotype" w:hAnsi="Palatino Linotype"/>
                <w:b/>
                <w:bCs/>
                <w:kern w:val="0"/>
                <w:sz w:val="18"/>
                <w:szCs w:val="18"/>
                <w:lang w:val="ru-RU" w:bidi="ar-SA"/>
              </w:rPr>
              <w:t>eature</w:t>
            </w:r>
          </w:p>
        </w:tc>
        <w:tc>
          <w:tcPr>
            <w:tcW w:w="1584"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i/>
                <w:iCs/>
                <w:kern w:val="0"/>
                <w:sz w:val="18"/>
                <w:szCs w:val="18"/>
                <w:lang w:val="ru-RU" w:bidi="ar-SA"/>
              </w:rPr>
              <w:t>ρ</w:t>
            </w:r>
            <w:r>
              <w:rPr>
                <w:rFonts w:eastAsia="Cambria" w:ascii="Palatino Linotype" w:hAnsi="Palatino Linotype"/>
                <w:kern w:val="0"/>
                <w:sz w:val="18"/>
                <w:szCs w:val="18"/>
                <w:vertAlign w:val="subscript"/>
                <w:lang w:val="en-US" w:bidi="ar-SA"/>
              </w:rPr>
              <w:t>spring</w:t>
            </w:r>
            <w:r>
              <w:rPr>
                <w:rFonts w:eastAsia="Cambria" w:ascii="Palatino Linotype" w:hAnsi="Palatino Linotype"/>
                <w:kern w:val="0"/>
                <w:sz w:val="18"/>
                <w:szCs w:val="18"/>
                <w:lang w:val="ru-RU" w:bidi="ar-SA"/>
              </w:rPr>
              <w:t xml:space="preserve"> (</w:t>
            </w:r>
            <w:r>
              <w:rPr>
                <w:rFonts w:eastAsia="Cambria" w:ascii="Palatino Linotype" w:hAnsi="Palatino Linotype"/>
                <w:i/>
                <w:iCs/>
                <w:kern w:val="0"/>
                <w:sz w:val="18"/>
                <w:szCs w:val="18"/>
                <w:lang w:val="ru-RU" w:bidi="ar-SA"/>
              </w:rPr>
              <w:t>n</w:t>
            </w:r>
            <w:r>
              <w:rPr>
                <w:rFonts w:eastAsia="Cambria" w:ascii="Palatino Linotype" w:hAnsi="Palatino Linotype"/>
                <w:kern w:val="0"/>
                <w:sz w:val="18"/>
                <w:szCs w:val="18"/>
                <w:lang w:val="ru-RU" w:bidi="ar-SA"/>
              </w:rPr>
              <w:t>= 817)</w:t>
            </w:r>
          </w:p>
        </w:tc>
        <w:tc>
          <w:tcPr>
            <w:tcW w:w="1584"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i/>
                <w:iCs/>
                <w:kern w:val="0"/>
                <w:sz w:val="18"/>
                <w:szCs w:val="18"/>
                <w:lang w:val="ru-RU" w:bidi="ar-SA"/>
              </w:rPr>
              <w:t>ρ</w:t>
            </w:r>
            <w:r>
              <w:rPr>
                <w:rFonts w:eastAsia="Cambria" w:ascii="Palatino Linotype" w:hAnsi="Palatino Linotype"/>
                <w:kern w:val="0"/>
                <w:sz w:val="18"/>
                <w:szCs w:val="18"/>
                <w:vertAlign w:val="subscript"/>
                <w:lang w:val="ru-RU" w:bidi="ar-SA"/>
              </w:rPr>
              <w:t>autumn</w:t>
            </w:r>
            <w:r>
              <w:rPr>
                <w:rFonts w:eastAsia="Cambria" w:ascii="Palatino Linotype" w:hAnsi="Palatino Linotype"/>
                <w:kern w:val="0"/>
                <w:sz w:val="18"/>
                <w:szCs w:val="18"/>
                <w:lang w:val="ru-RU" w:bidi="ar-SA"/>
              </w:rPr>
              <w:t xml:space="preserve"> (</w:t>
            </w:r>
            <w:r>
              <w:rPr>
                <w:rFonts w:eastAsia="Cambria" w:ascii="Palatino Linotype" w:hAnsi="Palatino Linotype"/>
                <w:i/>
                <w:iCs/>
                <w:kern w:val="0"/>
                <w:sz w:val="18"/>
                <w:szCs w:val="18"/>
                <w:lang w:val="ru-RU" w:bidi="ar-SA"/>
              </w:rPr>
              <w:t>n</w:t>
            </w:r>
            <w:r>
              <w:rPr>
                <w:rFonts w:eastAsia="Cambria" w:ascii="Palatino Linotype" w:hAnsi="Palatino Linotype"/>
                <w:kern w:val="0"/>
                <w:sz w:val="18"/>
                <w:szCs w:val="18"/>
                <w:lang w:val="ru-RU" w:bidi="ar-SA"/>
              </w:rPr>
              <w:t>=54)</w:t>
            </w:r>
          </w:p>
        </w:tc>
        <w:tc>
          <w:tcPr>
            <w:tcW w:w="1584"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i/>
                <w:iCs/>
                <w:kern w:val="0"/>
                <w:sz w:val="18"/>
                <w:szCs w:val="18"/>
                <w:lang w:val="ru-RU" w:bidi="ar-SA"/>
              </w:rPr>
              <w:t>Δ</w:t>
            </w:r>
            <w:r>
              <w:rPr>
                <w:rFonts w:eastAsia="Cambria" w:ascii="Palatino Linotype" w:hAnsi="Palatino Linotype"/>
                <w:kern w:val="0"/>
                <w:sz w:val="18"/>
                <w:szCs w:val="18"/>
                <w:lang w:val="ru-RU" w:bidi="ar-SA"/>
              </w:rPr>
              <w:t>|</w:t>
            </w:r>
            <w:r>
              <w:rPr>
                <w:rFonts w:eastAsia="Cambria" w:ascii="Palatino Linotype" w:hAnsi="Palatino Linotype"/>
                <w:i/>
                <w:iCs/>
                <w:kern w:val="0"/>
                <w:sz w:val="18"/>
                <w:szCs w:val="18"/>
                <w:lang w:val="ru-RU" w:bidi="ar-SA"/>
              </w:rPr>
              <w:t>ρ</w:t>
            </w:r>
            <w:r>
              <w:rPr>
                <w:rFonts w:eastAsia="Cambria" w:ascii="Palatino Linotype" w:hAnsi="Palatino Linotype"/>
                <w:kern w:val="0"/>
                <w:sz w:val="18"/>
                <w:szCs w:val="18"/>
                <w:lang w:val="ru-RU" w:bidi="ar-SA"/>
              </w:rPr>
              <w:t>|</w:t>
            </w:r>
          </w:p>
        </w:tc>
        <w:tc>
          <w:tcPr>
            <w:tcW w:w="1584"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b/>
                <w:bCs/>
                <w:kern w:val="0"/>
                <w:sz w:val="18"/>
                <w:szCs w:val="18"/>
                <w:lang w:val="ru-RU" w:bidi="ar-SA"/>
              </w:rPr>
              <w:t>Change of sign</w:t>
            </w:r>
            <w:r>
              <w:rPr>
                <w:rFonts w:eastAsia="Cambria" w:ascii="Palatino Linotype" w:hAnsi="Palatino Linotype"/>
                <w:b/>
                <w:bCs/>
                <w:kern w:val="0"/>
                <w:sz w:val="18"/>
                <w:szCs w:val="18"/>
                <w:lang w:val="en-US" w:bidi="ar-SA"/>
              </w:rPr>
              <w:t>?</w:t>
            </w:r>
          </w:p>
        </w:tc>
      </w:tr>
      <w:tr>
        <w:trPr/>
        <w:tc>
          <w:tcPr>
            <w:tcW w:w="1584"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ru-RU" w:bidi="ar-SA"/>
              </w:rPr>
              <w:t>GNDVI</w:t>
            </w:r>
            <w:r>
              <w:rPr>
                <w:rFonts w:eastAsia="Cambria" w:ascii="Palatino Linotype" w:hAnsi="Palatino Linotype"/>
                <w:kern w:val="0"/>
                <w:sz w:val="18"/>
                <w:szCs w:val="18"/>
                <w:vertAlign w:val="subscript"/>
                <w:lang w:val="ru-RU" w:bidi="ar-SA"/>
              </w:rPr>
              <w:t xml:space="preserve">L8, </w:t>
            </w:r>
            <w:r>
              <w:rPr>
                <w:rFonts w:eastAsia="Cambria" w:ascii="Palatino Linotype" w:hAnsi="Palatino Linotype"/>
                <w:kern w:val="0"/>
                <w:sz w:val="18"/>
                <w:szCs w:val="18"/>
                <w:vertAlign w:val="subscript"/>
                <w:lang w:val="en-US" w:bidi="ar-SA"/>
              </w:rPr>
              <w:t>spring</w:t>
            </w:r>
          </w:p>
        </w:tc>
        <w:tc>
          <w:tcPr>
            <w:tcW w:w="1584"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-0.209</w:t>
            </w:r>
          </w:p>
        </w:tc>
        <w:tc>
          <w:tcPr>
            <w:tcW w:w="1584"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+0.485</w:t>
            </w:r>
          </w:p>
        </w:tc>
        <w:tc>
          <w:tcPr>
            <w:tcW w:w="1584"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-0.277</w:t>
            </w:r>
          </w:p>
        </w:tc>
        <w:tc>
          <w:tcPr>
            <w:tcW w:w="1584"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Yes</w:t>
            </w:r>
          </w:p>
        </w:tc>
      </w:tr>
      <w:tr>
        <w:trPr/>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ru-RU" w:bidi="ar-SA"/>
              </w:rPr>
              <w:t>NDVI</w:t>
            </w:r>
            <w:r>
              <w:rPr>
                <w:rFonts w:eastAsia="Cambria" w:ascii="Palatino Linotype" w:hAnsi="Palatino Linotype"/>
                <w:kern w:val="0"/>
                <w:sz w:val="18"/>
                <w:szCs w:val="18"/>
                <w:vertAlign w:val="subscript"/>
                <w:lang w:val="ru-RU" w:bidi="ar-SA"/>
              </w:rPr>
              <w:t xml:space="preserve">S2, </w:t>
            </w:r>
            <w:r>
              <w:rPr>
                <w:rFonts w:eastAsia="Cambria" w:ascii="Palatino Linotype" w:hAnsi="Palatino Linotype"/>
                <w:kern w:val="0"/>
                <w:sz w:val="18"/>
                <w:szCs w:val="18"/>
                <w:vertAlign w:val="subscript"/>
                <w:lang w:val="en-US" w:bidi="ar-SA"/>
              </w:rPr>
              <w:t>summer</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-0.050</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-0.782</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-0.733</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No</w:t>
            </w:r>
          </w:p>
        </w:tc>
      </w:tr>
      <w:tr>
        <w:trPr/>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EVI</w:t>
            </w:r>
            <w:r>
              <w:rPr>
                <w:rFonts w:eastAsia="Cambria" w:ascii="Palatino Linotype" w:hAnsi="Palatino Linotype"/>
                <w:kern w:val="0"/>
                <w:sz w:val="18"/>
                <w:szCs w:val="18"/>
                <w:vertAlign w:val="subscript"/>
                <w:lang w:val="ru-RU" w:bidi="ar-SA"/>
              </w:rPr>
              <w:t>S2, summer</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-0.089</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-0.782</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-0.693</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No</w:t>
            </w:r>
          </w:p>
        </w:tc>
      </w:tr>
      <w:tr>
        <w:trPr/>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GNDVI</w:t>
            </w:r>
            <w:r>
              <w:rPr>
                <w:rFonts w:eastAsia="Cambria" w:ascii="Palatino Linotype" w:hAnsi="Palatino Linotype"/>
                <w:kern w:val="0"/>
                <w:sz w:val="18"/>
                <w:szCs w:val="18"/>
                <w:vertAlign w:val="subscript"/>
                <w:lang w:val="ru-RU" w:bidi="ar-SA"/>
              </w:rPr>
              <w:t>S2,</w:t>
            </w:r>
            <w:r>
              <w:rPr>
                <w:kern w:val="0"/>
                <w:lang w:val="ru-RU" w:bidi="ar-SA"/>
              </w:rPr>
              <w:t xml:space="preserve"> </w:t>
            </w:r>
            <w:r>
              <w:rPr>
                <w:rFonts w:eastAsia="Cambria" w:ascii="Palatino Linotype" w:hAnsi="Palatino Linotype"/>
                <w:kern w:val="0"/>
                <w:sz w:val="18"/>
                <w:szCs w:val="18"/>
                <w:vertAlign w:val="subscript"/>
                <w:lang w:val="ru-RU" w:bidi="ar-SA"/>
              </w:rPr>
              <w:t>spring</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-0.094</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-0.250</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-0.156</w:t>
            </w:r>
          </w:p>
        </w:tc>
        <w:tc>
          <w:tcPr>
            <w:tcW w:w="1584"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No</w:t>
            </w:r>
          </w:p>
        </w:tc>
      </w:tr>
      <w:tr>
        <w:trPr/>
        <w:tc>
          <w:tcPr>
            <w:tcW w:w="1584"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NDVI</w:t>
            </w:r>
            <w:r>
              <w:rPr>
                <w:rFonts w:eastAsia="Cambria" w:ascii="Palatino Linotype" w:hAnsi="Palatino Linotype"/>
                <w:kern w:val="0"/>
                <w:sz w:val="18"/>
                <w:szCs w:val="18"/>
                <w:vertAlign w:val="subscript"/>
                <w:lang w:val="ru-RU" w:bidi="ar-SA"/>
              </w:rPr>
              <w:t>L8, summer</w:t>
            </w:r>
          </w:p>
        </w:tc>
        <w:tc>
          <w:tcPr>
            <w:tcW w:w="1584"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-0.160</w:t>
            </w:r>
          </w:p>
        </w:tc>
        <w:tc>
          <w:tcPr>
            <w:tcW w:w="1584"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-0.806</w:t>
            </w:r>
          </w:p>
        </w:tc>
        <w:tc>
          <w:tcPr>
            <w:tcW w:w="1584"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-0.646</w:t>
            </w:r>
          </w:p>
        </w:tc>
        <w:tc>
          <w:tcPr>
            <w:tcW w:w="1584"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bookmarkStart w:id="13" w:name="tab%25253Ano3_season"/>
            <w:bookmarkEnd w:id="13"/>
            <w:r>
              <w:rPr>
                <w:rFonts w:eastAsia="Cambria" w:ascii="Palatino Linotype" w:hAnsi="Palatino Linotype"/>
                <w:kern w:val="0"/>
                <w:sz w:val="18"/>
                <w:szCs w:val="18"/>
                <w:lang w:val="en-US" w:bidi="ar-SA"/>
              </w:rPr>
              <w:t>No</w:t>
            </w:r>
          </w:p>
        </w:tc>
      </w:tr>
    </w:tbl>
    <w:p>
      <w:pPr>
        <w:pStyle w:val="MDPI31text"/>
        <w:rPr/>
      </w:pPr>
      <w:r>
        <w:rPr/>
        <w:t>In the autumn sub-sample, |</w:t>
      </w:r>
      <w:r>
        <w:rPr>
          <w:i/>
          <w:iCs/>
        </w:rPr>
        <w:t>ρ</w:t>
      </w:r>
      <w:r>
        <w:rPr/>
        <w:t>| reached 0.78–0.81, and a sign reversal was observed for GNDVI</w:t>
      </w:r>
      <w:r>
        <w:rPr>
          <w:vertAlign w:val="subscript"/>
        </w:rPr>
        <w:t>L8, spring</w:t>
      </w:r>
      <w:r>
        <w:rPr/>
        <w:t xml:space="preserve">. Fisher CI for </w:t>
      </w:r>
      <w:r>
        <w:rPr>
          <w:i/>
          <w:iCs/>
        </w:rPr>
        <w:t>ρ</w:t>
      </w:r>
      <w:r>
        <w:rPr/>
        <w:t xml:space="preserve"> = 0.78 at </w:t>
      </w:r>
      <w:r>
        <w:rPr>
          <w:i/>
          <w:iCs/>
        </w:rPr>
        <w:t>n</w:t>
      </w:r>
      <w:r>
        <w:rPr/>
        <w:t xml:space="preserve"> = 54 was [0.64, 0.87], which was too wide. A formal comparison using Fisher </w:t>
      </w:r>
      <w:r>
        <w:rPr>
          <w:i/>
          <w:iCs/>
        </w:rPr>
        <w:t>z</w:t>
      </w:r>
      <w:r>
        <w:rPr/>
        <w:t>-test was not performed. We considered this result as hypothesis-generating.</w:t>
      </w:r>
    </w:p>
    <w:p>
      <w:pPr>
        <w:pStyle w:val="MDPI31text"/>
        <w:rPr>
          <w:szCs w:val="20"/>
        </w:rPr>
      </w:pPr>
      <w:r>
        <w:rPr>
          <w:szCs w:val="20"/>
        </w:rPr>
        <w:t>The physical interpretation of the obtained results may be as follows: during the spring period (April–May), the soil in Northern Kazakhstan is not yet fully covered by vegetation (NDVI = 0.15–0.35), and the spectral signal of a pixel represents a linear mixture of soil and vegetation responses. This creates an "informativeness window" for properties that directly influence soil brightness and color (pH via carbonate content and K</w:t>
      </w:r>
      <w:r>
        <w:rPr>
          <w:szCs w:val="20"/>
          <w:vertAlign w:val="subscript"/>
        </w:rPr>
        <w:t>2</w:t>
      </w:r>
      <w:r>
        <w:rPr>
          <w:szCs w:val="20"/>
        </w:rPr>
        <w:t>O via clay mineralogy). In summer (NDVI = 0.55–0.75), the signal is dominated by vegetation, and the informativeness shifts to NO</w:t>
      </w:r>
      <w:r>
        <w:rPr>
          <w:szCs w:val="20"/>
          <w:vertAlign w:val="subscript"/>
        </w:rPr>
        <w:t>3</w:t>
      </w:r>
      <w:r>
        <w:rPr>
          <w:szCs w:val="20"/>
        </w:rPr>
        <w:t xml:space="preserve">, a key limiting nutrient that determines peak biomass (Figure 8). </w:t>
      </w:r>
    </w:p>
    <w:p>
      <w:pPr>
        <w:pStyle w:val="Normal"/>
        <w:spacing w:lineRule="auto" w:line="240" w:beforeAutospacing="1" w:afterAutospacing="1"/>
        <w:ind w:start="1474"/>
        <w:jc w:val="start"/>
        <w:rPr>
          <w:b/>
          <w:sz w:val="18"/>
          <w:szCs w:val="18"/>
        </w:rPr>
      </w:pPr>
      <w:r>
        <w:rPr/>
        <w:drawing>
          <wp:inline distT="0" distB="0" distL="0" distR="0">
            <wp:extent cx="5033645" cy="5094605"/>
            <wp:effectExtent l="0" t="0" r="0" b="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pic:cNvPicPr>
                      <a:picLocks noChangeAspect="1" noChangeArrowheads="1"/>
                    </pic:cNvPicPr>
                  </pic:nvPicPr>
                  <pic:blipFill>
                    <a:blip r:embed="rId11"/>
                    <a:stretch>
                      <a:fillRect/>
                    </a:stretch>
                  </pic:blipFill>
                  <pic:spPr bwMode="auto">
                    <a:xfrm>
                      <a:off x="0" y="0"/>
                      <a:ext cx="5033645" cy="5094605"/>
                    </a:xfrm>
                    <a:prstGeom prst="rect">
                      <a:avLst/>
                    </a:prstGeom>
                    <a:noFill/>
                  </pic:spPr>
                </pic:pic>
              </a:graphicData>
            </a:graphic>
          </wp:inline>
        </w:drawing>
      </w:r>
    </w:p>
    <w:p>
      <w:pPr>
        <w:pStyle w:val="Normal"/>
        <w:spacing w:lineRule="auto" w:line="240" w:beforeAutospacing="1" w:afterAutospacing="1"/>
        <w:ind w:start="1474"/>
        <w:jc w:val="start"/>
        <w:rPr>
          <w:sz w:val="18"/>
          <w:szCs w:val="18"/>
        </w:rPr>
      </w:pPr>
      <w:r>
        <w:rPr>
          <w:b/>
          <w:sz w:val="18"/>
          <w:szCs w:val="18"/>
        </w:rPr>
        <w:t xml:space="preserve">Figure 8. </w:t>
      </w:r>
      <w:r>
        <w:rPr>
          <w:bCs/>
          <w:sz w:val="18"/>
          <w:szCs w:val="18"/>
        </w:rPr>
        <w:t xml:space="preserve">Seasonal dynamics of correlations: comparison of </w:t>
      </w:r>
      <w:r>
        <w:rPr>
          <w:bCs/>
          <w:iCs/>
          <w:sz w:val="18"/>
          <w:szCs w:val="18"/>
        </w:rPr>
        <w:t>|</w:t>
      </w:r>
      <w:r>
        <w:rPr>
          <w:bCs/>
          <w:iCs/>
          <w:sz w:val="18"/>
          <w:szCs w:val="18"/>
          <w:lang w:val="ru-RU"/>
        </w:rPr>
        <w:t>ρ</w:t>
      </w:r>
      <w:r>
        <w:rPr>
          <w:bCs/>
          <w:iCs/>
          <w:sz w:val="18"/>
          <w:szCs w:val="18"/>
        </w:rPr>
        <w:t xml:space="preserve">| </w:t>
      </w:r>
      <w:r>
        <w:rPr>
          <w:bCs/>
          <w:sz w:val="18"/>
          <w:szCs w:val="18"/>
        </w:rPr>
        <w:t>for spring and summer counterparts of spectral indices for each property. The dashed line represents the spring–summer equality line; points below the line indicate that summer is more informative.</w:t>
      </w:r>
    </w:p>
    <w:p>
      <w:pPr>
        <w:pStyle w:val="Normal"/>
        <w:widowControl/>
        <w:suppressAutoHyphens w:val="false"/>
        <w:bidi w:val="0"/>
        <w:spacing w:lineRule="auto" w:line="240" w:before="0" w:after="0"/>
        <w:ind w:firstLine="439" w:start="2606" w:end="0"/>
        <w:jc w:val="start"/>
        <w:rPr>
          <w:highlight w:val="green"/>
        </w:rPr>
      </w:pPr>
      <w:r>
        <w:rPr>
          <w:highlight w:val="green"/>
        </w:rPr>
        <w:t>3.5. Analysis of spectral configurations: composites vs. single indices. A systematic comparison of 110 composite features of three families (inter-index, multi-seasonal, NDI) with the best single RS predictors of each property (Table 13, Figure 14) showed that for only one of the six properties — K2O — does a composite configuration robustly outperform its best single counterpart.</w:t>
      </w:r>
    </w:p>
    <w:p>
      <w:pPr>
        <w:pStyle w:val="MDPI31text"/>
        <w:spacing w:before="240" w:after="120"/>
        <w:ind w:hanging="0" w:start="2608"/>
        <w:rPr/>
      </w:pPr>
      <w:r>
        <w:rPr>
          <w:b/>
          <w:sz w:val="18"/>
          <w:szCs w:val="18"/>
        </w:rPr>
        <w:t xml:space="preserve">Table 13. </w:t>
      </w:r>
      <w:r>
        <w:rPr>
          <w:sz w:val="18"/>
          <w:szCs w:val="18"/>
        </w:rPr>
        <w:t>Systematic comparison of 110 composite features with single indices.</w:t>
      </w:r>
    </w:p>
    <w:tbl>
      <w:tblPr>
        <w:tblStyle w:val="aff1"/>
        <w:tblW w:w="9016" w:type="dxa"/>
        <w:jc w:val="end"/>
        <w:tblInd w:w="0" w:type="dxa"/>
        <w:tblLayout w:type="fixed"/>
        <w:tblCellMar>
          <w:top w:w="0" w:type="dxa"/>
          <w:start w:w="108" w:type="dxa"/>
          <w:bottom w:w="0" w:type="dxa"/>
          <w:end w:w="108" w:type="dxa"/>
        </w:tblCellMar>
        <w:tblLook w:firstRow="1" w:noVBand="1" w:lastRow="0" w:firstColumn="1" w:lastColumn="0" w:noHBand="0" w:val="04a0"/>
      </w:tblPr>
      <w:tblGrid>
        <w:gridCol w:w="1803"/>
        <w:gridCol w:w="1803"/>
        <w:gridCol w:w="1801"/>
        <w:gridCol w:w="903"/>
        <w:gridCol w:w="900"/>
        <w:gridCol w:w="1806"/>
      </w:tblGrid>
      <w:tr>
        <w:trPr>
          <w:trHeight w:val="244" w:hRule="atLeast"/>
        </w:trPr>
        <w:tc>
          <w:tcPr>
            <w:tcW w:w="1803" w:type="dxa"/>
            <w:vMerge w:val="restart"/>
            <w:tcBorders>
              <w:start w:val="nil"/>
              <w:end w:val="nil"/>
            </w:tcBorders>
            <w:vAlign w:val="center"/>
          </w:tcPr>
          <w:p>
            <w:pPr>
              <w:pStyle w:val="Normal"/>
              <w:widowControl/>
              <w:spacing w:before="0" w:after="0"/>
              <w:jc w:val="center"/>
              <w:rPr>
                <w:rFonts w:eastAsia="SimSun" w:cs="Times New Roman"/>
                <w:kern w:val="0"/>
                <w:sz w:val="18"/>
                <w:szCs w:val="18"/>
                <w:lang w:val="en-US" w:eastAsia="zh-CN" w:bidi="ar-SA"/>
              </w:rPr>
            </w:pPr>
            <w:r>
              <w:rPr>
                <w:rFonts w:eastAsia="SimSun" w:cs="Times New Roman"/>
                <w:b/>
                <w:kern w:val="0"/>
                <w:sz w:val="18"/>
                <w:szCs w:val="18"/>
                <w:highlight w:val="green"/>
                <w:lang w:val="en-US" w:eastAsia="zh-CN" w:bidi="ar-SA"/>
              </w:rPr>
              <w:t>Property</w:t>
            </w:r>
          </w:p>
        </w:tc>
        <w:tc>
          <w:tcPr>
            <w:tcW w:w="1803" w:type="dxa"/>
            <w:vMerge w:val="restart"/>
            <w:tcBorders>
              <w:start w:val="nil"/>
              <w:end w:val="nil"/>
            </w:tcBorders>
            <w:vAlign w:val="center"/>
          </w:tcPr>
          <w:p>
            <w:pPr>
              <w:pStyle w:val="Normal"/>
              <w:widowControl/>
              <w:spacing w:before="0" w:after="0"/>
              <w:jc w:val="center"/>
              <w:rPr>
                <w:rFonts w:eastAsia="SimSun" w:cs="Times New Roman"/>
                <w:kern w:val="0"/>
                <w:sz w:val="18"/>
                <w:szCs w:val="18"/>
                <w:lang w:val="en-US" w:eastAsia="zh-CN" w:bidi="ar-SA"/>
              </w:rPr>
            </w:pPr>
            <w:r>
              <w:rPr>
                <w:rFonts w:eastAsia="SimSun" w:cs="Times New Roman"/>
                <w:b/>
                <w:kern w:val="0"/>
                <w:sz w:val="18"/>
                <w:szCs w:val="18"/>
                <w:highlight w:val="green"/>
                <w:lang w:val="en-US" w:eastAsia="zh-CN" w:bidi="ar-SA"/>
              </w:rPr>
              <w:t>Single |ρ|</w:t>
            </w:r>
          </w:p>
        </w:tc>
        <w:tc>
          <w:tcPr>
            <w:tcW w:w="1801" w:type="dxa"/>
            <w:vMerge w:val="restart"/>
            <w:tcBorders>
              <w:start w:val="nil"/>
              <w:end w:val="nil"/>
            </w:tcBorders>
            <w:vAlign w:val="center"/>
          </w:tcPr>
          <w:p>
            <w:pPr>
              <w:pStyle w:val="Normal"/>
              <w:widowControl/>
              <w:spacing w:before="0" w:after="0"/>
              <w:jc w:val="center"/>
              <w:rPr>
                <w:rFonts w:eastAsia="SimSun" w:cs="Times New Roman"/>
                <w:kern w:val="0"/>
                <w:sz w:val="18"/>
                <w:szCs w:val="18"/>
                <w:lang w:val="en-US" w:eastAsia="zh-CN" w:bidi="ar-SA"/>
              </w:rPr>
            </w:pPr>
            <w:r>
              <w:rPr>
                <w:rFonts w:eastAsia="SimSun" w:cs="Times New Roman"/>
                <w:b/>
                <w:kern w:val="0"/>
                <w:sz w:val="18"/>
                <w:szCs w:val="18"/>
                <w:highlight w:val="green"/>
                <w:lang w:val="en-US" w:eastAsia="zh-CN" w:bidi="ar-SA"/>
              </w:rPr>
              <w:t>Best composite</w:t>
            </w:r>
          </w:p>
        </w:tc>
        <w:tc>
          <w:tcPr>
            <w:tcW w:w="1803" w:type="dxa"/>
            <w:gridSpan w:val="2"/>
            <w:tcBorders>
              <w:start w:val="nil"/>
              <w:end w:val="nil"/>
            </w:tcBorders>
            <w:vAlign w:val="center"/>
          </w:tcPr>
          <w:p>
            <w:pPr>
              <w:pStyle w:val="Normal"/>
              <w:widowControl/>
              <w:spacing w:before="0" w:after="0"/>
              <w:jc w:val="center"/>
              <w:rPr>
                <w:rFonts w:eastAsia="SimSun" w:cs="Times New Roman"/>
                <w:kern w:val="0"/>
                <w:sz w:val="18"/>
                <w:szCs w:val="18"/>
                <w:lang w:val="en-US" w:eastAsia="zh-CN" w:bidi="ar-SA"/>
              </w:rPr>
            </w:pPr>
            <w:r>
              <w:rPr>
                <w:rFonts w:eastAsia="SimSun" w:cs="Times New Roman"/>
                <w:b/>
                <w:kern w:val="0"/>
                <w:sz w:val="18"/>
                <w:szCs w:val="18"/>
                <w:highlight w:val="green"/>
                <w:lang w:val="en-US" w:eastAsia="zh-CN" w:bidi="ar-SA"/>
              </w:rPr>
              <w:t>Composite</w:t>
            </w:r>
          </w:p>
        </w:tc>
        <w:tc>
          <w:tcPr>
            <w:tcW w:w="1806" w:type="dxa"/>
            <w:vMerge w:val="restart"/>
            <w:tcBorders>
              <w:start w:val="nil"/>
              <w:end w:val="nil"/>
            </w:tcBorders>
            <w:vAlign w:val="center"/>
          </w:tcPr>
          <w:p>
            <w:pPr>
              <w:pStyle w:val="Normal"/>
              <w:widowControl/>
              <w:spacing w:before="0" w:after="0"/>
              <w:jc w:val="center"/>
              <w:rPr>
                <w:rFonts w:eastAsia="SimSun" w:cs="Times New Roman"/>
                <w:kern w:val="0"/>
                <w:sz w:val="18"/>
                <w:szCs w:val="18"/>
                <w:lang w:val="en-US" w:eastAsia="zh-CN" w:bidi="ar-SA"/>
              </w:rPr>
            </w:pPr>
            <w:r>
              <w:rPr>
                <w:rFonts w:eastAsia="SimSun" w:cs="Times New Roman"/>
                <w:b/>
                <w:kern w:val="0"/>
                <w:sz w:val="18"/>
                <w:szCs w:val="18"/>
                <w:highlight w:val="green"/>
                <w:lang w:val="en-US" w:eastAsia="zh-CN" w:bidi="ar-SA"/>
              </w:rPr>
              <w:t>Family</w:t>
            </w:r>
          </w:p>
        </w:tc>
      </w:tr>
      <w:tr>
        <w:trPr>
          <w:trHeight w:val="244" w:hRule="atLeast"/>
        </w:trPr>
        <w:tc>
          <w:tcPr>
            <w:tcW w:w="1803" w:type="dxa"/>
            <w:vMerge w:val="continue"/>
            <w:tcBorders>
              <w:top w:val="nil"/>
              <w:start w:val="nil"/>
              <w:end w:val="nil"/>
            </w:tcBorders>
            <w:vAlign w:val="center"/>
          </w:tcPr>
          <w:p>
            <w:pPr>
              <w:pStyle w:val="Normal"/>
              <w:widowControl/>
              <w:spacing w:before="0" w:after="0"/>
              <w:jc w:val="center"/>
              <w:rPr>
                <w:rFonts w:eastAsia="SimSun" w:cs="Times New Roman"/>
                <w:b/>
                <w:bCs/>
                <w:kern w:val="0"/>
                <w:sz w:val="18"/>
                <w:szCs w:val="18"/>
                <w:lang w:val="en-US" w:eastAsia="zh-CN" w:bidi="ar-SA"/>
              </w:rPr>
            </w:pPr>
            <w:r>
              <w:rPr>
                <w:rFonts w:eastAsia="SimSun" w:cs="Times New Roman"/>
                <w:b/>
                <w:bCs/>
                <w:kern w:val="0"/>
                <w:sz w:val="18"/>
                <w:szCs w:val="18"/>
                <w:lang w:val="en-US" w:eastAsia="zh-CN" w:bidi="ar-SA"/>
              </w:rPr>
            </w:r>
          </w:p>
        </w:tc>
        <w:tc>
          <w:tcPr>
            <w:tcW w:w="1803" w:type="dxa"/>
            <w:vMerge w:val="continue"/>
            <w:tcBorders>
              <w:top w:val="nil"/>
              <w:start w:val="nil"/>
              <w:end w:val="nil"/>
            </w:tcBorders>
            <w:vAlign w:val="center"/>
          </w:tcPr>
          <w:p>
            <w:pPr>
              <w:pStyle w:val="Normal"/>
              <w:widowControl/>
              <w:spacing w:before="0" w:after="0"/>
              <w:jc w:val="center"/>
              <w:rPr>
                <w:rFonts w:eastAsia="SimSun" w:cs="Times New Roman"/>
                <w:b/>
                <w:bCs/>
                <w:kern w:val="0"/>
                <w:sz w:val="18"/>
                <w:szCs w:val="18"/>
                <w:lang w:val="en-US" w:eastAsia="zh-CN" w:bidi="ar-SA"/>
              </w:rPr>
            </w:pPr>
            <w:r>
              <w:rPr>
                <w:rFonts w:eastAsia="SimSun" w:cs="Times New Roman"/>
                <w:b/>
                <w:bCs/>
                <w:kern w:val="0"/>
                <w:sz w:val="18"/>
                <w:szCs w:val="18"/>
                <w:lang w:val="en-US" w:eastAsia="zh-CN" w:bidi="ar-SA"/>
              </w:rPr>
            </w:r>
          </w:p>
        </w:tc>
        <w:tc>
          <w:tcPr>
            <w:tcW w:w="1801" w:type="dxa"/>
            <w:vMerge w:val="continue"/>
            <w:tcBorders>
              <w:top w:val="nil"/>
              <w:start w:val="nil"/>
              <w:end w:val="nil"/>
            </w:tcBorders>
            <w:vAlign w:val="center"/>
          </w:tcPr>
          <w:p>
            <w:pPr>
              <w:pStyle w:val="Normal"/>
              <w:widowControl/>
              <w:spacing w:before="0" w:after="0"/>
              <w:jc w:val="center"/>
              <w:rPr>
                <w:rFonts w:eastAsia="SimSun" w:cs="Times New Roman"/>
                <w:b/>
                <w:bCs/>
                <w:kern w:val="0"/>
                <w:sz w:val="18"/>
                <w:szCs w:val="18"/>
                <w:lang w:val="en-US" w:eastAsia="zh-CN" w:bidi="ar-SA"/>
              </w:rPr>
            </w:pPr>
            <w:r>
              <w:rPr>
                <w:rFonts w:eastAsia="SimSun" w:cs="Times New Roman"/>
                <w:b/>
                <w:bCs/>
                <w:kern w:val="0"/>
                <w:sz w:val="18"/>
                <w:szCs w:val="18"/>
                <w:lang w:val="en-US" w:eastAsia="zh-CN" w:bidi="ar-SA"/>
              </w:rPr>
            </w:r>
          </w:p>
        </w:tc>
        <w:tc>
          <w:tcPr>
            <w:tcW w:w="903" w:type="dxa"/>
            <w:tcBorders>
              <w:start w:val="nil"/>
              <w:end w:val="nil"/>
            </w:tcBorders>
            <w:vAlign w:val="center"/>
          </w:tcPr>
          <w:p>
            <w:pPr>
              <w:pStyle w:val="Normal"/>
              <w:widowControl/>
              <w:spacing w:lineRule="auto" w:line="240" w:before="0" w:after="0"/>
              <w:jc w:val="center"/>
              <w:rPr>
                <w:rFonts w:eastAsia="SimSun" w:cs="Times New Roman"/>
                <w:kern w:val="0"/>
                <w:sz w:val="18"/>
                <w:szCs w:val="18"/>
                <w:lang w:val="en-US" w:eastAsia="zh-CN" w:bidi="ar-SA"/>
              </w:rPr>
            </w:pPr>
            <w:r>
              <w:rPr>
                <w:rFonts w:eastAsia="SimSun" w:cs="Times New Roman"/>
                <w:b/>
                <w:kern w:val="0"/>
                <w:sz w:val="18"/>
                <w:szCs w:val="18"/>
                <w:highlight w:val="green"/>
                <w:lang w:val="en-US" w:eastAsia="zh-CN" w:bidi="ar-SA"/>
              </w:rPr>
              <w:t>|ρ|</w:t>
            </w:r>
          </w:p>
        </w:tc>
        <w:tc>
          <w:tcPr>
            <w:tcW w:w="900" w:type="dxa"/>
            <w:tcBorders>
              <w:start w:val="nil"/>
              <w:end w:val="nil"/>
            </w:tcBorders>
            <w:vAlign w:val="center"/>
          </w:tcPr>
          <w:p>
            <w:pPr>
              <w:pStyle w:val="Normal"/>
              <w:widowControl/>
              <w:spacing w:before="0" w:after="0"/>
              <w:jc w:val="center"/>
              <w:rPr>
                <w:rFonts w:eastAsia="SimSun" w:cs="Times New Roman"/>
                <w:kern w:val="0"/>
                <w:sz w:val="18"/>
                <w:szCs w:val="18"/>
                <w:lang w:val="en-US" w:eastAsia="zh-CN" w:bidi="ar-SA"/>
              </w:rPr>
            </w:pPr>
            <w:r>
              <w:rPr>
                <w:rFonts w:eastAsia="SimSun" w:cs="Times New Roman"/>
                <w:b/>
                <w:kern w:val="0"/>
                <w:sz w:val="18"/>
                <w:szCs w:val="18"/>
                <w:highlight w:val="green"/>
                <w:lang w:val="en-US" w:eastAsia="zh-CN" w:bidi="ar-SA"/>
              </w:rPr>
              <w:t>Δ|ρ|</w:t>
            </w:r>
          </w:p>
        </w:tc>
        <w:tc>
          <w:tcPr>
            <w:tcW w:w="1806" w:type="dxa"/>
            <w:vMerge w:val="continue"/>
            <w:tcBorders>
              <w:start w:val="nil"/>
              <w:end w:val="nil"/>
            </w:tcBorders>
            <w:vAlign w:val="center"/>
          </w:tcPr>
          <w:p>
            <w:pPr>
              <w:pStyle w:val="Normal"/>
              <w:widowControl/>
              <w:spacing w:before="0" w:after="0"/>
              <w:jc w:val="center"/>
              <w:rPr>
                <w:rFonts w:eastAsia="SimSun" w:cs="Times New Roman"/>
                <w:b/>
                <w:bCs/>
                <w:kern w:val="0"/>
                <w:sz w:val="18"/>
                <w:szCs w:val="18"/>
                <w:lang w:val="en-US" w:eastAsia="zh-CN" w:bidi="ar-SA"/>
              </w:rPr>
            </w:pPr>
            <w:r>
              <w:rPr>
                <w:rFonts w:eastAsia="SimSun" w:cs="Times New Roman"/>
                <w:b/>
                <w:bCs/>
                <w:kern w:val="0"/>
                <w:sz w:val="18"/>
                <w:szCs w:val="18"/>
                <w:lang w:val="en-US" w:eastAsia="zh-CN" w:bidi="ar-SA"/>
              </w:rPr>
            </w:r>
          </w:p>
        </w:tc>
      </w:tr>
      <w:tr>
        <w:trPr/>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K2O</w:t>
            </w:r>
          </w:p>
        </w:tc>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0.478</w:t>
            </w:r>
          </w:p>
        </w:tc>
        <w:tc>
          <w:tcPr>
            <w:tcW w:w="180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GNDVI×BSI_spring</w:t>
            </w:r>
          </w:p>
        </w:tc>
        <w:tc>
          <w:tcPr>
            <w:tcW w:w="9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0.488</w:t>
            </w:r>
          </w:p>
        </w:tc>
        <w:tc>
          <w:tcPr>
            <w:tcW w:w="900"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+0.010</w:t>
            </w:r>
          </w:p>
        </w:tc>
        <w:tc>
          <w:tcPr>
            <w:tcW w:w="1806"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Inter-index</w:t>
            </w:r>
          </w:p>
        </w:tc>
      </w:tr>
      <w:tr>
        <w:trPr/>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NO3</w:t>
            </w:r>
          </w:p>
        </w:tc>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0.431</w:t>
            </w:r>
          </w:p>
        </w:tc>
        <w:tc>
          <w:tcPr>
            <w:tcW w:w="180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GNDVI−NDRE_spring</w:t>
            </w:r>
          </w:p>
        </w:tc>
        <w:tc>
          <w:tcPr>
            <w:tcW w:w="9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0.416</w:t>
            </w:r>
          </w:p>
        </w:tc>
        <w:tc>
          <w:tcPr>
            <w:tcW w:w="900"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w:t>
            </w:r>
            <w:r>
              <w:rPr>
                <w:rFonts w:eastAsia="SimSun" w:cs="Times New Roman"/>
                <w:kern w:val="0"/>
                <w:sz w:val="18"/>
                <w:szCs w:val="18"/>
                <w:highlight w:val="green"/>
                <w:lang w:val="en-US" w:eastAsia="zh-CN" w:bidi="ar-SA"/>
              </w:rPr>
              <w:t>0.015</w:t>
            </w:r>
          </w:p>
        </w:tc>
        <w:tc>
          <w:tcPr>
            <w:tcW w:w="1806"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Inter-index</w:t>
            </w:r>
          </w:p>
        </w:tc>
      </w:tr>
      <w:tr>
        <w:trPr/>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w:t>
            </w:r>
          </w:p>
        </w:tc>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0.383</w:t>
            </w:r>
          </w:p>
        </w:tc>
        <w:tc>
          <w:tcPr>
            <w:tcW w:w="180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mean_NDVI</w:t>
            </w:r>
          </w:p>
        </w:tc>
        <w:tc>
          <w:tcPr>
            <w:tcW w:w="9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0.360</w:t>
            </w:r>
          </w:p>
        </w:tc>
        <w:tc>
          <w:tcPr>
            <w:tcW w:w="900"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w:t>
            </w:r>
            <w:r>
              <w:rPr>
                <w:rFonts w:eastAsia="SimSun" w:cs="Times New Roman"/>
                <w:kern w:val="0"/>
                <w:sz w:val="18"/>
                <w:szCs w:val="18"/>
                <w:highlight w:val="green"/>
                <w:lang w:val="en-US" w:eastAsia="zh-CN" w:bidi="ar-SA"/>
              </w:rPr>
              <w:t>0.023</w:t>
            </w:r>
          </w:p>
        </w:tc>
        <w:tc>
          <w:tcPr>
            <w:tcW w:w="1806"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Multi-seasonal</w:t>
            </w:r>
          </w:p>
        </w:tc>
      </w:tr>
      <w:tr>
        <w:trPr/>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pH</w:t>
            </w:r>
          </w:p>
        </w:tc>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0.670</w:t>
            </w:r>
          </w:p>
        </w:tc>
        <w:tc>
          <w:tcPr>
            <w:tcW w:w="180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mean_GNDVI</w:t>
            </w:r>
          </w:p>
        </w:tc>
        <w:tc>
          <w:tcPr>
            <w:tcW w:w="9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0.591</w:t>
            </w:r>
          </w:p>
        </w:tc>
        <w:tc>
          <w:tcPr>
            <w:tcW w:w="900"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w:t>
            </w:r>
            <w:r>
              <w:rPr>
                <w:rFonts w:eastAsia="SimSun" w:cs="Times New Roman"/>
                <w:kern w:val="0"/>
                <w:sz w:val="18"/>
                <w:szCs w:val="18"/>
                <w:highlight w:val="green"/>
                <w:lang w:val="en-US" w:eastAsia="zh-CN" w:bidi="ar-SA"/>
              </w:rPr>
              <w:t>0.079</w:t>
            </w:r>
          </w:p>
        </w:tc>
        <w:tc>
          <w:tcPr>
            <w:tcW w:w="1806"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Multi-seasonal</w:t>
            </w:r>
          </w:p>
        </w:tc>
      </w:tr>
      <w:tr>
        <w:trPr/>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SOC</w:t>
            </w:r>
          </w:p>
        </w:tc>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0.368</w:t>
            </w:r>
          </w:p>
        </w:tc>
        <w:tc>
          <w:tcPr>
            <w:tcW w:w="180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ΔGNDVI_late-summer−spring</w:t>
            </w:r>
          </w:p>
        </w:tc>
        <w:tc>
          <w:tcPr>
            <w:tcW w:w="9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0.276</w:t>
            </w:r>
          </w:p>
        </w:tc>
        <w:tc>
          <w:tcPr>
            <w:tcW w:w="900"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w:t>
            </w:r>
            <w:r>
              <w:rPr>
                <w:rFonts w:eastAsia="SimSun" w:cs="Times New Roman"/>
                <w:kern w:val="0"/>
                <w:sz w:val="18"/>
                <w:szCs w:val="18"/>
                <w:highlight w:val="green"/>
                <w:lang w:val="en-US" w:eastAsia="zh-CN" w:bidi="ar-SA"/>
              </w:rPr>
              <w:t>0.092</w:t>
            </w:r>
          </w:p>
        </w:tc>
        <w:tc>
          <w:tcPr>
            <w:tcW w:w="1806"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Multi-seasonal</w:t>
            </w:r>
          </w:p>
        </w:tc>
      </w:tr>
      <w:tr>
        <w:trPr/>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P2O5</w:t>
            </w:r>
          </w:p>
        </w:tc>
        <w:tc>
          <w:tcPr>
            <w:tcW w:w="18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0.525</w:t>
            </w:r>
          </w:p>
        </w:tc>
        <w:tc>
          <w:tcPr>
            <w:tcW w:w="1801"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EVI−NDRE_spring</w:t>
            </w:r>
          </w:p>
        </w:tc>
        <w:tc>
          <w:tcPr>
            <w:tcW w:w="903"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0.390</w:t>
            </w:r>
          </w:p>
        </w:tc>
        <w:tc>
          <w:tcPr>
            <w:tcW w:w="900"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w:t>
            </w:r>
            <w:r>
              <w:rPr>
                <w:rFonts w:eastAsia="SimSun" w:cs="Times New Roman"/>
                <w:kern w:val="0"/>
                <w:sz w:val="18"/>
                <w:szCs w:val="18"/>
                <w:highlight w:val="green"/>
                <w:lang w:val="en-US" w:eastAsia="zh-CN" w:bidi="ar-SA"/>
              </w:rPr>
              <w:t>0.135</w:t>
            </w:r>
          </w:p>
        </w:tc>
        <w:tc>
          <w:tcPr>
            <w:tcW w:w="1806" w:type="dxa"/>
            <w:tcBorders/>
          </w:tcPr>
          <w:p>
            <w:pPr>
              <w:pStyle w:val="Normal"/>
              <w:widowControl/>
              <w:spacing w:before="0" w:after="0"/>
              <w:rPr>
                <w:rFonts w:eastAsia="SimSun" w:cs="Times New Roman"/>
                <w:kern w:val="0"/>
                <w:sz w:val="18"/>
                <w:szCs w:val="18"/>
                <w:lang w:val="en-US" w:eastAsia="zh-CN" w:bidi="ar-SA"/>
              </w:rPr>
            </w:pPr>
            <w:r>
              <w:rPr>
                <w:rFonts w:eastAsia="SimSun" w:cs="Times New Roman"/>
                <w:kern w:val="0"/>
                <w:sz w:val="18"/>
                <w:szCs w:val="18"/>
                <w:highlight w:val="green"/>
                <w:lang w:val="en-US" w:eastAsia="zh-CN" w:bidi="ar-SA"/>
              </w:rPr>
              <w:t>Inter-index</w:t>
            </w:r>
          </w:p>
        </w:tc>
      </w:tr>
    </w:tbl>
    <w:p>
      <w:pPr>
        <w:pStyle w:val="Normal"/>
        <w:rPr>
          <w:b/>
          <w:highlight w:val="green"/>
        </w:rPr>
      </w:pPr>
      <w:r>
        <w:rPr>
          <w:b/>
          <w:highlight w:val="green"/>
        </w:rPr>
      </w:r>
    </w:p>
    <w:p>
      <w:pPr>
        <w:pStyle w:val="Normal"/>
        <w:widowControl/>
        <w:suppressAutoHyphens w:val="false"/>
        <w:bidi w:val="0"/>
        <w:spacing w:lineRule="atLeast" w:line="280" w:before="0" w:after="0"/>
        <w:ind w:firstLine="439" w:start="2608" w:end="0"/>
        <w:jc w:val="both"/>
        <w:rPr/>
      </w:pPr>
      <w:r>
        <w:rPr>
          <w:b/>
          <w:highlight w:val="green"/>
        </w:rPr>
        <w:t xml:space="preserve">Key observations. </w:t>
      </w:r>
      <w:r>
        <w:rPr>
          <w:highlight w:val="green"/>
        </w:rPr>
        <w:t>First, the only robust gain is provided by the inter-index combination GNDVI×BSI for K2O (Δ|ρ| = +0.010): it amplifies the contrast between green biomass and bare soil, consistent with the hypothesis of mineralogical control (illitic clays). Second, for NO3 and S the composites (GNDVI−NDRE, mean_NDVI) approach the singles by |ρ| (gap &lt; 0.025), but do not surpass them, indicating saturation of the informativeness of simple indices. Third, for pH, SOC and P2O5 the single indices remain substantially more informative than the composites (Δ|ρ| from −0.079 to −0.135), reflecting the presence of a single dominant physical mechanism (carbonate content for pH, humus for SOC, fertility for P2O5) that is already well captured by a basic index. Thus, composite configurations rarely outperform the best single indices, but in the case of K2O they provide a mechanistically meaningful signal amplification.</w:t>
      </w:r>
    </w:p>
    <w:p>
      <w:pPr>
        <w:pStyle w:val="MDPI31text"/>
        <w:rPr/>
      </w:pPr>
      <w:r>
        <w:rPr/>
      </w:r>
    </w:p>
    <w:p>
      <w:pPr>
        <w:pStyle w:val="MDPI31text"/>
        <w:rPr/>
      </w:pPr>
      <w:r>
        <w:rPr/>
        <w:t>For K</w:t>
      </w:r>
      <w:r>
        <w:rPr>
          <w:vertAlign w:val="subscript"/>
        </w:rPr>
        <w:t>2</w:t>
      </w:r>
      <w:r>
        <w:rPr/>
        <w:t>O GNDVI</w:t>
      </w:r>
      <w:r>
        <w:rPr/>
      </w:r>
      <m:oMath xmlns:m="http://schemas.openxmlformats.org/officeDocument/2006/math">
        <m:r>
          <m:t xml:space="preserve">×</m:t>
        </m:r>
      </m:oMath>
      <w:r>
        <w:rPr/>
        <w:t>BSI (</w:t>
      </w:r>
      <w:r>
        <w:rPr>
          <w:i/>
          <w:iCs/>
          <w:lang w:val="ru-RU"/>
        </w:rPr>
        <w:t>ρ</w:t>
      </w:r>
      <w:r>
        <w:rPr/>
        <w:t>= -0.488) exceeded BSI (</w:t>
      </w:r>
      <w:r>
        <w:rPr>
          <w:i/>
          <w:iCs/>
          <w:lang w:val="ru-RU"/>
        </w:rPr>
        <w:t>ρ</w:t>
      </w:r>
      <w:r>
        <w:rPr/>
        <w:t xml:space="preserve">= -0.478) by only </w:t>
      </w:r>
      <w:r>
        <w:rPr>
          <w:i/>
          <w:iCs/>
          <w:lang w:val="ru-RU"/>
        </w:rPr>
        <w:t>Δ</w:t>
      </w:r>
      <w:r>
        <w:rPr>
          <w:i/>
        </w:rPr>
        <w:t>|</w:t>
      </w:r>
      <w:r>
        <w:rPr>
          <w:i/>
          <w:iCs/>
          <w:lang w:val="ru-RU"/>
        </w:rPr>
        <w:t>ρ</w:t>
      </w:r>
      <w:r>
        <w:rPr>
          <w:i/>
        </w:rPr>
        <w:t>|</w:t>
      </w:r>
      <w:r>
        <w:rPr/>
        <w:t>= +0.010. This improvement is marginal, and overall, the 110 composite features did not provide a systematic advantage over single indices (Figure 9).</w:t>
      </w:r>
    </w:p>
    <w:p>
      <w:pPr>
        <w:pStyle w:val="Normal"/>
        <w:spacing w:lineRule="auto" w:line="240"/>
        <w:jc w:val="start"/>
        <w:rPr>
          <w:b/>
          <w:sz w:val="18"/>
          <w:szCs w:val="18"/>
        </w:rPr>
      </w:pPr>
      <w:r>
        <w:rPr/>
        <w:drawing>
          <wp:inline distT="0" distB="0" distL="0" distR="0">
            <wp:extent cx="6816090" cy="3371850"/>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12"/>
                    <a:stretch>
                      <a:fillRect/>
                    </a:stretch>
                  </pic:blipFill>
                  <pic:spPr bwMode="auto">
                    <a:xfrm>
                      <a:off x="0" y="0"/>
                      <a:ext cx="6816090" cy="3371850"/>
                    </a:xfrm>
                    <a:prstGeom prst="rect">
                      <a:avLst/>
                    </a:prstGeom>
                    <a:noFill/>
                  </pic:spPr>
                </pic:pic>
              </a:graphicData>
            </a:graphic>
          </wp:inline>
        </w:drawing>
      </w:r>
    </w:p>
    <w:p>
      <w:pPr>
        <w:pStyle w:val="Normal"/>
        <w:spacing w:lineRule="auto" w:line="240" w:beforeAutospacing="1" w:afterAutospacing="1"/>
        <w:ind w:start="2608"/>
        <w:jc w:val="start"/>
        <w:rPr>
          <w:sz w:val="18"/>
          <w:szCs w:val="18"/>
        </w:rPr>
      </w:pPr>
      <w:r>
        <w:rPr>
          <w:b/>
          <w:sz w:val="18"/>
          <w:szCs w:val="18"/>
        </w:rPr>
        <w:t xml:space="preserve">Figure 9. </w:t>
      </w:r>
      <w:r>
        <w:rPr>
          <w:iCs/>
          <w:sz w:val="18"/>
          <w:szCs w:val="18"/>
        </w:rPr>
        <w:t xml:space="preserve">Comparison of the best single (blue) and composite (orange) spectral features for each property based on </w:t>
      </w:r>
      <w:r>
        <w:rPr>
          <w:i/>
          <w:iCs/>
          <w:sz w:val="18"/>
          <w:szCs w:val="18"/>
        </w:rPr>
        <w:t>|</w:t>
      </w:r>
      <w:r>
        <w:rPr>
          <w:i/>
          <w:iCs/>
          <w:sz w:val="18"/>
          <w:szCs w:val="18"/>
          <w:lang w:val="ru-RU"/>
        </w:rPr>
        <w:t>ρ</w:t>
      </w:r>
      <w:r>
        <w:rPr>
          <w:i/>
          <w:iCs/>
          <w:sz w:val="18"/>
          <w:szCs w:val="18"/>
        </w:rPr>
        <w:t>|</w:t>
      </w:r>
      <w:r>
        <w:rPr>
          <w:iCs/>
          <w:sz w:val="18"/>
          <w:szCs w:val="18"/>
        </w:rPr>
        <w:t>. For the majority of properties, single indices dominate; a significant advantage of composite features is observed only for K</w:t>
      </w:r>
      <w:r>
        <w:rPr>
          <w:iCs/>
          <w:sz w:val="18"/>
          <w:szCs w:val="18"/>
          <w:vertAlign w:val="subscript"/>
        </w:rPr>
        <w:t>2</w:t>
      </w:r>
      <w:r>
        <w:rPr>
          <w:iCs/>
          <w:sz w:val="18"/>
          <w:szCs w:val="18"/>
        </w:rPr>
        <w:t>O (GNDVI</w:t>
      </w:r>
      <w:r>
        <w:rPr/>
      </w:r>
      <m:oMath xmlns:m="http://schemas.openxmlformats.org/officeDocument/2006/math">
        <m:r>
          <m:t xml:space="preserve">×</m:t>
        </m:r>
      </m:oMath>
      <w:r>
        <w:rPr>
          <w:iCs/>
          <w:sz w:val="18"/>
          <w:szCs w:val="18"/>
        </w:rPr>
        <w:t xml:space="preserve">BSI, </w:t>
      </w:r>
      <w:r>
        <w:rPr>
          <w:i/>
          <w:iCs/>
          <w:sz w:val="18"/>
          <w:szCs w:val="18"/>
          <w:lang w:val="ru-RU"/>
        </w:rPr>
        <w:t>Δ</w:t>
      </w:r>
      <w:r>
        <w:rPr>
          <w:i/>
          <w:iCs/>
          <w:sz w:val="18"/>
          <w:szCs w:val="18"/>
        </w:rPr>
        <w:t>|</w:t>
      </w:r>
      <w:r>
        <w:rPr>
          <w:i/>
          <w:iCs/>
          <w:sz w:val="18"/>
          <w:szCs w:val="18"/>
          <w:lang w:val="ru-RU"/>
        </w:rPr>
        <w:t>ρ</w:t>
      </w:r>
      <w:r>
        <w:rPr>
          <w:i/>
          <w:iCs/>
          <w:sz w:val="18"/>
          <w:szCs w:val="18"/>
        </w:rPr>
        <w:t xml:space="preserve">| </w:t>
      </w:r>
      <w:r>
        <w:rPr>
          <w:iCs/>
          <w:sz w:val="18"/>
          <w:szCs w:val="18"/>
        </w:rPr>
        <w:t>=+0.010).</w:t>
      </w:r>
    </w:p>
    <w:p>
      <w:pPr>
        <w:pStyle w:val="MDPI22heading2"/>
        <w:spacing w:before="240" w:after="60"/>
        <w:rPr/>
      </w:pPr>
      <w:r>
        <w:rPr/>
        <w:t>3.6. Spatial autocorrelation</w:t>
      </w:r>
    </w:p>
    <w:p>
      <w:pPr>
        <w:pStyle w:val="MDPI31text"/>
        <w:rPr/>
      </w:pPr>
      <w:r>
        <w:rPr/>
        <w:t xml:space="preserve">Global Moran </w:t>
      </w:r>
      <w:r>
        <w:rPr>
          <w:i/>
          <w:iCs/>
        </w:rPr>
        <w:t>I</w:t>
      </w:r>
      <w:r>
        <w:rPr/>
        <w:t xml:space="preserve"> for all six properties was found to be high (0.51–0.86, Table 14)—substantially higher than typical values reported for field-scale studies (</w:t>
      </w:r>
      <w:r>
        <w:rPr>
          <w:i/>
          <w:iCs/>
        </w:rPr>
        <w:t>I</w:t>
      </w:r>
      <w:r>
        <w:rPr/>
        <w:t xml:space="preserve"> = 0.1–0.4) [</w:t>
      </w:r>
      <w:r>
        <w:rPr>
          <w:highlight w:val="yellow"/>
        </w:rPr>
        <w:t>34; 35</w:t>
      </w:r>
      <w:r>
        <w:rPr/>
        <w:t>], which is explained by the vast scale of the study area (~500 km) and regional zonal gradients [</w:t>
      </w:r>
      <w:r>
        <w:rPr>
          <w:highlight w:val="yellow"/>
        </w:rPr>
        <w:t>36</w:t>
      </w:r>
      <w:r>
        <w:rPr/>
        <w:t>]. Empirical semivariograms (spherical model, 25 lags) yield ranges of 137 km for pH, 97 km for SOC, 86 km for K</w:t>
      </w:r>
      <w:r>
        <w:rPr>
          <w:vertAlign w:val="subscript"/>
        </w:rPr>
        <w:t>2</w:t>
      </w:r>
      <w:r>
        <w:rPr/>
        <w:t>O, 106 km for NO</w:t>
      </w:r>
      <w:r>
        <w:rPr>
          <w:vertAlign w:val="subscript"/>
        </w:rPr>
        <w:t>3</w:t>
      </w:r>
      <w:r>
        <w:rPr/>
        <w:t>, and 49 km for P</w:t>
      </w:r>
      <w:r>
        <w:rPr>
          <w:vertAlign w:val="subscript"/>
        </w:rPr>
        <w:t>2</w:t>
      </w:r>
      <w:r>
        <w:rPr/>
        <w:t>O</w:t>
      </w:r>
      <w:r>
        <w:rPr>
          <w:vertAlign w:val="subscript"/>
        </w:rPr>
        <w:t>5</w:t>
      </w:r>
      <w:r>
        <w:rPr/>
        <w:t xml:space="preserve">, confirming the regional nature of the variability. The nugget effect (C₀) for all properties approaches zero, indicating a low level of micro-scale noise relative to the structural component. The downside of a high </w:t>
      </w:r>
      <w:r>
        <w:rPr>
          <w:i/>
          <w:iCs/>
        </w:rPr>
        <w:t>I</w:t>
      </w:r>
      <w:r>
        <w:rPr/>
        <w:t xml:space="preserve"> is that random train/test splitting inflates model accuracy estimates </w:t>
      </w:r>
      <w:r>
        <w:rPr>
          <w:highlight w:val="yellow"/>
        </w:rPr>
        <w:t>[37; 38],</w:t>
      </w:r>
      <w:r>
        <w:rPr/>
        <w:t xml:space="preserve"> which makes the use of spatial validation mandatory.</w:t>
      </w:r>
    </w:p>
    <w:p>
      <w:pPr>
        <w:pStyle w:val="MDPI31text"/>
        <w:rPr/>
      </w:pPr>
      <w:r>
        <w:rPr/>
        <w:t>The effect of declustering is presented in Table 14 and Figure 10.</w:t>
      </w:r>
    </w:p>
    <w:p>
      <w:pPr>
        <w:pStyle w:val="Normal"/>
        <w:spacing w:lineRule="auto" w:line="240"/>
        <w:ind w:start="1474"/>
        <w:jc w:val="start"/>
        <w:rPr>
          <w:b/>
          <w:sz w:val="18"/>
          <w:szCs w:val="18"/>
        </w:rPr>
      </w:pPr>
      <w:r>
        <w:rPr/>
        <w:drawing>
          <wp:inline distT="0" distB="0" distL="0" distR="0">
            <wp:extent cx="5523230" cy="3971925"/>
            <wp:effectExtent l="0" t="0" r="0"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
                    <pic:cNvPicPr>
                      <a:picLocks noChangeAspect="1" noChangeArrowheads="1"/>
                    </pic:cNvPicPr>
                  </pic:nvPicPr>
                  <pic:blipFill>
                    <a:blip r:embed="rId13"/>
                    <a:stretch>
                      <a:fillRect/>
                    </a:stretch>
                  </pic:blipFill>
                  <pic:spPr bwMode="auto">
                    <a:xfrm>
                      <a:off x="0" y="0"/>
                      <a:ext cx="5523230" cy="3971925"/>
                    </a:xfrm>
                    <a:prstGeom prst="rect">
                      <a:avLst/>
                    </a:prstGeom>
                    <a:noFill/>
                  </pic:spPr>
                </pic:pic>
              </a:graphicData>
            </a:graphic>
          </wp:inline>
        </w:drawing>
      </w:r>
    </w:p>
    <w:p>
      <w:pPr>
        <w:pStyle w:val="Normal"/>
        <w:spacing w:lineRule="auto" w:line="240" w:beforeAutospacing="1" w:afterAutospacing="1"/>
        <w:ind w:start="2608"/>
        <w:jc w:val="start"/>
        <w:rPr/>
      </w:pPr>
      <w:r>
        <w:rPr>
          <w:b/>
          <w:sz w:val="18"/>
          <w:szCs w:val="18"/>
        </w:rPr>
        <w:t xml:space="preserve">Figure 10. </w:t>
      </w:r>
      <w:r>
        <w:rPr>
          <w:iCs/>
          <w:sz w:val="18"/>
          <w:szCs w:val="18"/>
        </w:rPr>
        <w:t xml:space="preserve">Global Moran </w:t>
      </w:r>
      <w:r>
        <w:rPr>
          <w:i/>
          <w:iCs/>
          <w:sz w:val="18"/>
          <w:szCs w:val="18"/>
        </w:rPr>
        <w:t>I</w:t>
      </w:r>
      <w:r>
        <w:rPr>
          <w:iCs/>
          <w:sz w:val="18"/>
          <w:szCs w:val="18"/>
        </w:rPr>
        <w:t xml:space="preserve"> for the six agrochemical properties. The dashed line represents the maximum </w:t>
      </w:r>
      <w:r>
        <w:rPr>
          <w:i/>
          <w:iCs/>
          <w:sz w:val="18"/>
          <w:szCs w:val="18"/>
        </w:rPr>
        <w:t>I</w:t>
      </w:r>
      <w:r>
        <w:rPr>
          <w:iCs/>
          <w:sz w:val="18"/>
          <w:szCs w:val="18"/>
        </w:rPr>
        <w:t xml:space="preserve"> typical for field-scale studies (0.4). All </w:t>
      </w:r>
      <w:r>
        <w:rPr>
          <w:i/>
          <w:iCs/>
          <w:sz w:val="18"/>
          <w:szCs w:val="18"/>
        </w:rPr>
        <w:t>z</w:t>
      </w:r>
      <w:r>
        <w:rPr>
          <w:iCs/>
          <w:sz w:val="18"/>
          <w:szCs w:val="18"/>
        </w:rPr>
        <w:t xml:space="preserve">-scores &gt; 100, </w:t>
      </w:r>
      <w:r>
        <w:rPr>
          <w:i/>
          <w:iCs/>
          <w:sz w:val="18"/>
          <w:szCs w:val="18"/>
        </w:rPr>
        <w:t>p</w:t>
      </w:r>
      <w:r>
        <w:rPr>
          <w:iCs/>
          <w:sz w:val="18"/>
          <w:szCs w:val="18"/>
        </w:rPr>
        <w:t xml:space="preserve">≈0. </w:t>
      </w:r>
    </w:p>
    <w:p>
      <w:pPr>
        <w:pStyle w:val="MDPI31text"/>
        <w:spacing w:before="240" w:after="120"/>
        <w:ind w:hanging="0" w:start="2608"/>
        <w:rPr>
          <w:sz w:val="18"/>
          <w:szCs w:val="18"/>
        </w:rPr>
      </w:pPr>
      <w:r>
        <w:rPr>
          <w:b/>
          <w:sz w:val="18"/>
          <w:szCs w:val="18"/>
        </w:rPr>
        <w:t xml:space="preserve">Table 14. </w:t>
      </w:r>
      <w:r>
        <w:rPr>
          <w:sz w:val="18"/>
          <w:szCs w:val="18"/>
        </w:rPr>
        <w:t xml:space="preserve">Global Moran </w:t>
      </w:r>
      <w:r>
        <w:rPr>
          <w:i/>
          <w:iCs/>
          <w:sz w:val="18"/>
          <w:szCs w:val="18"/>
        </w:rPr>
        <w:t>I</w:t>
      </w:r>
      <w:r>
        <w:rPr>
          <w:sz w:val="18"/>
          <w:szCs w:val="18"/>
        </w:rPr>
        <w:t xml:space="preserve"> at the plot level and after declustering (field averages).</w:t>
      </w:r>
    </w:p>
    <w:tbl>
      <w:tblPr>
        <w:tblStyle w:val="Table"/>
        <w:tblW w:w="9664" w:type="dxa"/>
        <w:jc w:val="start"/>
        <w:tblInd w:w="793" w:type="dxa"/>
        <w:tblLayout w:type="fixed"/>
        <w:tblCellMar>
          <w:top w:w="0" w:type="dxa"/>
          <w:start w:w="108" w:type="dxa"/>
          <w:bottom w:w="0" w:type="dxa"/>
          <w:end w:w="108" w:type="dxa"/>
        </w:tblCellMar>
        <w:tblLook w:firstRow="0" w:noVBand="0" w:lastRow="0" w:firstColumn="0" w:lastColumn="0" w:noHBand="0" w:val="0000"/>
      </w:tblPr>
      <w:tblGrid>
        <w:gridCol w:w="1208"/>
        <w:gridCol w:w="1208"/>
        <w:gridCol w:w="1208"/>
        <w:gridCol w:w="1208"/>
        <w:gridCol w:w="1208"/>
        <w:gridCol w:w="1208"/>
        <w:gridCol w:w="1031"/>
        <w:gridCol w:w="1385"/>
      </w:tblGrid>
      <w:tr>
        <w:trPr>
          <w:trHeight w:val="879" w:hRule="atLeast"/>
        </w:trPr>
        <w:tc>
          <w:tcPr>
            <w:tcW w:w="1208" w:type="dxa"/>
            <w:tcBorders>
              <w:top w:val="single" w:sz="4" w:space="0" w:color="000000"/>
              <w:bottom w:val="single" w:sz="4" w:space="0" w:color="000000"/>
            </w:tcBorders>
            <w:vAlign w:val="center"/>
          </w:tcPr>
          <w:p>
            <w:pPr>
              <w:pStyle w:val="Compact"/>
              <w:widowControl/>
              <w:suppressAutoHyphens w:val="true"/>
              <w:spacing w:before="0" w:after="0"/>
              <w:jc w:val="center"/>
              <w:rPr>
                <w:rFonts w:ascii="Palatino Linotype" w:hAnsi="Palatino Linotype" w:eastAsia="Cambria"/>
                <w:b/>
                <w:bCs/>
                <w:sz w:val="18"/>
                <w:szCs w:val="18"/>
              </w:rPr>
            </w:pPr>
            <w:r>
              <w:rPr>
                <w:rFonts w:eastAsia="Cambria" w:ascii="Palatino Linotype" w:hAnsi="Palatino Linotype"/>
                <w:b/>
                <w:bCs/>
                <w:kern w:val="0"/>
                <w:sz w:val="18"/>
                <w:szCs w:val="18"/>
                <w:lang w:val="ru-RU" w:bidi="ar-SA"/>
              </w:rPr>
              <w:t>Property</w:t>
            </w:r>
          </w:p>
        </w:tc>
        <w:tc>
          <w:tcPr>
            <w:tcW w:w="1208"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i/>
                <w:iCs/>
                <w:sz w:val="18"/>
                <w:szCs w:val="18"/>
              </w:rPr>
            </w:pPr>
            <w:r>
              <w:rPr>
                <w:rFonts w:eastAsia="Cambria" w:ascii="Palatino Linotype" w:hAnsi="Palatino Linotype"/>
                <w:b/>
                <w:bCs/>
                <w:i/>
                <w:iCs/>
                <w:kern w:val="0"/>
                <w:sz w:val="18"/>
                <w:szCs w:val="18"/>
                <w:lang w:val="ru-RU" w:bidi="ar-SA"/>
              </w:rPr>
              <w:t>I</w:t>
            </w:r>
          </w:p>
          <w:p>
            <w:pPr>
              <w:pStyle w:val="Compact"/>
              <w:widowControl/>
              <w:suppressAutoHyphens w:val="true"/>
              <w:spacing w:before="0" w:after="0"/>
              <w:jc w:val="center"/>
              <w:rPr>
                <w:rFonts w:ascii="Palatino Linotype" w:hAnsi="Palatino Linotype" w:eastAsia="Cambria"/>
                <w:b/>
                <w:bCs/>
                <w:sz w:val="18"/>
                <w:szCs w:val="18"/>
              </w:rPr>
            </w:pPr>
            <w:r>
              <w:rPr>
                <w:rFonts w:eastAsia="Cambria" w:ascii="Palatino Linotype" w:hAnsi="Palatino Linotype"/>
                <w:b/>
                <w:bCs/>
                <w:kern w:val="0"/>
                <w:sz w:val="18"/>
                <w:szCs w:val="18"/>
                <w:lang w:val="ru-RU" w:bidi="ar-SA"/>
              </w:rPr>
              <w:t>(</w:t>
            </w:r>
            <w:r>
              <w:rPr>
                <w:rFonts w:eastAsia="Cambria" w:ascii="Palatino Linotype" w:hAnsi="Palatino Linotype"/>
                <w:b/>
                <w:bCs/>
                <w:i/>
                <w:iCs/>
                <w:kern w:val="0"/>
                <w:sz w:val="18"/>
                <w:szCs w:val="18"/>
                <w:lang w:val="ru-RU" w:bidi="ar-SA"/>
              </w:rPr>
              <w:t>n</w:t>
            </w:r>
            <w:r>
              <w:rPr>
                <w:rFonts w:eastAsia="Cambria" w:ascii="Palatino Linotype" w:hAnsi="Palatino Linotype"/>
                <w:b/>
                <w:bCs/>
                <w:kern w:val="0"/>
                <w:sz w:val="18"/>
                <w:szCs w:val="18"/>
                <w:lang w:val="ru-RU" w:bidi="ar-SA"/>
              </w:rPr>
              <w:t xml:space="preserve"> = 1085)</w:t>
            </w:r>
          </w:p>
        </w:tc>
        <w:tc>
          <w:tcPr>
            <w:tcW w:w="1208" w:type="dxa"/>
            <w:tcBorders>
              <w:top w:val="single" w:sz="4" w:space="0" w:color="000000"/>
              <w:bottom w:val="single" w:sz="4" w:space="0" w:color="000000"/>
            </w:tcBorders>
            <w:vAlign w:val="center"/>
          </w:tcPr>
          <w:p>
            <w:pPr>
              <w:pStyle w:val="Compact"/>
              <w:widowControl/>
              <w:suppressAutoHyphens w:val="true"/>
              <w:spacing w:before="0" w:after="0"/>
              <w:jc w:val="center"/>
              <w:rPr>
                <w:rFonts w:ascii="Palatino Linotype" w:hAnsi="Palatino Linotype" w:eastAsia="Cambria"/>
                <w:b/>
                <w:bCs/>
                <w:sz w:val="18"/>
                <w:szCs w:val="18"/>
                <w:lang w:val="en-US"/>
              </w:rPr>
            </w:pPr>
            <w:r>
              <w:rPr>
                <w:rFonts w:eastAsia="Cambria" w:ascii="Palatino Linotype" w:hAnsi="Palatino Linotype"/>
                <w:b/>
                <w:bCs/>
                <w:i/>
                <w:iCs/>
                <w:kern w:val="0"/>
                <w:sz w:val="18"/>
                <w:szCs w:val="18"/>
                <w:lang w:val="ru-RU" w:bidi="ar-SA"/>
              </w:rPr>
              <w:t>z</w:t>
            </w:r>
            <w:r>
              <w:rPr>
                <w:rFonts w:eastAsia="Cambria" w:ascii="Palatino Linotype" w:hAnsi="Palatino Linotype"/>
                <w:b/>
                <w:bCs/>
                <w:kern w:val="0"/>
                <w:sz w:val="18"/>
                <w:szCs w:val="18"/>
                <w:vertAlign w:val="subscript"/>
                <w:lang w:val="en-US" w:bidi="ar-SA"/>
              </w:rPr>
              <w:t>sample</w:t>
            </w:r>
          </w:p>
        </w:tc>
        <w:tc>
          <w:tcPr>
            <w:tcW w:w="1208" w:type="dxa"/>
            <w:tcBorders>
              <w:top w:val="single" w:sz="4" w:space="0" w:color="000000"/>
              <w:bottom w:val="single" w:sz="4" w:space="0" w:color="000000"/>
            </w:tcBorders>
            <w:vAlign w:val="center"/>
          </w:tcPr>
          <w:p>
            <w:pPr>
              <w:pStyle w:val="Compact"/>
              <w:widowControl/>
              <w:suppressAutoHyphens w:val="true"/>
              <w:spacing w:before="0" w:after="0"/>
              <w:jc w:val="center"/>
              <w:rPr>
                <w:rFonts w:ascii="Palatino Linotype" w:hAnsi="Palatino Linotype" w:eastAsia="Cambria"/>
                <w:b/>
                <w:bCs/>
                <w:i/>
                <w:iCs/>
                <w:sz w:val="18"/>
                <w:szCs w:val="18"/>
              </w:rPr>
            </w:pPr>
            <w:r>
              <w:rPr>
                <w:rFonts w:eastAsia="Cambria" w:ascii="Palatino Linotype" w:hAnsi="Palatino Linotype"/>
                <w:b/>
                <w:bCs/>
                <w:i/>
                <w:iCs/>
                <w:kern w:val="0"/>
                <w:sz w:val="18"/>
                <w:szCs w:val="18"/>
                <w:lang w:val="ru-RU" w:bidi="ar-SA"/>
              </w:rPr>
              <w:t>I</w:t>
            </w:r>
          </w:p>
          <w:p>
            <w:pPr>
              <w:pStyle w:val="Compact"/>
              <w:widowControl/>
              <w:suppressAutoHyphens w:val="true"/>
              <w:spacing w:before="0" w:after="0"/>
              <w:jc w:val="center"/>
              <w:rPr>
                <w:rFonts w:ascii="Palatino Linotype" w:hAnsi="Palatino Linotype" w:eastAsia="Cambria"/>
                <w:b/>
                <w:bCs/>
                <w:sz w:val="18"/>
                <w:szCs w:val="18"/>
              </w:rPr>
            </w:pPr>
            <w:r>
              <w:rPr>
                <w:rFonts w:eastAsia="Cambria" w:ascii="Palatino Linotype" w:hAnsi="Palatino Linotype"/>
                <w:b/>
                <w:bCs/>
                <w:kern w:val="0"/>
                <w:sz w:val="18"/>
                <w:szCs w:val="18"/>
                <w:lang w:val="ru-RU" w:bidi="ar-SA"/>
              </w:rPr>
              <w:t>(n = 81)</w:t>
            </w:r>
          </w:p>
        </w:tc>
        <w:tc>
          <w:tcPr>
            <w:tcW w:w="1208" w:type="dxa"/>
            <w:tcBorders>
              <w:top w:val="single" w:sz="4" w:space="0" w:color="000000"/>
              <w:bottom w:val="single" w:sz="4" w:space="0" w:color="000000"/>
            </w:tcBorders>
            <w:vAlign w:val="center"/>
          </w:tcPr>
          <w:p>
            <w:pPr>
              <w:pStyle w:val="Compact"/>
              <w:widowControl/>
              <w:suppressAutoHyphens w:val="true"/>
              <w:spacing w:before="0" w:after="0"/>
              <w:jc w:val="center"/>
              <w:rPr>
                <w:rFonts w:ascii="Palatino Linotype" w:hAnsi="Palatino Linotype" w:eastAsia="Cambria"/>
                <w:b/>
                <w:bCs/>
                <w:sz w:val="18"/>
                <w:szCs w:val="18"/>
                <w:lang w:val="en-US"/>
              </w:rPr>
            </w:pPr>
            <w:r>
              <w:rPr>
                <w:rFonts w:eastAsia="Cambria" w:ascii="Palatino Linotype" w:hAnsi="Palatino Linotype"/>
                <w:b/>
                <w:bCs/>
                <w:i/>
                <w:iCs/>
                <w:kern w:val="0"/>
                <w:sz w:val="18"/>
                <w:szCs w:val="18"/>
                <w:lang w:val="ru-RU" w:bidi="ar-SA"/>
              </w:rPr>
              <w:t>z</w:t>
            </w:r>
            <w:r>
              <w:rPr>
                <w:rFonts w:eastAsia="Cambria" w:ascii="Palatino Linotype" w:hAnsi="Palatino Linotype"/>
                <w:b/>
                <w:bCs/>
                <w:kern w:val="0"/>
                <w:sz w:val="18"/>
                <w:szCs w:val="18"/>
                <w:vertAlign w:val="subscript"/>
                <w:lang w:val="en-US" w:bidi="ar-SA"/>
              </w:rPr>
              <w:t>field</w:t>
            </w:r>
          </w:p>
        </w:tc>
        <w:tc>
          <w:tcPr>
            <w:tcW w:w="1208" w:type="dxa"/>
            <w:tcBorders>
              <w:top w:val="single" w:sz="4" w:space="0" w:color="000000"/>
              <w:bottom w:val="single" w:sz="4" w:space="0" w:color="000000"/>
            </w:tcBorders>
            <w:vAlign w:val="center"/>
          </w:tcPr>
          <w:p>
            <w:pPr>
              <w:pStyle w:val="Compact"/>
              <w:widowControl/>
              <w:suppressAutoHyphens w:val="true"/>
              <w:spacing w:before="0" w:after="0"/>
              <w:jc w:val="center"/>
              <w:rPr>
                <w:rFonts w:ascii="Palatino Linotype" w:hAnsi="Palatino Linotype" w:eastAsia="Cambria"/>
                <w:b/>
                <w:bCs/>
                <w:sz w:val="18"/>
                <w:szCs w:val="18"/>
                <w:lang w:val="en-US"/>
              </w:rPr>
            </w:pPr>
            <w:r>
              <w:rPr>
                <w:rFonts w:eastAsia="Cambria" w:ascii="Palatino Linotype" w:hAnsi="Palatino Linotype"/>
                <w:b/>
                <w:bCs/>
                <w:i/>
                <w:iCs/>
                <w:kern w:val="0"/>
                <w:sz w:val="18"/>
                <w:szCs w:val="18"/>
                <w:lang w:val="ru-RU" w:bidi="ar-SA"/>
              </w:rPr>
              <w:t>p</w:t>
            </w:r>
            <w:r>
              <w:rPr>
                <w:rFonts w:eastAsia="Cambria" w:ascii="Palatino Linotype" w:hAnsi="Palatino Linotype"/>
                <w:b/>
                <w:bCs/>
                <w:kern w:val="0"/>
                <w:sz w:val="18"/>
                <w:szCs w:val="18"/>
                <w:vertAlign w:val="subscript"/>
                <w:lang w:val="en-US" w:bidi="ar-SA"/>
              </w:rPr>
              <w:t>field</w:t>
            </w:r>
          </w:p>
        </w:tc>
        <w:tc>
          <w:tcPr>
            <w:tcW w:w="1031" w:type="dxa"/>
            <w:tcBorders>
              <w:top w:val="single" w:sz="4" w:space="0" w:color="000000"/>
              <w:bottom w:val="single" w:sz="4" w:space="0" w:color="000000"/>
            </w:tcBorders>
            <w:vAlign w:val="center"/>
          </w:tcPr>
          <w:p>
            <w:pPr>
              <w:pStyle w:val="Compact"/>
              <w:widowControl/>
              <w:suppressAutoHyphens w:val="true"/>
              <w:spacing w:before="0" w:after="0"/>
              <w:jc w:val="center"/>
              <w:rPr>
                <w:rFonts w:ascii="Palatino Linotype" w:hAnsi="Palatino Linotype" w:eastAsia="Cambria"/>
                <w:b/>
                <w:bCs/>
                <w:i/>
                <w:iCs/>
                <w:sz w:val="18"/>
                <w:szCs w:val="18"/>
              </w:rPr>
            </w:pPr>
            <w:r>
              <w:rPr>
                <w:rFonts w:eastAsia="Cambria" w:ascii="Palatino Linotype" w:hAnsi="Palatino Linotype"/>
                <w:b/>
                <w:bCs/>
                <w:i/>
                <w:iCs/>
                <w:kern w:val="0"/>
                <w:sz w:val="20"/>
                <w:szCs w:val="20"/>
                <w:lang w:val="ru-RU" w:bidi="ar-SA"/>
              </w:rPr>
              <w:t>ΔI</w:t>
            </w:r>
          </w:p>
        </w:tc>
        <w:tc>
          <w:tcPr>
            <w:tcW w:w="1385" w:type="dxa"/>
            <w:tcBorders>
              <w:top w:val="single" w:sz="4" w:space="0" w:color="000000"/>
              <w:bottom w:val="single" w:sz="4" w:space="0" w:color="000000"/>
            </w:tcBorders>
            <w:vAlign w:val="center"/>
          </w:tcPr>
          <w:p>
            <w:pPr>
              <w:pStyle w:val="Compact"/>
              <w:widowControl/>
              <w:suppressAutoHyphens w:val="true"/>
              <w:spacing w:before="0" w:after="0"/>
              <w:jc w:val="center"/>
              <w:rPr>
                <w:rFonts w:ascii="Palatino Linotype" w:hAnsi="Palatino Linotype" w:eastAsia="Cambria"/>
                <w:b/>
                <w:bCs/>
                <w:sz w:val="18"/>
                <w:szCs w:val="18"/>
              </w:rPr>
            </w:pPr>
            <w:r>
              <w:rPr>
                <w:rFonts w:eastAsia="Cambria" w:ascii="Palatino Linotype" w:hAnsi="Palatino Linotype"/>
                <w:b/>
                <w:bCs/>
                <w:kern w:val="0"/>
                <w:sz w:val="18"/>
                <w:szCs w:val="18"/>
                <w:lang w:val="ru-RU" w:bidi="ar-SA"/>
              </w:rPr>
              <w:t>Pattern</w:t>
            </w:r>
          </w:p>
        </w:tc>
      </w:tr>
      <w:tr>
        <w:trPr>
          <w:trHeight w:val="626" w:hRule="atLeast"/>
        </w:trPr>
        <w:tc>
          <w:tcPr>
            <w:tcW w:w="1208"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pH</w:t>
            </w:r>
            <w:r>
              <w:rPr>
                <w:rFonts w:eastAsia="Cambria" w:ascii="Palatino Linotype" w:hAnsi="Palatino Linotype"/>
                <w:kern w:val="0"/>
                <w:sz w:val="18"/>
                <w:szCs w:val="18"/>
                <w:vertAlign w:val="subscript"/>
                <w:lang w:val="ru-RU" w:bidi="ar-SA"/>
              </w:rPr>
              <w:t>KCl</w:t>
            </w:r>
          </w:p>
        </w:tc>
        <w:tc>
          <w:tcPr>
            <w:tcW w:w="1208"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0.861</w:t>
            </w:r>
          </w:p>
        </w:tc>
        <w:tc>
          <w:tcPr>
            <w:tcW w:w="1208"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169.3</w:t>
            </w:r>
          </w:p>
        </w:tc>
        <w:tc>
          <w:tcPr>
            <w:tcW w:w="1208"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0.838</w:t>
            </w:r>
          </w:p>
        </w:tc>
        <w:tc>
          <w:tcPr>
            <w:tcW w:w="1208"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14.2</w:t>
            </w:r>
          </w:p>
        </w:tc>
        <w:tc>
          <w:tcPr>
            <w:tcW w:w="1208"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w:t>
            </w:r>
            <w:r>
              <w:rPr>
                <w:rFonts w:eastAsia="Cambria" w:ascii="Palatino Linotype" w:hAnsi="Palatino Linotype"/>
                <w:kern w:val="0"/>
                <w:sz w:val="18"/>
                <w:szCs w:val="18"/>
                <w:lang w:val="ru-RU" w:bidi="ar-SA"/>
              </w:rPr>
              <w:t>0</w:t>
            </w:r>
          </w:p>
        </w:tc>
        <w:tc>
          <w:tcPr>
            <w:tcW w:w="1031"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-0.023</w:t>
            </w:r>
          </w:p>
        </w:tc>
        <w:tc>
          <w:tcPr>
            <w:tcW w:w="1385" w:type="dxa"/>
            <w:tcBorders>
              <w:top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Zonal</w:t>
            </w:r>
          </w:p>
        </w:tc>
      </w:tr>
      <w:tr>
        <w:trPr>
          <w:trHeight w:val="638" w:hRule="atLeast"/>
        </w:trPr>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0.767</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151.9</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0.150</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2.8</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6.1×10</w:t>
            </w:r>
            <w:r>
              <w:rPr>
                <w:rFonts w:eastAsia="Cambria" w:ascii="Palatino Linotype" w:hAnsi="Palatino Linotype"/>
                <w:kern w:val="0"/>
                <w:sz w:val="18"/>
                <w:szCs w:val="18"/>
                <w:vertAlign w:val="superscript"/>
                <w:lang w:val="ru-RU" w:bidi="ar-SA"/>
              </w:rPr>
              <w:t>-3</w:t>
            </w:r>
          </w:p>
        </w:tc>
        <w:tc>
          <w:tcPr>
            <w:tcW w:w="1031"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-0.617</w:t>
            </w:r>
          </w:p>
        </w:tc>
        <w:tc>
          <w:tcPr>
            <w:tcW w:w="1385"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Artifact</w:t>
            </w:r>
          </w:p>
        </w:tc>
      </w:tr>
      <w:tr>
        <w:trPr>
          <w:trHeight w:val="626" w:hRule="atLeast"/>
        </w:trPr>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0.684</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134.7</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0.695</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12.0</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w:t>
            </w:r>
            <w:r>
              <w:rPr>
                <w:rFonts w:eastAsia="Cambria" w:ascii="Palatino Linotype" w:hAnsi="Palatino Linotype"/>
                <w:kern w:val="0"/>
                <w:sz w:val="18"/>
                <w:szCs w:val="18"/>
                <w:lang w:val="ru-RU" w:bidi="ar-SA"/>
              </w:rPr>
              <w:t>0</w:t>
            </w:r>
          </w:p>
        </w:tc>
        <w:tc>
          <w:tcPr>
            <w:tcW w:w="1031"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+0.011</w:t>
            </w:r>
          </w:p>
        </w:tc>
        <w:tc>
          <w:tcPr>
            <w:tcW w:w="1385"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en-US" w:bidi="ar-SA"/>
              </w:rPr>
              <w:t>Zonal</w:t>
            </w:r>
          </w:p>
        </w:tc>
      </w:tr>
      <w:tr>
        <w:trPr>
          <w:trHeight w:val="626" w:hRule="atLeast"/>
        </w:trPr>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0.676</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133.5</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0.418</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7.3</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2.7×10</w:t>
            </w:r>
            <w:r>
              <w:rPr>
                <w:rFonts w:eastAsia="Cambria" w:ascii="Palatino Linotype" w:hAnsi="Palatino Linotype"/>
                <w:kern w:val="0"/>
                <w:sz w:val="18"/>
                <w:szCs w:val="18"/>
                <w:vertAlign w:val="superscript"/>
                <w:lang w:val="ru-RU" w:bidi="ar-SA"/>
              </w:rPr>
              <w:t>-15</w:t>
            </w:r>
          </w:p>
        </w:tc>
        <w:tc>
          <w:tcPr>
            <w:tcW w:w="1031"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-0.257</w:t>
            </w:r>
          </w:p>
        </w:tc>
        <w:tc>
          <w:tcPr>
            <w:tcW w:w="1385" w:type="dxa"/>
            <w:tcBorders/>
            <w:vAlign w:val="center"/>
          </w:tcPr>
          <w:p>
            <w:pPr>
              <w:pStyle w:val="Compact"/>
              <w:widowControl/>
              <w:suppressAutoHyphens w:val="true"/>
              <w:spacing w:before="0" w:after="0"/>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Mixed</w:t>
            </w:r>
          </w:p>
        </w:tc>
      </w:tr>
      <w:tr>
        <w:trPr>
          <w:trHeight w:val="638" w:hRule="atLeast"/>
        </w:trPr>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0.628</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124.1</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0.373</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6.5</w:t>
            </w:r>
          </w:p>
        </w:tc>
        <w:tc>
          <w:tcPr>
            <w:tcW w:w="1208"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1.5×10</w:t>
            </w:r>
            <w:r>
              <w:rPr>
                <w:rFonts w:eastAsia="Cambria" w:ascii="Palatino Linotype" w:hAnsi="Palatino Linotype"/>
                <w:kern w:val="0"/>
                <w:sz w:val="18"/>
                <w:szCs w:val="18"/>
                <w:vertAlign w:val="superscript"/>
                <w:lang w:val="ru-RU" w:bidi="ar-SA"/>
              </w:rPr>
              <w:t>-9</w:t>
            </w:r>
          </w:p>
        </w:tc>
        <w:tc>
          <w:tcPr>
            <w:tcW w:w="1031"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-0.254</w:t>
            </w:r>
          </w:p>
        </w:tc>
        <w:tc>
          <w:tcPr>
            <w:tcW w:w="1385" w:type="dxa"/>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Mixed</w:t>
            </w:r>
          </w:p>
        </w:tc>
      </w:tr>
      <w:tr>
        <w:trPr>
          <w:trHeight w:val="626" w:hRule="atLeast"/>
        </w:trPr>
        <w:tc>
          <w:tcPr>
            <w:tcW w:w="1208"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1208"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0.510</w:t>
            </w:r>
          </w:p>
        </w:tc>
        <w:tc>
          <w:tcPr>
            <w:tcW w:w="1208"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100.4</w:t>
            </w:r>
          </w:p>
        </w:tc>
        <w:tc>
          <w:tcPr>
            <w:tcW w:w="1208"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0.500</w:t>
            </w:r>
          </w:p>
        </w:tc>
        <w:tc>
          <w:tcPr>
            <w:tcW w:w="1208"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8.7</w:t>
            </w:r>
          </w:p>
        </w:tc>
        <w:tc>
          <w:tcPr>
            <w:tcW w:w="1208"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w:t>
            </w:r>
            <w:r>
              <w:rPr>
                <w:rFonts w:eastAsia="Cambria" w:ascii="Palatino Linotype" w:hAnsi="Palatino Linotype"/>
                <w:kern w:val="0"/>
                <w:sz w:val="18"/>
                <w:szCs w:val="18"/>
                <w:lang w:val="ru-RU" w:bidi="ar-SA"/>
              </w:rPr>
              <w:t>0</w:t>
            </w:r>
          </w:p>
        </w:tc>
        <w:tc>
          <w:tcPr>
            <w:tcW w:w="1031"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-0.009</w:t>
            </w:r>
          </w:p>
        </w:tc>
        <w:tc>
          <w:tcPr>
            <w:tcW w:w="1385" w:type="dxa"/>
            <w:tcBorders>
              <w:bottom w:val="single" w:sz="4" w:space="0" w:color="000000"/>
            </w:tcBorders>
            <w:vAlign w:val="center"/>
          </w:tcPr>
          <w:p>
            <w:pPr>
              <w:pStyle w:val="Compact"/>
              <w:widowControl/>
              <w:suppressAutoHyphens w:val="true"/>
              <w:spacing w:before="0" w:after="0"/>
              <w:jc w:val="center"/>
              <w:rPr>
                <w:rFonts w:ascii="Palatino Linotype" w:hAnsi="Palatino Linotype" w:eastAsia="Cambria"/>
                <w:sz w:val="18"/>
                <w:szCs w:val="18"/>
              </w:rPr>
            </w:pPr>
            <w:r>
              <w:rPr>
                <w:rFonts w:eastAsia="Cambria" w:ascii="Palatino Linotype" w:hAnsi="Palatino Linotype"/>
                <w:kern w:val="0"/>
                <w:sz w:val="18"/>
                <w:szCs w:val="18"/>
                <w:lang w:val="ru-RU" w:bidi="ar-SA"/>
              </w:rPr>
              <w:t>Zonal</w:t>
            </w:r>
          </w:p>
        </w:tc>
      </w:tr>
    </w:tbl>
    <w:p>
      <w:pPr>
        <w:pStyle w:val="MDPI31text"/>
        <w:ind w:hanging="0" w:start="2608"/>
        <w:rPr>
          <w:sz w:val="18"/>
          <w:szCs w:val="18"/>
        </w:rPr>
      </w:pPr>
      <w:r>
        <w:rPr>
          <w:rFonts w:eastAsia="Cambria"/>
          <w:sz w:val="18"/>
          <w:szCs w:val="18"/>
        </w:rPr>
        <w:t xml:space="preserve">Note: </w:t>
      </w:r>
      <w:r>
        <w:rPr>
          <w:rFonts w:eastAsia="Cambria"/>
          <w:i/>
          <w:iCs/>
          <w:sz w:val="18"/>
          <w:szCs w:val="18"/>
        </w:rPr>
        <w:t>p</w:t>
      </w:r>
      <w:r>
        <w:rPr>
          <w:rFonts w:eastAsia="Cambria"/>
          <w:i/>
          <w:iCs/>
          <w:sz w:val="18"/>
          <w:szCs w:val="18"/>
          <w:vertAlign w:val="subscript"/>
        </w:rPr>
        <w:t>sample</w:t>
      </w:r>
      <w:r>
        <w:rPr>
          <w:rFonts w:eastAsia="Cambria"/>
          <w:sz w:val="18"/>
          <w:szCs w:val="18"/>
        </w:rPr>
        <w:t>≈0 for all properties (</w:t>
      </w:r>
      <w:r>
        <w:rPr>
          <w:rFonts w:eastAsia="Cambria"/>
          <w:i/>
          <w:iCs/>
          <w:sz w:val="18"/>
          <w:szCs w:val="18"/>
        </w:rPr>
        <w:t>z</w:t>
      </w:r>
      <w:r>
        <w:rPr>
          <w:rFonts w:eastAsia="Cambria"/>
          <w:sz w:val="18"/>
          <w:szCs w:val="18"/>
        </w:rPr>
        <w:t xml:space="preserve">&gt;100). </w:t>
      </w:r>
      <w:r>
        <w:rPr>
          <w:rFonts w:eastAsia="Cambria"/>
          <w:i/>
          <w:iCs/>
          <w:sz w:val="18"/>
          <w:szCs w:val="18"/>
        </w:rPr>
        <w:t>p</w:t>
      </w:r>
      <w:r>
        <w:rPr>
          <w:rFonts w:eastAsia="Cambria"/>
          <w:sz w:val="18"/>
          <w:szCs w:val="18"/>
          <w:vertAlign w:val="subscript"/>
        </w:rPr>
        <w:t>field</w:t>
      </w:r>
      <w:r>
        <w:rPr>
          <w:rFonts w:eastAsia="Cambria"/>
          <w:sz w:val="18"/>
          <w:szCs w:val="18"/>
        </w:rPr>
        <w:t xml:space="preserve"> is the significance of declustered </w:t>
      </w:r>
      <w:r>
        <w:rPr>
          <w:rFonts w:eastAsia="Cambria"/>
          <w:i/>
          <w:iCs/>
          <w:sz w:val="18"/>
          <w:szCs w:val="18"/>
        </w:rPr>
        <w:t>I</w:t>
      </w:r>
      <w:r>
        <w:rPr>
          <w:rFonts w:eastAsia="Cambria"/>
          <w:sz w:val="18"/>
          <w:szCs w:val="18"/>
        </w:rPr>
        <w:t>.</w:t>
      </w:r>
    </w:p>
    <w:p>
      <w:pPr>
        <w:pStyle w:val="Normal"/>
        <w:spacing w:lineRule="auto" w:line="240"/>
        <w:ind w:start="1474"/>
        <w:jc w:val="start"/>
        <w:rPr>
          <w:b/>
          <w:sz w:val="18"/>
          <w:szCs w:val="18"/>
        </w:rPr>
      </w:pPr>
      <w:r>
        <w:rPr>
          <w:b/>
          <w:sz w:val="18"/>
          <w:szCs w:val="18"/>
        </w:rPr>
      </w:r>
    </w:p>
    <w:p>
      <w:pPr>
        <w:pStyle w:val="Normal"/>
        <w:spacing w:lineRule="auto" w:line="240" w:beforeAutospacing="1" w:afterAutospacing="1"/>
        <w:ind w:start="2608"/>
        <w:jc w:val="start"/>
        <w:rPr/>
      </w:pPr>
      <w:r>
        <w:rPr/>
      </w:r>
    </w:p>
    <w:p>
      <w:pPr>
        <w:pStyle w:val="MDPI31text"/>
        <w:rPr/>
      </w:pPr>
      <w:r>
        <w:rPr/>
        <w:t>For pH, SOC, and K</w:t>
      </w:r>
      <w:r>
        <w:rPr>
          <w:vertAlign w:val="subscript"/>
        </w:rPr>
        <w:t>2</w:t>
      </w:r>
      <w:r>
        <w:rPr/>
        <w:t xml:space="preserve">O, Moran </w:t>
      </w:r>
      <w:r>
        <w:rPr>
          <w:i/>
          <w:iCs/>
        </w:rPr>
        <w:t>I</w:t>
      </w:r>
      <w:r>
        <w:rPr/>
        <w:t xml:space="preserve"> practically did not change when transitioning from plots to field averages (</w:t>
      </w:r>
      <w:r>
        <w:rPr>
          <w:i/>
          <w:iCs/>
          <w:lang w:val="ru-RU"/>
        </w:rPr>
        <w:t>Δ</w:t>
      </w:r>
      <w:r>
        <w:rPr>
          <w:i/>
          <w:iCs/>
        </w:rPr>
        <w:t xml:space="preserve">I </w:t>
      </w:r>
      <w:r>
        <w:rPr/>
        <w:t>&lt; 0.03).</w:t>
      </w:r>
    </w:p>
    <w:p>
      <w:pPr>
        <w:pStyle w:val="MDPI31text"/>
        <w:rPr/>
      </w:pPr>
      <w:r>
        <w:rPr/>
        <w:t xml:space="preserve">Sulfur deserved a separate comment. With </w:t>
      </w:r>
      <w:r>
        <w:rPr>
          <w:i/>
          <w:iCs/>
        </w:rPr>
        <w:t>I</w:t>
      </w:r>
      <w:r>
        <w:rPr>
          <w:vertAlign w:val="subscript"/>
        </w:rPr>
        <w:t>sample</w:t>
      </w:r>
      <w:r>
        <w:rPr/>
        <w:t xml:space="preserve">=0.767, declustering collapsed </w:t>
      </w:r>
      <w:r>
        <w:rPr>
          <w:i/>
          <w:iCs/>
        </w:rPr>
        <w:t>I</w:t>
      </w:r>
      <w:r>
        <w:rPr/>
        <w:t xml:space="preserve"> to 0.150 (</w:t>
      </w:r>
      <w:r>
        <w:rPr>
          <w:i/>
          <w:iCs/>
          <w:lang w:val="ru-RU"/>
        </w:rPr>
        <w:t>Δ</w:t>
      </w:r>
      <w:r>
        <w:rPr/>
        <w:t xml:space="preserve">= -0.617): the "autocorrelation" of S was an artifact of sample clustering rather than a regional gradient. This resolves the paradox of a "high Moran </w:t>
      </w:r>
      <w:r>
        <w:rPr>
          <w:i/>
          <w:iCs/>
        </w:rPr>
        <w:t xml:space="preserve">I </w:t>
      </w:r>
      <w:r>
        <w:rPr/>
        <w:t>with an ICC of 0.17".</w:t>
      </w:r>
    </w:p>
    <w:p>
      <w:pPr>
        <w:pStyle w:val="MDPI31text"/>
        <w:rPr>
          <w:rFonts w:eastAsia="Cambria"/>
          <w:sz w:val="18"/>
          <w:szCs w:val="18"/>
        </w:rPr>
      </w:pPr>
      <w:r>
        <w:rPr>
          <w:rFonts w:eastAsia="Cambria"/>
          <w:sz w:val="18"/>
          <w:szCs w:val="18"/>
        </w:rPr>
        <w:t>NO</w:t>
      </w:r>
      <w:r>
        <w:rPr>
          <w:rFonts w:eastAsia="Cambria"/>
          <w:sz w:val="18"/>
          <w:szCs w:val="18"/>
          <w:vertAlign w:val="subscript"/>
        </w:rPr>
        <w:t>3</w:t>
      </w:r>
      <w:r>
        <w:rPr>
          <w:rFonts w:eastAsia="Cambria"/>
          <w:sz w:val="18"/>
          <w:szCs w:val="18"/>
        </w:rPr>
        <w:t xml:space="preserve"> and P</w:t>
      </w:r>
      <w:r>
        <w:rPr>
          <w:rFonts w:eastAsia="Cambria"/>
          <w:sz w:val="18"/>
          <w:szCs w:val="18"/>
          <w:vertAlign w:val="subscript"/>
        </w:rPr>
        <w:t>2</w:t>
      </w:r>
      <w:r>
        <w:rPr>
          <w:rFonts w:eastAsia="Cambria"/>
          <w:sz w:val="18"/>
          <w:szCs w:val="18"/>
        </w:rPr>
        <w:t>O</w:t>
      </w:r>
      <w:r>
        <w:rPr>
          <w:rFonts w:eastAsia="Cambria"/>
          <w:sz w:val="18"/>
          <w:szCs w:val="18"/>
          <w:vertAlign w:val="subscript"/>
        </w:rPr>
        <w:t>5</w:t>
      </w:r>
      <w:r>
        <w:rPr>
          <w:rFonts w:eastAsia="Cambria"/>
          <w:sz w:val="18"/>
          <w:szCs w:val="18"/>
        </w:rPr>
        <w:t xml:space="preserve"> occupied an intermediate position (</w:t>
      </w:r>
      <w:r>
        <w:rPr>
          <w:rFonts w:eastAsia="Cambria"/>
          <w:i/>
          <w:iCs/>
          <w:sz w:val="18"/>
          <w:szCs w:val="18"/>
          <w:lang w:val="ru-RU"/>
        </w:rPr>
        <w:t>Δ</w:t>
      </w:r>
      <w:r>
        <w:rPr>
          <w:rFonts w:eastAsia="Cambria"/>
          <w:i/>
          <w:iCs/>
          <w:sz w:val="18"/>
          <w:szCs w:val="18"/>
        </w:rPr>
        <w:t>I</w:t>
      </w:r>
      <w:r>
        <w:rPr>
          <w:rFonts w:eastAsia="Cambria"/>
          <w:sz w:val="18"/>
          <w:szCs w:val="18"/>
        </w:rPr>
        <w:t xml:space="preserve"> ≈ -0.25): their spatial structure was driven partly by zonality and partly by the pseudoreplication effect. </w:t>
      </w:r>
    </w:p>
    <w:p>
      <w:pPr>
        <w:pStyle w:val="MDPI31text"/>
        <w:rPr/>
      </w:pPr>
      <w:r>
        <w:rPr/>
        <w:t>The results of the latitudinal gradient analysis are presented in Table 15: pH regularly decreased northward (</w:t>
      </w:r>
      <w:r>
        <w:rPr>
          <w:i/>
          <w:iCs/>
          <w:lang w:val="ru-RU"/>
        </w:rPr>
        <w:t>ρ</w:t>
      </w:r>
      <w:r>
        <w:rPr>
          <w:vertAlign w:val="subscript"/>
        </w:rPr>
        <w:t>lat</w:t>
      </w:r>
      <w:r>
        <w:rPr/>
        <w:t xml:space="preserve"> = -0.409), whereas P</w:t>
      </w:r>
      <w:r>
        <w:rPr>
          <w:vertAlign w:val="subscript"/>
        </w:rPr>
        <w:t>2</w:t>
      </w:r>
      <w:r>
        <w:rPr/>
        <w:t>O</w:t>
      </w:r>
      <w:r>
        <w:rPr>
          <w:vertAlign w:val="subscript"/>
        </w:rPr>
        <w:t>5</w:t>
      </w:r>
      <w:r>
        <w:rPr/>
        <w:t xml:space="preserve"> and SOC increased (+0.397 and +0.293, respectively). Notably, K</w:t>
      </w:r>
      <w:r>
        <w:rPr>
          <w:vertAlign w:val="subscript"/>
        </w:rPr>
        <w:t>2</w:t>
      </w:r>
      <w:r>
        <w:rPr/>
        <w:t>O did not exhibit a latitudinal gradient (</w:t>
      </w:r>
      <w:r>
        <w:rPr>
          <w:i/>
          <w:iCs/>
          <w:lang w:val="ru-RU"/>
        </w:rPr>
        <w:t>ρ</w:t>
      </w:r>
      <w:r>
        <w:rPr/>
        <w:t xml:space="preserve">= -0.020, </w:t>
      </w:r>
      <w:r>
        <w:rPr>
          <w:i/>
          <w:iCs/>
        </w:rPr>
        <w:t>p</w:t>
      </w:r>
      <w:r>
        <w:rPr/>
        <w:t xml:space="preserve"> = 0.51), which was consistent with the preservation of the K</w:t>
      </w:r>
      <w:r>
        <w:rPr>
          <w:vertAlign w:val="subscript"/>
        </w:rPr>
        <w:t>2</w:t>
      </w:r>
      <w:r>
        <w:rPr/>
        <w:t>O–BSI correlation when controlling for latitude (</w:t>
      </w:r>
      <w:r>
        <w:rPr>
          <w:i/>
          <w:iCs/>
          <w:lang w:val="ru-RU"/>
        </w:rPr>
        <w:t>Δ</w:t>
      </w:r>
      <w:r>
        <w:rPr/>
        <w:t xml:space="preserve"> = -4.1%, Table 9): the relationship was driven by local soil factors (clay mineralogy) rather than a climatic gradient. NO</w:t>
      </w:r>
      <w:r>
        <w:rPr>
          <w:vertAlign w:val="subscript"/>
        </w:rPr>
        <w:t>3</w:t>
      </w:r>
      <w:r>
        <w:rPr/>
        <w:t xml:space="preserve"> and S demonstrated weak but statistically significant gradients (</w:t>
      </w:r>
      <w:r>
        <w:rPr>
          <w:i/>
          <w:iCs/>
          <w:lang w:val="ru-RU"/>
        </w:rPr>
        <w:t>ρ</w:t>
      </w:r>
      <w:r>
        <w:rPr/>
        <w:t xml:space="preserve"> = +0.191 and +0.142). Overall, the zonal bioclimatic sequence was characterized by increasing moisture northward, leading to enhanced leaching (decreasing pH) and humus accumulation (increasing SOC). </w:t>
      </w:r>
    </w:p>
    <w:p>
      <w:pPr>
        <w:pStyle w:val="MDPI31text"/>
        <w:spacing w:before="240" w:after="120"/>
        <w:ind w:hanging="0" w:start="2608"/>
        <w:rPr>
          <w:sz w:val="18"/>
          <w:szCs w:val="18"/>
        </w:rPr>
      </w:pPr>
      <w:r>
        <w:rPr>
          <w:b/>
          <w:sz w:val="18"/>
          <w:szCs w:val="18"/>
        </w:rPr>
        <w:t xml:space="preserve">Table 15. </w:t>
      </w:r>
      <w:r>
        <w:rPr>
          <w:sz w:val="18"/>
          <w:szCs w:val="18"/>
        </w:rPr>
        <w:t>Latitudinal gradient of soil properties.</w:t>
      </w:r>
    </w:p>
    <w:tbl>
      <w:tblPr>
        <w:tblStyle w:val="Table"/>
        <w:tblW w:w="8945" w:type="dxa"/>
        <w:jc w:val="start"/>
        <w:tblInd w:w="1376" w:type="dxa"/>
        <w:tblLayout w:type="fixed"/>
        <w:tblCellMar>
          <w:top w:w="0" w:type="dxa"/>
          <w:start w:w="108" w:type="dxa"/>
          <w:bottom w:w="0" w:type="dxa"/>
          <w:end w:w="108" w:type="dxa"/>
        </w:tblCellMar>
        <w:tblLook w:firstRow="1" w:noVBand="0" w:lastRow="0" w:firstColumn="0" w:lastColumn="0" w:noHBand="0" w:val="0020"/>
      </w:tblPr>
      <w:tblGrid>
        <w:gridCol w:w="2236"/>
        <w:gridCol w:w="2236"/>
        <w:gridCol w:w="1587"/>
        <w:gridCol w:w="2886"/>
      </w:tblGrid>
      <w:tr>
        <w:trPr>
          <w:tblHeader w:val="true"/>
          <w:trHeight w:val="310" w:hRule="atLeast"/>
          <w:cnfStyle w:val="100000000000" w:firstRow="1" w:lastRow="0" w:firstColumn="0" w:lastColumn="0" w:oddVBand="0" w:evenVBand="0" w:oddHBand="0" w:evenHBand="0" w:firstRowFirstColumn="0" w:firstRowLastColumn="0" w:lastRowFirstColumn="0" w:lastRowLastColumn="0"/>
        </w:trPr>
        <w:tc>
          <w:tcPr>
            <w:tcW w:w="2236" w:type="dxa"/>
            <w:tcBorders>
              <w:top w:val="single" w:sz="4" w:space="0" w:color="000000"/>
              <w:bottom w:val="single" w:sz="6" w:space="0" w:color="000000"/>
            </w:tcBorders>
            <w:vAlign w:val="bottom"/>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b/>
                <w:bCs/>
                <w:kern w:val="0"/>
                <w:sz w:val="18"/>
                <w:szCs w:val="18"/>
                <w:lang w:val="en-US" w:bidi="ar-SA"/>
              </w:rPr>
              <w:t>Property</w:t>
            </w:r>
          </w:p>
        </w:tc>
        <w:tc>
          <w:tcPr>
            <w:tcW w:w="2236" w:type="dxa"/>
            <w:tcBorders>
              <w:top w:val="single" w:sz="4" w:space="0" w:color="000000"/>
              <w:bottom w:val="single" w:sz="6" w:space="0" w:color="000000"/>
            </w:tcBorders>
            <w:vAlign w:val="bottom"/>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i/>
                <w:iCs/>
                <w:kern w:val="0"/>
                <w:sz w:val="18"/>
                <w:szCs w:val="18"/>
                <w:lang w:val="ru-RU" w:bidi="ar-SA"/>
              </w:rPr>
              <w:t>Ρ</w:t>
            </w:r>
            <w:r>
              <w:rPr>
                <w:rFonts w:eastAsia="Cambria" w:ascii="Palatino Linotype" w:hAnsi="Palatino Linotype"/>
                <w:kern w:val="0"/>
                <w:sz w:val="18"/>
                <w:szCs w:val="18"/>
                <w:vertAlign w:val="subscript"/>
                <w:lang w:val="en-US" w:bidi="ar-SA"/>
              </w:rPr>
              <w:t>l</w:t>
            </w:r>
            <w:r>
              <w:rPr>
                <w:rFonts w:eastAsia="Cambria" w:ascii="Palatino Linotype" w:hAnsi="Palatino Linotype"/>
                <w:kern w:val="0"/>
                <w:sz w:val="18"/>
                <w:szCs w:val="18"/>
                <w:vertAlign w:val="subscript"/>
                <w:lang w:val="ru-RU" w:bidi="ar-SA"/>
              </w:rPr>
              <w:t>atitude</w:t>
            </w:r>
          </w:p>
        </w:tc>
        <w:tc>
          <w:tcPr>
            <w:tcW w:w="1587" w:type="dxa"/>
            <w:tcBorders>
              <w:top w:val="single" w:sz="4" w:space="0" w:color="000000"/>
              <w:bottom w:val="single" w:sz="6" w:space="0" w:color="000000"/>
            </w:tcBorders>
            <w:vAlign w:val="bottom"/>
          </w:tcPr>
          <w:p>
            <w:pPr>
              <w:pStyle w:val="Compact"/>
              <w:widowControl/>
              <w:suppressAutoHyphens w:val="true"/>
              <w:spacing w:before="0" w:after="0"/>
              <w:jc w:val="both"/>
              <w:rPr>
                <w:rFonts w:ascii="Palatino Linotype" w:hAnsi="Palatino Linotype" w:eastAsia="Cambria"/>
                <w:i/>
                <w:iCs/>
                <w:sz w:val="18"/>
                <w:szCs w:val="18"/>
              </w:rPr>
            </w:pPr>
            <w:r>
              <w:rPr>
                <w:rFonts w:eastAsia="Cambria" w:ascii="Palatino Linotype" w:hAnsi="Palatino Linotype"/>
                <w:i/>
                <w:iCs/>
                <w:kern w:val="0"/>
                <w:sz w:val="18"/>
                <w:szCs w:val="18"/>
                <w:lang w:val="ru-RU" w:bidi="ar-SA"/>
              </w:rPr>
              <w:t>p</w:t>
            </w:r>
          </w:p>
        </w:tc>
        <w:tc>
          <w:tcPr>
            <w:tcW w:w="2886" w:type="dxa"/>
            <w:tcBorders>
              <w:top w:val="single" w:sz="4" w:space="0" w:color="000000"/>
              <w:bottom w:val="single" w:sz="6" w:space="0" w:color="000000"/>
            </w:tcBorders>
            <w:vAlign w:val="bottom"/>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b/>
                <w:bCs/>
                <w:kern w:val="0"/>
                <w:sz w:val="18"/>
                <w:szCs w:val="18"/>
                <w:lang w:val="ru-RU" w:bidi="ar-SA"/>
              </w:rPr>
              <w:t>Interpretation</w:t>
            </w:r>
          </w:p>
        </w:tc>
      </w:tr>
      <w:tr>
        <w:trPr>
          <w:trHeight w:val="310" w:hRule="atLeast"/>
        </w:trPr>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pH</w:t>
            </w:r>
          </w:p>
        </w:tc>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-0.409</w:t>
            </w:r>
          </w:p>
        </w:tc>
        <w:tc>
          <w:tcPr>
            <w:tcW w:w="1587"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4.1×10</w:t>
            </w:r>
            <w:r>
              <w:rPr>
                <w:rFonts w:eastAsia="Cambria" w:ascii="Palatino Linotype" w:hAnsi="Palatino Linotype"/>
                <w:kern w:val="0"/>
                <w:sz w:val="18"/>
                <w:szCs w:val="18"/>
                <w:vertAlign w:val="superscript"/>
                <w:lang w:val="ru-RU" w:bidi="ar-SA"/>
              </w:rPr>
              <w:t>-45</w:t>
            </w:r>
          </w:p>
        </w:tc>
        <w:tc>
          <w:tcPr>
            <w:tcW w:w="288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en-US" w:bidi="ar-SA"/>
              </w:rPr>
              <w:t>D</w:t>
            </w:r>
            <w:r>
              <w:rPr>
                <w:rFonts w:eastAsia="Cambria" w:ascii="Palatino Linotype" w:hAnsi="Palatino Linotype"/>
                <w:kern w:val="0"/>
                <w:sz w:val="18"/>
                <w:szCs w:val="18"/>
                <w:lang w:val="ru-RU" w:bidi="ar-SA"/>
              </w:rPr>
              <w:t>ecreases northward</w:t>
            </w:r>
          </w:p>
        </w:tc>
      </w:tr>
      <w:tr>
        <w:trPr>
          <w:trHeight w:val="310" w:hRule="atLeast"/>
        </w:trPr>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+0.397</w:t>
            </w:r>
          </w:p>
        </w:tc>
        <w:tc>
          <w:tcPr>
            <w:tcW w:w="1587"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2.2×10</w:t>
            </w:r>
            <w:r>
              <w:rPr>
                <w:rFonts w:eastAsia="Cambria" w:ascii="Palatino Linotype" w:hAnsi="Palatino Linotype"/>
                <w:kern w:val="0"/>
                <w:sz w:val="18"/>
                <w:szCs w:val="18"/>
                <w:vertAlign w:val="superscript"/>
                <w:lang w:val="ru-RU" w:bidi="ar-SA"/>
              </w:rPr>
              <w:t>-42</w:t>
            </w:r>
          </w:p>
        </w:tc>
        <w:tc>
          <w:tcPr>
            <w:tcW w:w="288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en-US" w:bidi="ar-SA"/>
              </w:rPr>
              <w:t>I</w:t>
            </w:r>
            <w:r>
              <w:rPr>
                <w:rFonts w:eastAsia="Cambria" w:ascii="Palatino Linotype" w:hAnsi="Palatino Linotype"/>
                <w:kern w:val="0"/>
                <w:sz w:val="18"/>
                <w:szCs w:val="18"/>
                <w:lang w:val="ru-RU" w:bidi="ar-SA"/>
              </w:rPr>
              <w:t>ncreases northward</w:t>
            </w:r>
          </w:p>
        </w:tc>
      </w:tr>
      <w:tr>
        <w:trPr>
          <w:trHeight w:val="301" w:hRule="atLeast"/>
        </w:trPr>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+0.293</w:t>
            </w:r>
          </w:p>
        </w:tc>
        <w:tc>
          <w:tcPr>
            <w:tcW w:w="1587"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5.7×10</w:t>
            </w:r>
            <w:r>
              <w:rPr>
                <w:rFonts w:eastAsia="Cambria" w:ascii="Palatino Linotype" w:hAnsi="Palatino Linotype"/>
                <w:kern w:val="0"/>
                <w:sz w:val="18"/>
                <w:szCs w:val="18"/>
                <w:vertAlign w:val="superscript"/>
                <w:lang w:val="ru-RU" w:bidi="ar-SA"/>
              </w:rPr>
              <w:t>-23</w:t>
            </w:r>
          </w:p>
        </w:tc>
        <w:tc>
          <w:tcPr>
            <w:tcW w:w="288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en-US" w:bidi="ar-SA"/>
              </w:rPr>
              <w:t>I</w:t>
            </w:r>
            <w:r>
              <w:rPr>
                <w:rFonts w:eastAsia="Cambria" w:ascii="Palatino Linotype" w:hAnsi="Palatino Linotype"/>
                <w:kern w:val="0"/>
                <w:sz w:val="18"/>
                <w:szCs w:val="18"/>
                <w:lang w:val="ru-RU" w:bidi="ar-SA"/>
              </w:rPr>
              <w:t>ncreases northward</w:t>
            </w:r>
          </w:p>
        </w:tc>
      </w:tr>
      <w:tr>
        <w:trPr>
          <w:trHeight w:val="344" w:hRule="atLeast"/>
        </w:trPr>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+0.191</w:t>
            </w:r>
          </w:p>
        </w:tc>
        <w:tc>
          <w:tcPr>
            <w:tcW w:w="1587"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2.2×10</w:t>
            </w:r>
            <w:r>
              <w:rPr>
                <w:rFonts w:eastAsia="Cambria" w:ascii="Palatino Linotype" w:hAnsi="Palatino Linotype"/>
                <w:kern w:val="0"/>
                <w:sz w:val="18"/>
                <w:szCs w:val="18"/>
                <w:vertAlign w:val="superscript"/>
                <w:lang w:val="ru-RU" w:bidi="ar-SA"/>
              </w:rPr>
              <w:t>-10</w:t>
            </w:r>
          </w:p>
        </w:tc>
        <w:tc>
          <w:tcPr>
            <w:tcW w:w="288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en-US" w:bidi="ar-SA"/>
              </w:rPr>
              <w:t>W</w:t>
            </w:r>
            <w:r>
              <w:rPr>
                <w:rFonts w:eastAsia="Cambria" w:ascii="Palatino Linotype" w:hAnsi="Palatino Linotype"/>
                <w:kern w:val="0"/>
                <w:sz w:val="18"/>
                <w:szCs w:val="18"/>
                <w:lang w:val="ru-RU" w:bidi="ar-SA"/>
              </w:rPr>
              <w:t>eakly increases northward</w:t>
            </w:r>
          </w:p>
        </w:tc>
      </w:tr>
      <w:tr>
        <w:trPr>
          <w:trHeight w:val="70" w:hRule="atLeast"/>
        </w:trPr>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223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+0.142</w:t>
            </w:r>
          </w:p>
        </w:tc>
        <w:tc>
          <w:tcPr>
            <w:tcW w:w="1587"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2.7×10</w:t>
            </w:r>
            <w:r>
              <w:rPr>
                <w:rFonts w:eastAsia="Cambria" w:ascii="Palatino Linotype" w:hAnsi="Palatino Linotype"/>
                <w:kern w:val="0"/>
                <w:sz w:val="18"/>
                <w:szCs w:val="18"/>
                <w:vertAlign w:val="superscript"/>
                <w:lang w:val="ru-RU" w:bidi="ar-SA"/>
              </w:rPr>
              <w:t>-6</w:t>
            </w:r>
          </w:p>
        </w:tc>
        <w:tc>
          <w:tcPr>
            <w:tcW w:w="2886" w:type="dxa"/>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Weakly increases northward</w:t>
            </w:r>
          </w:p>
        </w:tc>
      </w:tr>
      <w:tr>
        <w:trPr>
          <w:trHeight w:val="310" w:hRule="atLeast"/>
        </w:trPr>
        <w:tc>
          <w:tcPr>
            <w:tcW w:w="2236" w:type="dxa"/>
            <w:tcBorders>
              <w:bottom w:val="single" w:sz="4" w:space="0" w:color="000000"/>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2236" w:type="dxa"/>
            <w:tcBorders>
              <w:bottom w:val="single" w:sz="4" w:space="0" w:color="000000"/>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-0.020</w:t>
            </w:r>
          </w:p>
        </w:tc>
        <w:tc>
          <w:tcPr>
            <w:tcW w:w="1587" w:type="dxa"/>
            <w:tcBorders>
              <w:bottom w:val="single" w:sz="4" w:space="0" w:color="000000"/>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0.51</w:t>
            </w:r>
          </w:p>
        </w:tc>
        <w:tc>
          <w:tcPr>
            <w:tcW w:w="2886" w:type="dxa"/>
            <w:tcBorders>
              <w:bottom w:val="single" w:sz="4" w:space="0" w:color="000000"/>
            </w:tcBorders>
          </w:tcPr>
          <w:p>
            <w:pPr>
              <w:pStyle w:val="Compact"/>
              <w:widowControl/>
              <w:suppressAutoHyphens w:val="true"/>
              <w:spacing w:before="0" w:after="0"/>
              <w:jc w:val="both"/>
              <w:rPr>
                <w:rFonts w:ascii="Palatino Linotype" w:hAnsi="Palatino Linotype" w:eastAsia="Cambria"/>
                <w:sz w:val="18"/>
                <w:szCs w:val="18"/>
              </w:rPr>
            </w:pPr>
            <w:r>
              <w:rPr>
                <w:rFonts w:eastAsia="Cambria" w:ascii="Palatino Linotype" w:hAnsi="Palatino Linotype"/>
                <w:kern w:val="0"/>
                <w:sz w:val="18"/>
                <w:szCs w:val="18"/>
                <w:lang w:val="ru-RU" w:bidi="ar-SA"/>
              </w:rPr>
              <w:t>lacks a gradient (</w:t>
            </w:r>
            <w:r>
              <w:rPr>
                <w:rFonts w:eastAsia="Cambria" w:ascii="Palatino Linotype" w:hAnsi="Palatino Linotype"/>
                <w:i/>
                <w:iCs/>
                <w:kern w:val="0"/>
                <w:sz w:val="18"/>
                <w:szCs w:val="18"/>
                <w:lang w:val="en-US" w:bidi="ar-SA"/>
              </w:rPr>
              <w:t>ns</w:t>
            </w:r>
            <w:r>
              <w:rPr>
                <w:rFonts w:eastAsia="Cambria" w:ascii="Palatino Linotype" w:hAnsi="Palatino Linotype"/>
                <w:kern w:val="0"/>
                <w:sz w:val="18"/>
                <w:szCs w:val="18"/>
                <w:lang w:val="ru-RU" w:bidi="ar-SA"/>
              </w:rPr>
              <w:t>)</w:t>
            </w:r>
            <w:bookmarkStart w:id="14" w:name="sec%25253Amoran_results"/>
            <w:bookmarkStart w:id="15" w:name="tab%25253Alatitudinal"/>
            <w:bookmarkEnd w:id="14"/>
            <w:bookmarkEnd w:id="15"/>
          </w:p>
        </w:tc>
      </w:tr>
    </w:tbl>
    <w:p>
      <w:pPr>
        <w:pStyle w:val="MDPI22heading2"/>
        <w:spacing w:before="240" w:after="60"/>
        <w:rPr/>
      </w:pPr>
      <w:r>
        <w:rPr/>
        <w:t>3.7. Hierarchical variance decomposition</w:t>
      </w:r>
    </w:p>
    <w:p>
      <w:pPr>
        <w:pStyle w:val="MDPI31text"/>
        <w:rPr/>
      </w:pPr>
      <w:r>
        <w:rPr/>
        <w:t xml:space="preserve">The variance decomposition across the components of the two-level “farm </w:t>
      </w:r>
      <w:r>
        <w:rPr>
          <w:rFonts w:ascii="Times New Roman" w:hAnsi="Times New Roman"/>
        </w:rPr>
        <w:t>→</w:t>
      </w:r>
      <w:r>
        <w:rPr/>
        <w:t xml:space="preserve"> field </w:t>
      </w:r>
      <w:r>
        <w:rPr>
          <w:rFonts w:ascii="Times New Roman" w:hAnsi="Times New Roman"/>
        </w:rPr>
        <w:t>→</w:t>
      </w:r>
      <w:r>
        <w:rPr/>
        <w:t xml:space="preserve"> sample” model (Table 16) revealed a critical difference in the variability structure among the properties. </w:t>
      </w:r>
    </w:p>
    <w:p>
      <w:pPr>
        <w:pStyle w:val="MDPI31text"/>
        <w:spacing w:before="240" w:after="120"/>
        <w:ind w:hanging="0" w:start="2608"/>
        <w:rPr>
          <w:sz w:val="18"/>
          <w:szCs w:val="18"/>
        </w:rPr>
      </w:pPr>
      <w:r>
        <w:rPr>
          <w:b/>
          <w:sz w:val="18"/>
          <w:szCs w:val="18"/>
        </w:rPr>
        <w:t xml:space="preserve">Table 16. </w:t>
      </w:r>
      <w:r>
        <w:rPr>
          <w:bCs/>
          <w:sz w:val="18"/>
          <w:szCs w:val="18"/>
        </w:rPr>
        <w:t>Two-level variance decomposition (</w:t>
      </w:r>
      <w:r>
        <w:rPr>
          <w:bCs/>
          <w:i/>
          <w:iCs/>
          <w:sz w:val="18"/>
          <w:szCs w:val="18"/>
        </w:rPr>
        <w:t>n</w:t>
      </w:r>
      <w:r>
        <w:rPr>
          <w:bCs/>
          <w:sz w:val="18"/>
          <w:szCs w:val="18"/>
        </w:rPr>
        <w:t xml:space="preserve"> = 1085, 20 farms, 81 fields)</w:t>
      </w:r>
      <w:r>
        <w:rPr>
          <w:sz w:val="18"/>
          <w:szCs w:val="18"/>
        </w:rPr>
        <w:t>.</w:t>
      </w:r>
    </w:p>
    <w:tbl>
      <w:tblPr>
        <w:tblStyle w:val="Table"/>
        <w:tblW w:w="9270" w:type="dxa"/>
        <w:jc w:val="start"/>
        <w:tblInd w:w="1271" w:type="dxa"/>
        <w:tblLayout w:type="fixed"/>
        <w:tblCellMar>
          <w:top w:w="0" w:type="dxa"/>
          <w:start w:w="108" w:type="dxa"/>
          <w:bottom w:w="0" w:type="dxa"/>
          <w:end w:w="108" w:type="dxa"/>
        </w:tblCellMar>
        <w:tblLook w:firstRow="0" w:noVBand="0" w:lastRow="0" w:firstColumn="0" w:lastColumn="0" w:noHBand="0" w:val="0000"/>
      </w:tblPr>
      <w:tblGrid>
        <w:gridCol w:w="1545"/>
        <w:gridCol w:w="1544"/>
        <w:gridCol w:w="1546"/>
        <w:gridCol w:w="1545"/>
        <w:gridCol w:w="1544"/>
        <w:gridCol w:w="1546"/>
      </w:tblGrid>
      <w:tr>
        <w:trPr>
          <w:trHeight w:val="768" w:hRule="atLeast"/>
        </w:trPr>
        <w:tc>
          <w:tcPr>
            <w:tcW w:w="1545"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kern w:val="0"/>
                <w:sz w:val="18"/>
                <w:szCs w:val="18"/>
                <w:lang w:val="ru-RU" w:bidi="ar-SA"/>
              </w:rPr>
              <w:t>Property</w:t>
            </w:r>
          </w:p>
        </w:tc>
        <w:tc>
          <w:tcPr>
            <w:tcW w:w="1544"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vertAlign w:val="subscript"/>
                <w:lang w:val="en-US"/>
              </w:rPr>
            </w:pPr>
            <w:r>
              <w:rPr>
                <w:rFonts w:eastAsia="Cambria" w:ascii="Palatino Linotype" w:hAnsi="Palatino Linotype"/>
                <w:b/>
                <w:bCs/>
                <w:kern w:val="0"/>
                <w:sz w:val="18"/>
                <w:szCs w:val="18"/>
                <w:lang w:val="ru-RU" w:bidi="ar-SA"/>
              </w:rPr>
              <w:t>ICC</w:t>
            </w:r>
            <w:r>
              <w:rPr>
                <w:rFonts w:eastAsia="Cambria" w:ascii="Palatino Linotype" w:hAnsi="Palatino Linotype"/>
                <w:b/>
                <w:bCs/>
                <w:kern w:val="0"/>
                <w:sz w:val="18"/>
                <w:szCs w:val="18"/>
                <w:vertAlign w:val="subscript"/>
                <w:lang w:val="en-US" w:bidi="ar-SA"/>
              </w:rPr>
              <w:t>level 1</w:t>
            </w:r>
          </w:p>
        </w:tc>
        <w:tc>
          <w:tcPr>
            <w:tcW w:w="1546"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lang w:val="en-US"/>
              </w:rPr>
            </w:pPr>
            <w:r>
              <w:rPr>
                <w:rFonts w:eastAsia="Cambria" w:ascii="Palatino Linotype" w:hAnsi="Palatino Linotype"/>
                <w:b/>
                <w:bCs/>
                <w:kern w:val="0"/>
                <w:sz w:val="18"/>
                <w:szCs w:val="18"/>
                <w:lang w:val="ru-RU" w:bidi="ar-SA"/>
              </w:rPr>
              <w:t xml:space="preserve">% </w:t>
            </w:r>
            <w:r>
              <w:rPr>
                <w:rFonts w:eastAsia="Cambria" w:ascii="Palatino Linotype" w:hAnsi="Palatino Linotype"/>
                <w:b/>
                <w:bCs/>
                <w:kern w:val="0"/>
                <w:sz w:val="18"/>
                <w:szCs w:val="18"/>
                <w:lang w:val="en-US" w:bidi="ar-SA"/>
              </w:rPr>
              <w:t>Farm</w:t>
            </w:r>
          </w:p>
        </w:tc>
        <w:tc>
          <w:tcPr>
            <w:tcW w:w="1545"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kern w:val="0"/>
                <w:sz w:val="18"/>
                <w:szCs w:val="18"/>
                <w:lang w:val="ru-RU" w:bidi="ar-SA"/>
              </w:rPr>
              <w:t>Within-farm</w:t>
            </w:r>
          </w:p>
        </w:tc>
        <w:tc>
          <w:tcPr>
            <w:tcW w:w="1544"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lang w:val="en-US"/>
              </w:rPr>
            </w:pPr>
            <w:r>
              <w:rPr>
                <w:rFonts w:eastAsia="Cambria" w:ascii="Palatino Linotype" w:hAnsi="Palatino Linotype"/>
                <w:b/>
                <w:bCs/>
                <w:kern w:val="0"/>
                <w:sz w:val="18"/>
                <w:szCs w:val="18"/>
                <w:lang w:val="en-US" w:bidi="ar-SA"/>
              </w:rPr>
              <w:t>Fields</w:t>
            </w:r>
          </w:p>
        </w:tc>
        <w:tc>
          <w:tcPr>
            <w:tcW w:w="1546"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lang w:val="en-US"/>
              </w:rPr>
            </w:pPr>
            <w:r>
              <w:rPr>
                <w:rFonts w:eastAsia="Cambria" w:ascii="Palatino Linotype" w:hAnsi="Palatino Linotype"/>
                <w:b/>
                <w:bCs/>
                <w:kern w:val="0"/>
                <w:sz w:val="18"/>
                <w:szCs w:val="18"/>
                <w:lang w:val="en-US" w:bidi="ar-SA"/>
              </w:rPr>
              <w:t>Total</w:t>
            </w:r>
          </w:p>
        </w:tc>
      </w:tr>
      <w:tr>
        <w:trPr>
          <w:trHeight w:val="410" w:hRule="atLeast"/>
        </w:trPr>
        <w:tc>
          <w:tcPr>
            <w:tcW w:w="1545"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pH</w:t>
            </w:r>
          </w:p>
        </w:tc>
        <w:tc>
          <w:tcPr>
            <w:tcW w:w="1544"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57.1</w:t>
            </w:r>
          </w:p>
        </w:tc>
        <w:tc>
          <w:tcPr>
            <w:tcW w:w="1546"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23.1</w:t>
            </w:r>
          </w:p>
        </w:tc>
        <w:tc>
          <w:tcPr>
            <w:tcW w:w="1545"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19.8</w:t>
            </w:r>
          </w:p>
        </w:tc>
        <w:tc>
          <w:tcPr>
            <w:tcW w:w="1544"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0.713</w:t>
            </w:r>
          </w:p>
        </w:tc>
        <w:tc>
          <w:tcPr>
            <w:tcW w:w="1546"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80.2</w:t>
            </w:r>
          </w:p>
        </w:tc>
      </w:tr>
      <w:tr>
        <w:trPr>
          <w:trHeight w:val="410" w:hRule="atLeast"/>
        </w:trPr>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SOC</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46.8</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19.1</w:t>
            </w:r>
          </w:p>
        </w:tc>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34.1</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0.536</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65.9</w:t>
            </w:r>
          </w:p>
        </w:tc>
      </w:tr>
      <w:tr>
        <w:trPr>
          <w:trHeight w:val="397" w:hRule="atLeast"/>
        </w:trPr>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K</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45.5</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20.4</w:t>
            </w:r>
          </w:p>
        </w:tc>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34.1</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0.632</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65.9</w:t>
            </w:r>
          </w:p>
        </w:tc>
      </w:tr>
      <w:tr>
        <w:trPr>
          <w:trHeight w:val="410" w:hRule="atLeast"/>
        </w:trPr>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w:t>
            </w:r>
            <w:r>
              <w:rPr>
                <w:rFonts w:eastAsia="Cambria" w:ascii="Palatino Linotype" w:hAnsi="Palatino Linotype"/>
                <w:kern w:val="0"/>
                <w:sz w:val="18"/>
                <w:szCs w:val="18"/>
                <w:vertAlign w:val="subscript"/>
                <w:lang w:val="ru-RU" w:bidi="ar-SA"/>
              </w:rPr>
              <w:t>2</w:t>
            </w:r>
            <w:r>
              <w:rPr>
                <w:rFonts w:eastAsia="Cambria" w:ascii="Palatino Linotype" w:hAnsi="Palatino Linotype"/>
                <w:kern w:val="0"/>
                <w:sz w:val="18"/>
                <w:szCs w:val="18"/>
                <w:lang w:val="ru-RU" w:bidi="ar-SA"/>
              </w:rPr>
              <w:t>O</w:t>
            </w:r>
            <w:r>
              <w:rPr>
                <w:rFonts w:eastAsia="Cambria" w:ascii="Palatino Linotype" w:hAnsi="Palatino Linotype"/>
                <w:kern w:val="0"/>
                <w:sz w:val="18"/>
                <w:szCs w:val="18"/>
                <w:vertAlign w:val="subscript"/>
                <w:lang w:val="ru-RU" w:bidi="ar-SA"/>
              </w:rPr>
              <w:t>5</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35.1</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35.2</w:t>
            </w:r>
          </w:p>
        </w:tc>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29.6</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0.491</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70.4</w:t>
            </w:r>
          </w:p>
        </w:tc>
      </w:tr>
      <w:tr>
        <w:trPr>
          <w:trHeight w:val="397" w:hRule="atLeast"/>
        </w:trPr>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NO</w:t>
            </w:r>
            <w:r>
              <w:rPr>
                <w:rFonts w:eastAsia="Cambria" w:ascii="Palatino Linotype" w:hAnsi="Palatino Linotype"/>
                <w:kern w:val="0"/>
                <w:sz w:val="18"/>
                <w:szCs w:val="18"/>
                <w:vertAlign w:val="subscript"/>
                <w:lang w:val="ru-RU" w:bidi="ar-SA"/>
              </w:rPr>
              <w:t>3</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27.9</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38.9</w:t>
            </w:r>
          </w:p>
        </w:tc>
        <w:tc>
          <w:tcPr>
            <w:tcW w:w="1545"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33.1</w:t>
            </w:r>
          </w:p>
        </w:tc>
        <w:tc>
          <w:tcPr>
            <w:tcW w:w="1544"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0.448</w:t>
            </w:r>
          </w:p>
        </w:tc>
        <w:tc>
          <w:tcPr>
            <w:tcW w:w="1546"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66.9</w:t>
            </w:r>
          </w:p>
        </w:tc>
      </w:tr>
      <w:tr>
        <w:trPr>
          <w:trHeight w:val="410" w:hRule="atLeast"/>
        </w:trPr>
        <w:tc>
          <w:tcPr>
            <w:tcW w:w="1545"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w:t>
            </w:r>
          </w:p>
        </w:tc>
        <w:tc>
          <w:tcPr>
            <w:tcW w:w="1544"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28.2</w:t>
            </w:r>
          </w:p>
        </w:tc>
        <w:tc>
          <w:tcPr>
            <w:tcW w:w="1546"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35.0</w:t>
            </w:r>
          </w:p>
        </w:tc>
        <w:tc>
          <w:tcPr>
            <w:tcW w:w="1545"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36.8</w:t>
            </w:r>
          </w:p>
        </w:tc>
        <w:tc>
          <w:tcPr>
            <w:tcW w:w="1544"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0.166</w:t>
            </w:r>
          </w:p>
        </w:tc>
        <w:tc>
          <w:tcPr>
            <w:tcW w:w="1546"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63.2</w:t>
            </w:r>
            <w:bookmarkStart w:id="16" w:name="tab%25253Avariance"/>
            <w:bookmarkEnd w:id="16"/>
          </w:p>
        </w:tc>
      </w:tr>
    </w:tbl>
    <w:p>
      <w:pPr>
        <w:pStyle w:val="MDPI31text"/>
        <w:rPr/>
      </w:pPr>
      <w:r>
        <w:rPr/>
        <w:t>The two-level variance decomposition separated the properties into two groups. pH (57.1% of between-farm variance), SOC (46.8%), and K</w:t>
      </w:r>
      <w:r>
        <w:rPr>
          <w:vertAlign w:val="subscript"/>
        </w:rPr>
        <w:t>2</w:t>
      </w:r>
      <w:r>
        <w:rPr/>
        <w:t>O (45.5%) were controlled by zonal factors, meaning that farms in different soil zones differed drastically. Conversely, NO</w:t>
      </w:r>
      <w:r>
        <w:rPr>
          <w:vertAlign w:val="subscript"/>
        </w:rPr>
        <w:t>3</w:t>
      </w:r>
      <w:r>
        <w:rPr/>
        <w:t xml:space="preserve"> (38.9% of the between-field component), P</w:t>
      </w:r>
      <w:r>
        <w:rPr>
          <w:vertAlign w:val="subscript"/>
        </w:rPr>
        <w:t>2</w:t>
      </w:r>
      <w:r>
        <w:rPr/>
        <w:t>O</w:t>
      </w:r>
      <w:r>
        <w:rPr>
          <w:vertAlign w:val="subscript"/>
        </w:rPr>
        <w:t>5</w:t>
      </w:r>
      <w:r>
        <w:rPr/>
        <w:t xml:space="preserve"> (35.2%), and S (35.0%) were driven by local factors such as agricultural practices and microtopography. pH demonstrated 80.2% of the variance at the “farm + field” level, whereas S exhibited an ICC of only 0.17 (Figure 11).</w:t>
      </w:r>
    </w:p>
    <w:p>
      <w:pPr>
        <w:pStyle w:val="MDPI31text"/>
        <w:rPr/>
      </w:pPr>
      <w:r>
        <w:rPr>
          <w:b w:val="0"/>
          <w:highlight w:val="green"/>
        </w:rPr>
        <w:t>The relationship between ICC and predictability (Figure 12) makes the central message of this study explicit: the share of between-field variance sets the ceiling on how well a property can be recovered from remote sensing. Honest out-of-farm predictability (Farm-LOFO ρ) increases with ICC (Spearman ρ = +0.83, p = 0.04), whereas naïve in-sample screening |ρ| over all 512 features lies systematically above it, and the inflation is largest exactly where between-field structure is weakest. Sulfur is the limiting case — the lowest ICC (0.17) yet a high in-sample |ρ| ≈ 0.42 that collapses to ρ ≈ 0.04 out of farm — so its apparent correlation reflects leakage rather than signal. At n = 6 properties the relationship is descriptive (the naïve-screening counterpart is not significant, p = 0.27), with pH acting as a leverage point.</w:t>
      </w:r>
    </w:p>
    <w:p>
      <w:pPr>
        <w:pStyle w:val="MDPI31text"/>
        <w:rPr/>
      </w:pPr>
      <w:r>
        <w:rPr/>
      </w:r>
    </w:p>
    <w:p>
      <w:pPr>
        <w:pStyle w:val="MDPI31text"/>
        <w:rPr/>
      </w:pPr>
      <w:r>
        <w:rPr/>
      </w:r>
    </w:p>
    <w:p>
      <w:pPr>
        <w:pStyle w:val="Normal"/>
        <w:spacing w:lineRule="auto" w:line="240"/>
        <w:jc w:val="start"/>
        <w:rPr>
          <w:b/>
          <w:sz w:val="18"/>
          <w:szCs w:val="18"/>
        </w:rPr>
      </w:pPr>
      <w:r>
        <w:rPr/>
        <w:drawing>
          <wp:inline distT="0" distB="0" distL="0" distR="0">
            <wp:extent cx="6525260" cy="3220085"/>
            <wp:effectExtent l="0" t="0" r="0"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8"/>
                    <pic:cNvPicPr>
                      <a:picLocks noChangeAspect="1" noChangeArrowheads="1"/>
                    </pic:cNvPicPr>
                  </pic:nvPicPr>
                  <pic:blipFill>
                    <a:blip r:embed="rId14"/>
                    <a:stretch>
                      <a:fillRect/>
                    </a:stretch>
                  </pic:blipFill>
                  <pic:spPr bwMode="auto">
                    <a:xfrm>
                      <a:off x="0" y="0"/>
                      <a:ext cx="6525260" cy="3220085"/>
                    </a:xfrm>
                    <a:prstGeom prst="rect">
                      <a:avLst/>
                    </a:prstGeom>
                    <a:noFill/>
                  </pic:spPr>
                </pic:pic>
              </a:graphicData>
            </a:graphic>
          </wp:inline>
        </w:drawing>
      </w:r>
    </w:p>
    <w:p>
      <w:pPr>
        <w:pStyle w:val="Normal"/>
        <w:spacing w:lineRule="auto" w:line="240" w:beforeAutospacing="1" w:afterAutospacing="1"/>
        <w:ind w:start="2608"/>
        <w:rPr/>
      </w:pPr>
      <w:r>
        <w:rPr>
          <w:b/>
          <w:sz w:val="18"/>
          <w:szCs w:val="18"/>
        </w:rPr>
        <w:t xml:space="preserve">Figure 11. </w:t>
      </w:r>
      <w:r>
        <w:rPr>
          <w:iCs/>
          <w:sz w:val="18"/>
          <w:szCs w:val="18"/>
        </w:rPr>
        <w:t>Variance decomposition: proportions of between-field (blue) and within-field (red) components for each property. pH demonstrates the dominance of zonal (between-farm) control (80.2%), whereas for S, NO</w:t>
      </w:r>
      <w:r>
        <w:rPr>
          <w:iCs/>
          <w:sz w:val="18"/>
          <w:szCs w:val="18"/>
          <w:vertAlign w:val="subscript"/>
        </w:rPr>
        <w:t>3</w:t>
      </w:r>
      <w:r>
        <w:rPr>
          <w:iCs/>
          <w:sz w:val="18"/>
          <w:szCs w:val="18"/>
        </w:rPr>
        <w:t>, and P</w:t>
      </w:r>
      <w:r>
        <w:rPr>
          <w:iCs/>
          <w:sz w:val="18"/>
          <w:szCs w:val="18"/>
          <w:vertAlign w:val="subscript"/>
        </w:rPr>
        <w:t>2</w:t>
      </w:r>
      <w:r>
        <w:rPr>
          <w:iCs/>
          <w:sz w:val="18"/>
          <w:szCs w:val="18"/>
        </w:rPr>
        <w:t>O</w:t>
      </w:r>
      <w:r>
        <w:rPr>
          <w:iCs/>
          <w:sz w:val="18"/>
          <w:szCs w:val="18"/>
          <w:vertAlign w:val="subscript"/>
        </w:rPr>
        <w:t>5</w:t>
      </w:r>
      <w:r>
        <w:rPr>
          <w:iCs/>
          <w:sz w:val="18"/>
          <w:szCs w:val="18"/>
        </w:rPr>
        <w:t>, the local (within-farm) level prevails.</w:t>
      </w:r>
    </w:p>
    <w:p>
      <w:pPr>
        <w:pStyle w:val="Normal"/>
        <w:spacing w:lineRule="auto" w:line="240" w:beforeAutospacing="1" w:afterAutospacing="1"/>
        <w:ind w:start="1134"/>
        <w:jc w:val="start"/>
        <w:rPr>
          <w:rFonts w:ascii="Times New Roman" w:hAnsi="Times New Roman" w:eastAsia="Times New Roman"/>
          <w:color w:val="auto"/>
          <w:sz w:val="24"/>
          <w:szCs w:val="24"/>
          <w:lang w:val="ru-RU" w:eastAsia="ru-RU"/>
        </w:rPr>
      </w:pPr>
      <w:r>
        <w:rPr/>
        <w:drawing>
          <wp:inline distT="0" distB="0" distL="0" distR="0">
            <wp:extent cx="5644515" cy="4171261"/>
            <wp:effectExtent l="0" t="0" r="0" b="0"/>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pic:cNvPicPr>
                      <a:picLocks noChangeAspect="1" noChangeArrowheads="1"/>
                    </pic:cNvPicPr>
                  </pic:nvPicPr>
                  <pic:blipFill>
                    <a:blip r:embed="rId15"/>
                    <a:stretch>
                      <a:fillRect/>
                    </a:stretch>
                  </pic:blipFill>
                  <pic:spPr bwMode="auto">
                    <a:xfrm>
                      <a:off x="0" y="0"/>
                      <a:ext cx="5644515" cy="4171261"/>
                    </a:xfrm>
                    <a:prstGeom prst="rect">
                      <a:avLst/>
                    </a:prstGeom>
                    <a:noFill/>
                  </pic:spPr>
                </pic:pic>
              </a:graphicData>
            </a:graphic>
          </wp:inline>
        </w:drawing>
      </w:r>
    </w:p>
    <w:p>
      <w:pPr>
        <w:pStyle w:val="MDPI31text"/>
        <w:spacing w:before="120" w:after="240"/>
        <w:ind w:hanging="0" w:start="2608"/>
        <w:rPr/>
      </w:pPr>
      <w:r>
        <w:rPr>
          <w:b/>
          <w:highlight w:val="green"/>
        </w:rPr>
        <w:t xml:space="preserve">Figure 12. </w:t>
      </w:r>
      <w:r>
        <w:rPr>
          <w:b w:val="0"/>
          <w:highlight w:val="green"/>
        </w:rPr>
        <w:t>Between-field structure (ICC) versus correlation with the best remote-sensing feature, per soil property (n = 6). Filled markers: honest out-of-farm Farm-LOFO ρ (coloured by generalisation verdict); open markers: naïve in-sample screening |ρ| over all 512 features; arrows show the in-sample → out-of-farm collapse. Out-of-farm predictability rises with ICC (Spearman ρ = +0.83, p = 0.04), whereas the naïve-screening relationship is not significant (p = 0.27). Sulfur (lowest ICC) drops from |ρ| ≈ 0.42 to ρ ≈ 0.04, marking its correlation as leakage rather than signal. The relationship is descriptive rather than conclusive.</w:t>
      </w:r>
    </w:p>
    <w:p>
      <w:pPr>
        <w:pStyle w:val="MDPI22heading2"/>
        <w:spacing w:before="240" w:after="60"/>
        <w:rPr/>
      </w:pPr>
      <w:r>
        <w:rPr/>
        <w:t>3.8. Confounding analysis: pH as a mediator</w:t>
      </w:r>
    </w:p>
    <w:p>
      <w:pPr>
        <w:pStyle w:val="MDPI31text"/>
        <w:rPr/>
      </w:pPr>
      <w:r>
        <w:rPr/>
        <w:t>Partial correlation analysis (Table 17) showed that pH significantly mediated the relationship between SOC and several spectral indices.</w:t>
      </w:r>
    </w:p>
    <w:p>
      <w:pPr>
        <w:pStyle w:val="MDPI31text"/>
        <w:rPr/>
      </w:pPr>
      <w:r>
        <w:rPr/>
        <w:t>For summer NDVI, after controlling for pH, 41.9% of the observed SOC–NDVI correlation disappears. The likely mechanism is that pH is associated with the availability of nitrogen and micronutrients (Fe, Mn, Zn), which presumably modulates vegetation activity that is then erroneously interpreted as an "indicator" of SOC. In contrast, for late summer, pH suppresses (</w:t>
      </w:r>
      <w:r>
        <w:rPr>
          <w:i/>
          <w:iCs/>
        </w:rPr>
        <w:t>C</w:t>
      </w:r>
      <w:r>
        <w:rPr/>
        <w:t>= -13.7%) the true correlation: after removing the pH effect, the SOC–NDVI relationship strengthens (0.082</w:t>
      </w:r>
      <w:r>
        <w:rPr>
          <w:rFonts w:ascii="Times New Roman" w:hAnsi="Times New Roman"/>
        </w:rPr>
        <w:t>→</w:t>
      </w:r>
      <w:r>
        <w:rPr/>
        <w:t xml:space="preserve">0.093), indicating a more direct (less mediated) influence of SOC on late-season productivity, likely via water retention capacity. </w:t>
      </w:r>
    </w:p>
    <w:p>
      <w:pPr>
        <w:pStyle w:val="MDPI31text"/>
        <w:rPr/>
      </w:pPr>
      <w:r>
        <w:rPr/>
        <w:t>The identified confounding demonstrated the necessity of controlling for pH when using NDVI as a predictor of SOC (Figure 13). Additional control for MAP and latitude showed that when concurrently accounting for three covariates (pH, MAP, latitude), the SOC–NDVI</w:t>
      </w:r>
      <w:r>
        <w:rPr>
          <w:vertAlign w:val="subscript"/>
        </w:rPr>
        <w:t>summer</w:t>
      </w:r>
      <w:r>
        <w:rPr/>
        <w:t xml:space="preserve"> correlation decreased to </w:t>
      </w:r>
      <w:r>
        <w:rPr>
          <w:i/>
          <w:iCs/>
          <w:lang w:val="ru-RU"/>
        </w:rPr>
        <w:t>ρ</w:t>
      </w:r>
      <w:r>
        <w:rPr>
          <w:vertAlign w:val="subscript"/>
        </w:rPr>
        <w:t xml:space="preserve">∂|pH MAP lat </w:t>
      </w:r>
      <w:r>
        <w:rPr/>
        <w:t>= 0.051 (</w:t>
      </w:r>
      <w:r>
        <w:rPr>
          <w:i/>
          <w:iCs/>
        </w:rPr>
        <w:t>C</w:t>
      </w:r>
      <w:r>
        <w:rPr/>
        <w:t>=65%). In contrast, SOC–</w:t>
      </w:r>
      <w:r>
        <w:rPr>
          <w:rFonts w:eastAsia="SimSun"/>
          <w:szCs w:val="20"/>
          <w:lang w:eastAsia="zh-CN" w:bidi="ar-SA"/>
        </w:rPr>
        <w:t xml:space="preserve"> </w:t>
      </w:r>
      <w:r>
        <w:rPr/>
        <w:t>SOC–NDVI</w:t>
      </w:r>
      <w:r>
        <w:rPr>
          <w:vertAlign w:val="subscript"/>
        </w:rPr>
        <w:t>late summer</w:t>
      </w:r>
      <w:r>
        <w:rPr/>
        <w:t xml:space="preserve"> remained at </w:t>
      </w:r>
      <w:r>
        <w:rPr>
          <w:i/>
          <w:iCs/>
          <w:lang w:val="ru-RU"/>
        </w:rPr>
        <w:t>ρ</w:t>
      </w:r>
      <w:r>
        <w:rPr>
          <w:vertAlign w:val="subscript"/>
        </w:rPr>
        <w:t>∂</w:t>
      </w:r>
      <w:r>
        <w:rPr/>
        <w:t>=0.088, which apparently indicates greater genuineness of the late-summer signal. However, the confounding analysis was performed for a limited number of pairs. Extending this conclusion to other indices and soil properties, as well as evaluating non-linear relationships (e.g., distance correlation), requires further validation.</w:t>
      </w:r>
    </w:p>
    <w:p>
      <w:pPr>
        <w:pStyle w:val="MDPI31text"/>
        <w:spacing w:before="240" w:after="120"/>
        <w:ind w:hanging="0" w:start="2608"/>
        <w:rPr>
          <w:sz w:val="18"/>
          <w:szCs w:val="18"/>
        </w:rPr>
      </w:pPr>
      <w:r>
        <w:rPr>
          <w:b/>
          <w:sz w:val="18"/>
          <w:szCs w:val="18"/>
        </w:rPr>
        <w:t xml:space="preserve">Table 17. </w:t>
      </w:r>
      <w:r>
        <w:rPr>
          <w:sz w:val="18"/>
          <w:szCs w:val="18"/>
        </w:rPr>
        <w:t>pH Confounding in the SOC – Spectral Indices Correlation.</w:t>
      </w:r>
    </w:p>
    <w:tbl>
      <w:tblPr>
        <w:tblStyle w:val="Table"/>
        <w:tblW w:w="9757" w:type="dxa"/>
        <w:jc w:val="start"/>
        <w:tblInd w:w="142" w:type="dxa"/>
        <w:tblLayout w:type="fixed"/>
        <w:tblCellMar>
          <w:top w:w="0" w:type="dxa"/>
          <w:start w:w="108" w:type="dxa"/>
          <w:bottom w:w="0" w:type="dxa"/>
          <w:end w:w="108" w:type="dxa"/>
        </w:tblCellMar>
        <w:tblLook w:firstRow="1" w:noVBand="0" w:lastRow="0" w:firstColumn="0" w:lastColumn="0" w:noHBand="0" w:val="0020"/>
      </w:tblPr>
      <w:tblGrid>
        <w:gridCol w:w="1837"/>
        <w:gridCol w:w="1977"/>
        <w:gridCol w:w="1979"/>
        <w:gridCol w:w="1981"/>
        <w:gridCol w:w="1983"/>
      </w:tblGrid>
      <w:tr>
        <w:trPr>
          <w:tblHeader w:val="true"/>
          <w:trHeight w:val="732" w:hRule="atLeast"/>
          <w:cnfStyle w:val="100000000000" w:firstRow="1" w:lastRow="0" w:firstColumn="0" w:lastColumn="0" w:oddVBand="0" w:evenVBand="0" w:oddHBand="0" w:evenHBand="0" w:firstRowFirstColumn="0" w:firstRowLastColumn="0" w:lastRowFirstColumn="0" w:lastRowLastColumn="0"/>
        </w:trPr>
        <w:tc>
          <w:tcPr>
            <w:tcW w:w="1837"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lang w:val="en-US"/>
              </w:rPr>
            </w:pPr>
            <w:r>
              <w:rPr>
                <w:rFonts w:eastAsia="Cambria" w:ascii="Palatino Linotype" w:hAnsi="Palatino Linotype"/>
                <w:b/>
                <w:bCs/>
                <w:kern w:val="0"/>
                <w:sz w:val="18"/>
                <w:szCs w:val="18"/>
                <w:lang w:val="en-US" w:bidi="ar-SA"/>
              </w:rPr>
              <w:t>Pair</w:t>
            </w:r>
          </w:p>
        </w:tc>
        <w:tc>
          <w:tcPr>
            <w:tcW w:w="1977"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i/>
                <w:iCs/>
                <w:kern w:val="0"/>
                <w:sz w:val="18"/>
                <w:szCs w:val="18"/>
                <w:lang w:val="ru-RU" w:bidi="ar-SA"/>
              </w:rPr>
              <w:t>ρ</w:t>
            </w:r>
            <w:r>
              <w:rPr>
                <w:rFonts w:eastAsia="Cambria" w:ascii="Palatino Linotype" w:hAnsi="Palatino Linotype"/>
                <w:b/>
                <w:bCs/>
                <w:kern w:val="0"/>
                <w:sz w:val="18"/>
                <w:szCs w:val="18"/>
                <w:vertAlign w:val="subscript"/>
                <w:lang w:val="ru-RU" w:bidi="ar-SA"/>
              </w:rPr>
              <w:t>0</w:t>
            </w:r>
          </w:p>
        </w:tc>
        <w:tc>
          <w:tcPr>
            <w:tcW w:w="1979"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i/>
                <w:iCs/>
                <w:kern w:val="0"/>
                <w:sz w:val="18"/>
                <w:szCs w:val="18"/>
                <w:lang w:val="ru-RU" w:bidi="ar-SA"/>
              </w:rPr>
              <w:t>ρ</w:t>
            </w:r>
            <w:r>
              <w:rPr>
                <w:rFonts w:eastAsia="Cambria" w:ascii="Palatino Linotype" w:hAnsi="Palatino Linotype"/>
                <w:b/>
                <w:bCs/>
                <w:kern w:val="0"/>
                <w:sz w:val="18"/>
                <w:szCs w:val="18"/>
                <w:vertAlign w:val="subscript"/>
                <w:lang w:val="ru-RU" w:bidi="ar-SA"/>
              </w:rPr>
              <w:t>∂|pH</w:t>
            </w:r>
          </w:p>
        </w:tc>
        <w:tc>
          <w:tcPr>
            <w:tcW w:w="1981"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b/>
                <w:bCs/>
                <w:sz w:val="18"/>
                <w:szCs w:val="18"/>
              </w:rPr>
            </w:pPr>
            <w:r>
              <w:rPr>
                <w:rFonts w:eastAsia="Cambria" w:ascii="Palatino Linotype" w:hAnsi="Palatino Linotype"/>
                <w:b/>
                <w:bCs/>
                <w:kern w:val="0"/>
                <w:sz w:val="18"/>
                <w:szCs w:val="18"/>
                <w:lang w:val="en-US" w:bidi="ar-SA"/>
              </w:rPr>
              <w:t>C</w:t>
            </w:r>
            <w:r>
              <w:rPr>
                <w:rFonts w:eastAsia="Cambria" w:ascii="Palatino Linotype" w:hAnsi="Palatino Linotype"/>
                <w:b/>
                <w:bCs/>
                <w:kern w:val="0"/>
                <w:sz w:val="18"/>
                <w:szCs w:val="18"/>
                <w:vertAlign w:val="subscript"/>
                <w:lang w:val="ru-RU" w:bidi="ar-SA"/>
              </w:rPr>
              <w:t>pH</w:t>
            </w:r>
            <w:r>
              <w:rPr>
                <w:rFonts w:eastAsia="Cambria" w:ascii="Palatino Linotype" w:hAnsi="Palatino Linotype"/>
                <w:b/>
                <w:bCs/>
                <w:kern w:val="0"/>
                <w:sz w:val="18"/>
                <w:szCs w:val="18"/>
                <w:lang w:val="ru-RU" w:bidi="ar-SA"/>
              </w:rPr>
              <w:t>,%</w:t>
            </w:r>
          </w:p>
        </w:tc>
        <w:tc>
          <w:tcPr>
            <w:tcW w:w="1983" w:type="dxa"/>
            <w:tcBorders>
              <w:top w:val="single" w:sz="4" w:space="0" w:color="000000"/>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b/>
                <w:bCs/>
                <w:kern w:val="0"/>
                <w:sz w:val="18"/>
                <w:szCs w:val="18"/>
                <w:lang w:val="ru-RU" w:bidi="ar-SA"/>
              </w:rPr>
              <w:t>Interpretation</w:t>
            </w:r>
          </w:p>
        </w:tc>
      </w:tr>
      <w:tr>
        <w:trPr>
          <w:trHeight w:val="732" w:hRule="atLeast"/>
        </w:trPr>
        <w:tc>
          <w:tcPr>
            <w:tcW w:w="1837"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ru-RU" w:bidi="ar-SA"/>
              </w:rPr>
              <w:t>SOC – NDVI</w:t>
            </w:r>
            <w:r>
              <w:rPr>
                <w:rFonts w:eastAsia="Cambria" w:ascii="Palatino Linotype" w:hAnsi="Palatino Linotype"/>
                <w:kern w:val="0"/>
                <w:sz w:val="18"/>
                <w:szCs w:val="18"/>
                <w:vertAlign w:val="subscript"/>
                <w:lang w:val="en-US" w:bidi="ar-SA"/>
              </w:rPr>
              <w:t>summer</w:t>
            </w:r>
          </w:p>
        </w:tc>
        <w:tc>
          <w:tcPr>
            <w:tcW w:w="1977"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0.145</w:t>
            </w:r>
          </w:p>
        </w:tc>
        <w:tc>
          <w:tcPr>
            <w:tcW w:w="1979"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0.084</w:t>
            </w:r>
          </w:p>
        </w:tc>
        <w:tc>
          <w:tcPr>
            <w:tcW w:w="1981"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41.9%</w:t>
            </w:r>
          </w:p>
        </w:tc>
        <w:tc>
          <w:tcPr>
            <w:tcW w:w="1983" w:type="dxa"/>
            <w:tcBorders>
              <w:top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pH mediates &gt; 40%</w:t>
            </w:r>
          </w:p>
        </w:tc>
      </w:tr>
      <w:tr>
        <w:trPr>
          <w:trHeight w:val="732" w:hRule="atLeast"/>
        </w:trPr>
        <w:tc>
          <w:tcPr>
            <w:tcW w:w="183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SOC – NDVI</w:t>
            </w:r>
            <w:r>
              <w:rPr>
                <w:rFonts w:eastAsia="Cambria" w:ascii="Palatino Linotype" w:hAnsi="Palatino Linotype"/>
                <w:kern w:val="0"/>
                <w:sz w:val="18"/>
                <w:szCs w:val="18"/>
                <w:vertAlign w:val="subscript"/>
                <w:lang w:val="ru-RU" w:bidi="ar-SA"/>
              </w:rPr>
              <w:t>late summer</w:t>
            </w:r>
          </w:p>
        </w:tc>
        <w:tc>
          <w:tcPr>
            <w:tcW w:w="197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0.082</w:t>
            </w:r>
          </w:p>
        </w:tc>
        <w:tc>
          <w:tcPr>
            <w:tcW w:w="1979"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0.093</w:t>
            </w:r>
          </w:p>
        </w:tc>
        <w:tc>
          <w:tcPr>
            <w:tcW w:w="1981"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-13.7%</w:t>
            </w:r>
          </w:p>
        </w:tc>
        <w:tc>
          <w:tcPr>
            <w:tcW w:w="1983"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pH suppresses the relationship</w:t>
            </w:r>
          </w:p>
        </w:tc>
      </w:tr>
      <w:tr>
        <w:trPr>
          <w:trHeight w:val="391" w:hRule="atLeast"/>
        </w:trPr>
        <w:tc>
          <w:tcPr>
            <w:tcW w:w="9757" w:type="dxa"/>
            <w:gridSpan w:val="5"/>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en-US" w:bidi="ar-SA"/>
              </w:rPr>
              <w:t xml:space="preserve">Extended control </w:t>
            </w:r>
            <w:r>
              <w:rPr>
                <w:kern w:val="0"/>
                <w:lang w:val="ru-RU" w:bidi="ar-SA"/>
              </w:rPr>
            </w:r>
            <m:oMath xmlns:m="http://schemas.openxmlformats.org/officeDocument/2006/math">
              <m:r>
                <m:t xml:space="preserve">Z</m:t>
              </m:r>
              <m:r>
                <m:rPr>
                  <m:lit/>
                  <m:nor/>
                </m:rPr>
                <m:t xml:space="preserve">=</m:t>
              </m:r>
              <m:r>
                <m:t xml:space="preserve">{</m:t>
              </m:r>
              <m:r>
                <m:rPr>
                  <m:lit/>
                  <m:nor/>
                </m:rPr>
                <m:t xml:space="preserve">pH, MAP, </m:t>
              </m:r>
              <m:r>
                <m:rPr>
                  <m:lit/>
                  <m:nor/>
                </m:rPr>
                <m:t xml:space="preserve">latitude</m:t>
              </m:r>
              <m:r>
                <m:t xml:space="preserve">}</m:t>
              </m:r>
            </m:oMath>
            <w:r>
              <w:rPr>
                <w:rFonts w:eastAsia="Cambria" w:ascii="Palatino Linotype" w:hAnsi="Palatino Linotype"/>
                <w:kern w:val="0"/>
                <w:sz w:val="18"/>
                <w:szCs w:val="18"/>
                <w:lang w:val="en-US" w:bidi="ar-SA"/>
              </w:rPr>
              <w:t>:</w:t>
            </w:r>
          </w:p>
        </w:tc>
      </w:tr>
      <w:tr>
        <w:trPr>
          <w:trHeight w:val="732" w:hRule="atLeast"/>
        </w:trPr>
        <w:tc>
          <w:tcPr>
            <w:tcW w:w="1837" w:type="dxa"/>
            <w:tcBorders/>
            <w:vAlign w:val="center"/>
          </w:tcPr>
          <w:p>
            <w:pPr>
              <w:pStyle w:val="Compact"/>
              <w:widowControl/>
              <w:suppressAutoHyphens w:val="true"/>
              <w:spacing w:before="36" w:after="36"/>
              <w:jc w:val="center"/>
              <w:rPr>
                <w:rFonts w:ascii="Palatino Linotype" w:hAnsi="Palatino Linotype" w:eastAsia="Cambria"/>
                <w:sz w:val="18"/>
                <w:szCs w:val="18"/>
                <w:lang w:val="en-US"/>
              </w:rPr>
            </w:pPr>
            <w:r>
              <w:rPr>
                <w:rFonts w:eastAsia="Cambria" w:ascii="Palatino Linotype" w:hAnsi="Palatino Linotype"/>
                <w:kern w:val="0"/>
                <w:sz w:val="18"/>
                <w:szCs w:val="18"/>
                <w:lang w:val="ru-RU" w:bidi="ar-SA"/>
              </w:rPr>
              <w:t>SOC – NDVI</w:t>
            </w:r>
            <w:r>
              <w:rPr>
                <w:rFonts w:eastAsia="Cambria" w:ascii="Palatino Linotype" w:hAnsi="Palatino Linotype"/>
                <w:kern w:val="0"/>
                <w:sz w:val="18"/>
                <w:szCs w:val="18"/>
                <w:vertAlign w:val="subscript"/>
                <w:lang w:val="en-US" w:bidi="ar-SA"/>
              </w:rPr>
              <w:t>summer</w:t>
            </w:r>
          </w:p>
        </w:tc>
        <w:tc>
          <w:tcPr>
            <w:tcW w:w="1977"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0.145</w:t>
            </w:r>
          </w:p>
        </w:tc>
        <w:tc>
          <w:tcPr>
            <w:tcW w:w="1979"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0.051</w:t>
            </w:r>
          </w:p>
        </w:tc>
        <w:tc>
          <w:tcPr>
            <w:tcW w:w="1981"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b/>
                <w:bCs/>
                <w:kern w:val="0"/>
                <w:sz w:val="18"/>
                <w:szCs w:val="18"/>
                <w:lang w:val="ru-RU" w:bidi="ar-SA"/>
              </w:rPr>
              <w:t>64.8%</w:t>
            </w:r>
          </w:p>
        </w:tc>
        <w:tc>
          <w:tcPr>
            <w:tcW w:w="1983" w:type="dxa"/>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pH + climate confounding &gt; 60%</w:t>
            </w:r>
          </w:p>
        </w:tc>
      </w:tr>
      <w:tr>
        <w:trPr>
          <w:trHeight w:val="1061" w:hRule="atLeast"/>
        </w:trPr>
        <w:tc>
          <w:tcPr>
            <w:tcW w:w="1837"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SOC – NDVI</w:t>
            </w:r>
            <w:r>
              <w:rPr>
                <w:rFonts w:eastAsia="Cambria" w:ascii="Palatino Linotype" w:hAnsi="Palatino Linotype"/>
                <w:kern w:val="0"/>
                <w:sz w:val="18"/>
                <w:szCs w:val="18"/>
                <w:vertAlign w:val="subscript"/>
                <w:lang w:val="ru-RU" w:bidi="ar-SA"/>
              </w:rPr>
              <w:t>late summer</w:t>
            </w:r>
          </w:p>
        </w:tc>
        <w:tc>
          <w:tcPr>
            <w:tcW w:w="1977"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0.082</w:t>
            </w:r>
          </w:p>
        </w:tc>
        <w:tc>
          <w:tcPr>
            <w:tcW w:w="1979"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0.088</w:t>
            </w:r>
          </w:p>
        </w:tc>
        <w:tc>
          <w:tcPr>
            <w:tcW w:w="1981"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-7.3%</w:t>
            </w:r>
          </w:p>
        </w:tc>
        <w:tc>
          <w:tcPr>
            <w:tcW w:w="1983" w:type="dxa"/>
            <w:tcBorders>
              <w:bottom w:val="single" w:sz="4" w:space="0" w:color="000000"/>
            </w:tcBorders>
            <w:vAlign w:val="center"/>
          </w:tcPr>
          <w:p>
            <w:pPr>
              <w:pStyle w:val="Compact"/>
              <w:widowControl/>
              <w:suppressAutoHyphens w:val="true"/>
              <w:spacing w:before="36" w:after="36"/>
              <w:jc w:val="center"/>
              <w:rPr>
                <w:rFonts w:ascii="Palatino Linotype" w:hAnsi="Palatino Linotype" w:eastAsia="Cambria"/>
                <w:sz w:val="18"/>
                <w:szCs w:val="18"/>
              </w:rPr>
            </w:pPr>
            <w:r>
              <w:rPr>
                <w:rFonts w:eastAsia="Cambria" w:ascii="Palatino Linotype" w:hAnsi="Palatino Linotype"/>
                <w:kern w:val="0"/>
                <w:sz w:val="18"/>
                <w:szCs w:val="18"/>
                <w:lang w:val="ru-RU" w:bidi="ar-SA"/>
              </w:rPr>
              <w:t>The relationship remains robust</w:t>
            </w:r>
            <w:bookmarkStart w:id="17" w:name="tab%25253Aconfounding"/>
            <w:bookmarkEnd w:id="17"/>
          </w:p>
        </w:tc>
      </w:tr>
    </w:tbl>
    <w:p>
      <w:pPr>
        <w:pStyle w:val="MDPI31text"/>
        <w:ind w:hanging="0" w:start="0"/>
        <w:rPr/>
      </w:pPr>
      <w:r>
        <w:rPr/>
        <w:drawing>
          <wp:inline distT="0" distB="0" distL="0" distR="0">
            <wp:extent cx="6846570" cy="3384550"/>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6"/>
                    <a:stretch>
                      <a:fillRect/>
                    </a:stretch>
                  </pic:blipFill>
                  <pic:spPr bwMode="auto">
                    <a:xfrm>
                      <a:off x="0" y="0"/>
                      <a:ext cx="6846570" cy="3384550"/>
                    </a:xfrm>
                    <a:prstGeom prst="rect">
                      <a:avLst/>
                    </a:prstGeom>
                    <a:noFill/>
                  </pic:spPr>
                </pic:pic>
              </a:graphicData>
            </a:graphic>
          </wp:inline>
        </w:drawing>
      </w:r>
    </w:p>
    <w:p>
      <w:pPr>
        <w:pStyle w:val="MDPI31text"/>
        <w:spacing w:before="120" w:after="240"/>
        <w:ind w:hanging="0" w:start="2608"/>
        <w:rPr>
          <w:bCs/>
          <w:sz w:val="18"/>
          <w:szCs w:val="18"/>
        </w:rPr>
      </w:pPr>
      <w:r>
        <w:rPr>
          <w:b/>
          <w:sz w:val="18"/>
          <w:szCs w:val="18"/>
        </w:rPr>
        <w:t xml:space="preserve">Figure 13. </w:t>
      </w:r>
      <w:r>
        <w:rPr>
          <w:bCs/>
          <w:sz w:val="18"/>
          <w:szCs w:val="18"/>
        </w:rPr>
        <w:t>pH confounding: baseline (</w:t>
      </w:r>
      <w:r>
        <w:rPr>
          <w:bCs/>
          <w:i/>
          <w:iCs/>
          <w:sz w:val="18"/>
          <w:szCs w:val="18"/>
        </w:rPr>
        <w:t>ρ</w:t>
      </w:r>
      <w:r>
        <w:rPr>
          <w:bCs/>
          <w:sz w:val="18"/>
          <w:szCs w:val="18"/>
          <w:vertAlign w:val="subscript"/>
        </w:rPr>
        <w:t>0</w:t>
      </w:r>
      <w:r>
        <w:rPr>
          <w:bCs/>
          <w:sz w:val="18"/>
          <w:szCs w:val="18"/>
        </w:rPr>
        <w:t>) and partial (</w:t>
      </w:r>
      <w:r>
        <w:rPr>
          <w:bCs/>
          <w:i/>
          <w:iCs/>
          <w:sz w:val="18"/>
          <w:szCs w:val="18"/>
        </w:rPr>
        <w:t>ρ</w:t>
      </w:r>
      <w:r>
        <w:rPr>
          <w:bCs/>
          <w:sz w:val="18"/>
          <w:szCs w:val="18"/>
          <w:vertAlign w:val="subscript"/>
        </w:rPr>
        <w:t>∂|pH</w:t>
      </w:r>
      <w:r>
        <w:rPr>
          <w:bCs/>
          <w:sz w:val="18"/>
          <w:szCs w:val="18"/>
        </w:rPr>
        <w:t>) correlations of SOC with spectral vegetation indices (NDVI, GNDVI, NDRE, EVI — summer and spring). The difference between the columns quantifies the proportion of the correlation mediated by pH.</w:t>
      </w:r>
    </w:p>
    <w:p>
      <w:pPr>
        <w:pStyle w:val="MDPI22heading2"/>
        <w:spacing w:before="240" w:after="60"/>
        <w:rPr/>
      </w:pPr>
      <w:r>
        <w:rPr/>
        <w:t>3.9. Derived soil properties</w:t>
      </w:r>
    </w:p>
    <w:p>
      <w:pPr>
        <w:pStyle w:val="MDPI31text"/>
        <w:rPr/>
      </w:pPr>
      <w:r>
        <w:rPr/>
        <w:t>Derived indicators (Table 18) exhibited several correlations that exceed those of individual properties.</w:t>
      </w:r>
    </w:p>
    <w:p>
      <w:pPr>
        <w:pStyle w:val="MDPI31text"/>
        <w:rPr/>
      </w:pPr>
      <w:r>
        <w:rPr/>
      </w:r>
    </w:p>
    <w:p>
      <w:pPr>
        <w:pStyle w:val="MDPI31text"/>
        <w:rPr/>
      </w:pPr>
      <w:r>
        <w:rPr/>
      </w:r>
    </w:p>
    <w:p>
      <w:pPr>
        <w:pStyle w:val="MDPI31text"/>
        <w:rPr/>
      </w:pPr>
      <w:r>
        <w:rPr/>
      </w:r>
    </w:p>
    <w:p>
      <w:pPr>
        <w:pStyle w:val="MDPI31text"/>
        <w:spacing w:before="240" w:after="120"/>
        <w:ind w:hanging="0" w:start="2608"/>
        <w:rPr>
          <w:sz w:val="18"/>
          <w:szCs w:val="18"/>
        </w:rPr>
      </w:pPr>
      <w:r>
        <w:rPr>
          <w:b/>
          <w:sz w:val="18"/>
          <w:szCs w:val="18"/>
        </w:rPr>
        <w:t xml:space="preserve">Table 18. </w:t>
      </w:r>
      <w:r>
        <w:rPr>
          <w:sz w:val="18"/>
          <w:szCs w:val="18"/>
        </w:rPr>
        <w:t>Correlations exceeding those of individual properties.</w:t>
      </w:r>
    </w:p>
    <w:tbl>
      <w:tblPr>
        <w:tblStyle w:val="aff1"/>
        <w:tblW w:w="9888" w:type="dxa"/>
        <w:jc w:val="start"/>
        <w:tblInd w:w="720" w:type="dxa"/>
        <w:tblLayout w:type="fixed"/>
        <w:tblCellMar>
          <w:top w:w="0" w:type="dxa"/>
          <w:start w:w="108" w:type="dxa"/>
          <w:bottom w:w="0" w:type="dxa"/>
          <w:end w:w="108" w:type="dxa"/>
        </w:tblCellMar>
        <w:tblLook w:firstRow="1" w:noVBand="1" w:lastRow="0" w:firstColumn="1" w:lastColumn="0" w:noHBand="0" w:val="04a0"/>
      </w:tblPr>
      <w:tblGrid>
        <w:gridCol w:w="2675"/>
        <w:gridCol w:w="2552"/>
        <w:gridCol w:w="1701"/>
        <w:gridCol w:w="2960"/>
      </w:tblGrid>
      <w:tr>
        <w:trPr>
          <w:trHeight w:val="669" w:hRule="atLeast"/>
        </w:trPr>
        <w:tc>
          <w:tcPr>
            <w:tcW w:w="2675" w:type="dxa"/>
            <w:tcBorders>
              <w:start w:val="nil"/>
              <w:end w:val="nil"/>
            </w:tcBorders>
            <w:vAlign w:val="center"/>
          </w:tcPr>
          <w:p>
            <w:pPr>
              <w:pStyle w:val="Normal"/>
              <w:widowControl/>
              <w:spacing w:before="0" w:after="0"/>
              <w:jc w:val="center"/>
              <w:rPr>
                <w:b/>
                <w:bCs/>
                <w:sz w:val="18"/>
                <w:szCs w:val="18"/>
              </w:rPr>
            </w:pPr>
            <w:r>
              <w:rPr>
                <w:rFonts w:eastAsia="SimSun" w:cs="Times New Roman"/>
                <w:b/>
                <w:bCs/>
                <w:kern w:val="0"/>
                <w:sz w:val="18"/>
                <w:szCs w:val="18"/>
                <w:lang w:val="en-US" w:eastAsia="zh-CN" w:bidi="ar-SA"/>
              </w:rPr>
              <w:t>Derived soil indicator</w:t>
            </w:r>
          </w:p>
        </w:tc>
        <w:tc>
          <w:tcPr>
            <w:tcW w:w="2552" w:type="dxa"/>
            <w:tcBorders>
              <w:start w:val="nil"/>
              <w:end w:val="nil"/>
            </w:tcBorders>
            <w:vAlign w:val="center"/>
          </w:tcPr>
          <w:p>
            <w:pPr>
              <w:pStyle w:val="Normal"/>
              <w:widowControl/>
              <w:spacing w:before="0" w:after="0"/>
              <w:jc w:val="center"/>
              <w:rPr>
                <w:b/>
                <w:bCs/>
                <w:sz w:val="18"/>
                <w:szCs w:val="18"/>
              </w:rPr>
            </w:pPr>
            <w:r>
              <w:rPr>
                <w:rFonts w:eastAsia="SimSun" w:cs="Times New Roman"/>
                <w:b/>
                <w:bCs/>
                <w:kern w:val="0"/>
                <w:sz w:val="18"/>
                <w:szCs w:val="18"/>
                <w:lang w:val="en-US" w:eastAsia="zh-CN" w:bidi="ar-SA"/>
              </w:rPr>
              <w:t>RS feature</w:t>
            </w:r>
          </w:p>
        </w:tc>
        <w:tc>
          <w:tcPr>
            <w:tcW w:w="1701" w:type="dxa"/>
            <w:tcBorders>
              <w:start w:val="nil"/>
              <w:end w:val="nil"/>
            </w:tcBorders>
            <w:vAlign w:val="center"/>
          </w:tcPr>
          <w:p>
            <w:pPr>
              <w:pStyle w:val="Normal"/>
              <w:widowControl/>
              <w:spacing w:before="0" w:after="0"/>
              <w:jc w:val="center"/>
              <w:rPr>
                <w:b/>
                <w:bCs/>
                <w:i/>
                <w:iCs/>
                <w:sz w:val="18"/>
                <w:szCs w:val="18"/>
              </w:rPr>
            </w:pPr>
            <w:r>
              <w:rPr>
                <w:rFonts w:eastAsia="SimSun" w:cs="Times New Roman"/>
                <w:b/>
                <w:bCs/>
                <w:i/>
                <w:iCs/>
                <w:kern w:val="0"/>
                <w:sz w:val="18"/>
                <w:szCs w:val="18"/>
                <w:lang w:val="en-US" w:eastAsia="zh-CN" w:bidi="ar-SA"/>
              </w:rPr>
              <w:t>ρ</w:t>
            </w:r>
          </w:p>
        </w:tc>
        <w:tc>
          <w:tcPr>
            <w:tcW w:w="2960" w:type="dxa"/>
            <w:tcBorders>
              <w:start w:val="nil"/>
              <w:end w:val="nil"/>
            </w:tcBorders>
            <w:vAlign w:val="center"/>
          </w:tcPr>
          <w:p>
            <w:pPr>
              <w:pStyle w:val="Normal"/>
              <w:widowControl/>
              <w:spacing w:before="0" w:after="0"/>
              <w:jc w:val="center"/>
              <w:rPr>
                <w:b/>
                <w:bCs/>
                <w:sz w:val="18"/>
                <w:szCs w:val="18"/>
              </w:rPr>
            </w:pPr>
            <w:r>
              <w:rPr>
                <w:rFonts w:eastAsia="SimSun" w:cs="Times New Roman"/>
                <w:b/>
                <w:bCs/>
                <w:kern w:val="0"/>
                <w:sz w:val="18"/>
                <w:szCs w:val="18"/>
                <w:lang w:val="en-US" w:eastAsia="zh-CN" w:bidi="ar-SA"/>
              </w:rPr>
              <w:t>Physical meaning</w:t>
            </w:r>
          </w:p>
        </w:tc>
      </w:tr>
      <w:tr>
        <w:trPr>
          <w:trHeight w:val="335" w:hRule="atLeast"/>
        </w:trPr>
        <w:tc>
          <w:tcPr>
            <w:tcW w:w="2675" w:type="dxa"/>
            <w:tcBorders>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P</w:t>
            </w:r>
            <w:r>
              <w:rPr>
                <w:rFonts w:eastAsia="SimSun" w:cs="Times New Roman"/>
                <w:kern w:val="0"/>
                <w:sz w:val="18"/>
                <w:szCs w:val="18"/>
                <w:vertAlign w:val="subscript"/>
                <w:lang w:val="en-US" w:eastAsia="zh-CN" w:bidi="ar-SA"/>
              </w:rPr>
              <w:t>2</w:t>
            </w:r>
            <w:r>
              <w:rPr>
                <w:rFonts w:eastAsia="SimSun" w:cs="Times New Roman"/>
                <w:kern w:val="0"/>
                <w:sz w:val="18"/>
                <w:szCs w:val="18"/>
                <w:lang w:val="en-US" w:eastAsia="zh-CN" w:bidi="ar-SA"/>
              </w:rPr>
              <w:t>O</w:t>
            </w:r>
            <w:r>
              <w:rPr>
                <w:rFonts w:eastAsia="SimSun" w:cs="Times New Roman"/>
                <w:kern w:val="0"/>
                <w:sz w:val="18"/>
                <w:szCs w:val="18"/>
                <w:vertAlign w:val="subscript"/>
                <w:lang w:val="en-US" w:eastAsia="zh-CN" w:bidi="ar-SA"/>
              </w:rPr>
              <w:t>5</w:t>
            </w:r>
            <w:r>
              <w:rPr>
                <w:rFonts w:eastAsia="SimSun" w:cs="Times New Roman"/>
                <w:kern w:val="0"/>
                <w:sz w:val="18"/>
                <w:szCs w:val="18"/>
                <w:lang w:val="en-US" w:eastAsia="zh-CN" w:bidi="ar-SA"/>
              </w:rPr>
              <w:t>/K</w:t>
            </w:r>
            <w:r>
              <w:rPr>
                <w:rFonts w:eastAsia="SimSun" w:cs="Times New Roman"/>
                <w:kern w:val="0"/>
                <w:sz w:val="18"/>
                <w:szCs w:val="18"/>
                <w:vertAlign w:val="subscript"/>
                <w:lang w:val="en-US" w:eastAsia="zh-CN" w:bidi="ar-SA"/>
              </w:rPr>
              <w:t>2</w:t>
            </w:r>
            <w:r>
              <w:rPr>
                <w:rFonts w:eastAsia="SimSun" w:cs="Times New Roman"/>
                <w:kern w:val="0"/>
                <w:sz w:val="18"/>
                <w:szCs w:val="18"/>
                <w:lang w:val="en-US" w:eastAsia="zh-CN" w:bidi="ar-SA"/>
              </w:rPr>
              <w:t>O</w:t>
            </w:r>
          </w:p>
        </w:tc>
        <w:tc>
          <w:tcPr>
            <w:tcW w:w="2552" w:type="dxa"/>
            <w:tcBorders>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Slope</w:t>
            </w:r>
          </w:p>
        </w:tc>
        <w:tc>
          <w:tcPr>
            <w:tcW w:w="1701" w:type="dxa"/>
            <w:tcBorders>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-0.555</w:t>
            </w:r>
          </w:p>
        </w:tc>
        <w:tc>
          <w:tcPr>
            <w:tcW w:w="2960" w:type="dxa"/>
            <w:tcBorders>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Topolateral redistribution</w:t>
            </w:r>
          </w:p>
        </w:tc>
      </w:tr>
      <w:tr>
        <w:trPr>
          <w:trHeight w:val="669" w:hRule="atLeast"/>
        </w:trPr>
        <w:tc>
          <w:tcPr>
            <w:tcW w:w="2675"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S/NO</w:t>
            </w:r>
            <w:r>
              <w:rPr>
                <w:rFonts w:eastAsia="SimSun" w:cs="Times New Roman"/>
                <w:kern w:val="0"/>
                <w:sz w:val="18"/>
                <w:szCs w:val="18"/>
                <w:vertAlign w:val="subscript"/>
                <w:lang w:val="en-US" w:eastAsia="zh-CN" w:bidi="ar-SA"/>
              </w:rPr>
              <w:t>3</w:t>
            </w:r>
          </w:p>
        </w:tc>
        <w:tc>
          <w:tcPr>
            <w:tcW w:w="2552"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mean GNDVI</w:t>
            </w:r>
          </w:p>
        </w:tc>
        <w:tc>
          <w:tcPr>
            <w:tcW w:w="1701"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+ 0.478</w:t>
            </w:r>
          </w:p>
        </w:tc>
        <w:tc>
          <w:tcPr>
            <w:tcW w:w="2960"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 xml:space="preserve">S–N balance </w:t>
            </w:r>
            <w:r>
              <w:rPr>
                <w:rFonts w:eastAsia="SimSun" w:cs="Times New Roman" w:ascii="Times New Roman" w:hAnsi="Times New Roman"/>
                <w:kern w:val="0"/>
                <w:sz w:val="18"/>
                <w:szCs w:val="18"/>
                <w:lang w:val="en-US" w:eastAsia="zh-CN" w:bidi="ar-SA"/>
              </w:rPr>
              <w:t>→</w:t>
            </w:r>
            <w:r>
              <w:rPr>
                <w:rFonts w:eastAsia="SimSun" w:cs="Times New Roman"/>
                <w:kern w:val="0"/>
                <w:sz w:val="18"/>
                <w:szCs w:val="18"/>
                <w:lang w:val="en-US" w:eastAsia="zh-CN" w:bidi="ar-SA"/>
              </w:rPr>
              <w:t xml:space="preserve"> vegetation</w:t>
            </w:r>
          </w:p>
        </w:tc>
      </w:tr>
      <w:tr>
        <w:trPr>
          <w:trHeight w:val="657" w:hRule="atLeast"/>
        </w:trPr>
        <w:tc>
          <w:tcPr>
            <w:tcW w:w="2675"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SOC×NO</w:t>
            </w:r>
            <w:r>
              <w:rPr>
                <w:rFonts w:eastAsia="SimSun" w:cs="Times New Roman"/>
                <w:kern w:val="0"/>
                <w:sz w:val="18"/>
                <w:szCs w:val="18"/>
                <w:vertAlign w:val="subscript"/>
                <w:lang w:val="en-US" w:eastAsia="zh-CN" w:bidi="ar-SA"/>
              </w:rPr>
              <w:t>3</w:t>
            </w:r>
          </w:p>
        </w:tc>
        <w:tc>
          <w:tcPr>
            <w:tcW w:w="2552"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GNDVI</w:t>
            </w:r>
            <w:r>
              <w:rPr>
                <w:rFonts w:eastAsia="SimSun" w:cs="Times New Roman"/>
                <w:kern w:val="0"/>
                <w:sz w:val="20"/>
                <w:szCs w:val="20"/>
                <w:lang w:val="en-US" w:eastAsia="zh-CN" w:bidi="ar-SA"/>
              </w:rPr>
            </w:r>
            <m:oMath xmlns:m="http://schemas.openxmlformats.org/officeDocument/2006/math">
              <m:r>
                <m:rPr>
                  <m:lit/>
                  <m:nor/>
                </m:rPr>
                <m:t xml:space="preserve">-</m:t>
              </m:r>
            </m:oMath>
            <w:r>
              <w:rPr>
                <w:rFonts w:eastAsia="SimSun" w:cs="Times New Roman"/>
                <w:kern w:val="0"/>
                <w:sz w:val="18"/>
                <w:szCs w:val="18"/>
                <w:lang w:val="en-US" w:eastAsia="zh-CN" w:bidi="ar-SA"/>
              </w:rPr>
              <w:t>NDRE</w:t>
            </w:r>
            <w:r>
              <w:rPr>
                <w:rFonts w:eastAsia="SimSun" w:cs="Times New Roman"/>
                <w:kern w:val="0"/>
                <w:sz w:val="18"/>
                <w:szCs w:val="18"/>
                <w:vertAlign w:val="subscript"/>
                <w:lang w:val="en-US" w:eastAsia="zh-CN" w:bidi="ar-SA"/>
              </w:rPr>
              <w:t>spring</w:t>
            </w:r>
          </w:p>
        </w:tc>
        <w:tc>
          <w:tcPr>
            <w:tcW w:w="1701"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-0.456</w:t>
            </w:r>
          </w:p>
        </w:tc>
        <w:tc>
          <w:tcPr>
            <w:tcW w:w="2960" w:type="dxa"/>
            <w:tcBorders>
              <w:top w:val="nil"/>
              <w:start w:val="nil"/>
              <w:bottom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 xml:space="preserve">Organic N pool </w:t>
            </w:r>
            <w:r>
              <w:rPr>
                <w:rFonts w:eastAsia="SimSun" w:cs="Times New Roman" w:ascii="Times New Roman" w:hAnsi="Times New Roman"/>
                <w:kern w:val="0"/>
                <w:sz w:val="18"/>
                <w:szCs w:val="18"/>
                <w:lang w:val="en-US" w:eastAsia="zh-CN" w:bidi="ar-SA"/>
              </w:rPr>
              <w:t>→</w:t>
            </w:r>
            <w:r>
              <w:rPr>
                <w:rFonts w:eastAsia="SimSun" w:cs="Times New Roman"/>
                <w:kern w:val="0"/>
                <w:sz w:val="18"/>
                <w:szCs w:val="18"/>
                <w:lang w:val="en-US" w:eastAsia="zh-CN" w:bidi="ar-SA"/>
              </w:rPr>
              <w:t xml:space="preserve"> chlorophyll</w:t>
            </w:r>
          </w:p>
        </w:tc>
      </w:tr>
      <w:tr>
        <w:trPr>
          <w:trHeight w:val="335" w:hRule="atLeast"/>
        </w:trPr>
        <w:tc>
          <w:tcPr>
            <w:tcW w:w="2675" w:type="dxa"/>
            <w:tcBorders>
              <w:top w:val="nil"/>
              <w:start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Mineralization index</w:t>
            </w:r>
          </w:p>
        </w:tc>
        <w:tc>
          <w:tcPr>
            <w:tcW w:w="2552" w:type="dxa"/>
            <w:tcBorders>
              <w:top w:val="nil"/>
              <w:start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NIRL8, spring</w:t>
            </w:r>
          </w:p>
        </w:tc>
        <w:tc>
          <w:tcPr>
            <w:tcW w:w="1701" w:type="dxa"/>
            <w:tcBorders>
              <w:top w:val="nil"/>
              <w:start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-0.472</w:t>
            </w:r>
          </w:p>
        </w:tc>
        <w:tc>
          <w:tcPr>
            <w:tcW w:w="2960" w:type="dxa"/>
            <w:tcBorders>
              <w:top w:val="nil"/>
              <w:start w:val="nil"/>
              <w:end w:val="nil"/>
            </w:tcBorders>
            <w:vAlign w:val="center"/>
          </w:tcPr>
          <w:p>
            <w:pPr>
              <w:pStyle w:val="Normal"/>
              <w:widowControl/>
              <w:spacing w:before="0" w:after="0"/>
              <w:jc w:val="center"/>
              <w:rPr>
                <w:sz w:val="18"/>
                <w:szCs w:val="18"/>
              </w:rPr>
            </w:pPr>
            <w:r>
              <w:rPr>
                <w:rFonts w:eastAsia="SimSun" w:cs="Times New Roman"/>
                <w:kern w:val="0"/>
                <w:sz w:val="18"/>
                <w:szCs w:val="18"/>
                <w:lang w:val="en-US" w:eastAsia="zh-CN" w:bidi="ar-SA"/>
              </w:rPr>
              <w:t xml:space="preserve">Nitrification </w:t>
            </w:r>
            <w:r>
              <w:rPr>
                <w:rFonts w:eastAsia="SimSun" w:cs="Times New Roman" w:ascii="Times New Roman" w:hAnsi="Times New Roman"/>
                <w:kern w:val="0"/>
                <w:sz w:val="18"/>
                <w:szCs w:val="18"/>
                <w:lang w:val="en-US" w:eastAsia="zh-CN" w:bidi="ar-SA"/>
              </w:rPr>
              <w:t>→</w:t>
            </w:r>
            <w:r>
              <w:rPr>
                <w:rFonts w:eastAsia="SimSun" w:cs="Times New Roman"/>
                <w:kern w:val="0"/>
                <w:sz w:val="18"/>
                <w:szCs w:val="18"/>
                <w:lang w:val="en-US" w:eastAsia="zh-CN" w:bidi="ar-SA"/>
              </w:rPr>
              <w:t xml:space="preserve"> NIR</w:t>
            </w:r>
          </w:p>
        </w:tc>
      </w:tr>
    </w:tbl>
    <w:p>
      <w:pPr>
        <w:pStyle w:val="MDPI31text"/>
        <w:rPr/>
      </w:pPr>
      <w:r>
        <w:rPr/>
        <w:t>The correlation of P</w:t>
      </w:r>
      <w:r>
        <w:rPr>
          <w:vertAlign w:val="subscript"/>
        </w:rPr>
        <w:t>2</w:t>
      </w:r>
      <w:r>
        <w:rPr/>
        <w:t>O</w:t>
      </w:r>
      <w:r>
        <w:rPr>
          <w:vertAlign w:val="subscript"/>
        </w:rPr>
        <w:t>5</w:t>
      </w:r>
      <w:r>
        <w:rPr/>
        <w:t>/K</w:t>
      </w:r>
      <w:r>
        <w:rPr>
          <w:vertAlign w:val="subscript"/>
        </w:rPr>
        <w:t>2</w:t>
      </w:r>
      <w:r>
        <w:rPr/>
        <w:t>O with slope was most noteworthy (</w:t>
      </w:r>
      <w:r>
        <w:rPr>
          <w:i/>
          <w:iCs/>
          <w:lang w:val="ru-RU"/>
        </w:rPr>
        <w:t>ρ</w:t>
      </w:r>
      <w:r>
        <w:rPr/>
        <w:t xml:space="preserve"> = -0.555). To evaluate whether the ratio itself provides a synergistic increase, a comparison with individual properties and alternative combinations was performed: </w:t>
      </w:r>
      <w:r>
        <w:rPr>
          <w:i/>
          <w:iCs/>
          <w:lang w:val="ru-RU"/>
        </w:rPr>
        <w:t>ρ</w:t>
      </w:r>
      <w:r>
        <w:rPr/>
        <w:t>(</w:t>
      </w:r>
      <w:r>
        <w:rPr>
          <w:sz w:val="18"/>
          <w:szCs w:val="18"/>
        </w:rPr>
        <w:t>P</w:t>
      </w:r>
      <w:r>
        <w:rPr>
          <w:sz w:val="18"/>
          <w:szCs w:val="18"/>
          <w:vertAlign w:val="subscript"/>
        </w:rPr>
        <w:t>2</w:t>
      </w:r>
      <w:r>
        <w:rPr>
          <w:sz w:val="18"/>
          <w:szCs w:val="18"/>
        </w:rPr>
        <w:t>O</w:t>
      </w:r>
      <w:r>
        <w:rPr>
          <w:sz w:val="18"/>
          <w:szCs w:val="18"/>
          <w:vertAlign w:val="subscript"/>
        </w:rPr>
        <w:t>5</w:t>
      </w:r>
      <w:r>
        <w:rPr/>
        <w:t xml:space="preserve">, slope) = -0.452; </w:t>
      </w:r>
      <w:r>
        <w:rPr>
          <w:i/>
          <w:iCs/>
          <w:lang w:val="ru-RU"/>
        </w:rPr>
        <w:t>ρ</w:t>
      </w:r>
      <w:r>
        <w:rPr/>
        <w:t>(</w:t>
      </w:r>
      <w:r>
        <w:rPr>
          <w:sz w:val="18"/>
          <w:szCs w:val="18"/>
        </w:rPr>
        <w:t>K</w:t>
      </w:r>
      <w:r>
        <w:rPr>
          <w:sz w:val="18"/>
          <w:szCs w:val="18"/>
          <w:vertAlign w:val="subscript"/>
        </w:rPr>
        <w:t>2</w:t>
      </w:r>
      <w:r>
        <w:rPr>
          <w:sz w:val="18"/>
          <w:szCs w:val="18"/>
        </w:rPr>
        <w:t>O</w:t>
      </w:r>
      <w:r>
        <w:rPr/>
        <w:t xml:space="preserve">, slope) = +0.251; </w:t>
      </w:r>
      <w:r>
        <w:rPr>
          <w:i/>
          <w:iCs/>
          <w:lang w:val="ru-RU"/>
        </w:rPr>
        <w:t>ρ</w:t>
      </w:r>
      <w:r>
        <w:rPr/>
        <w:t>(</w:t>
      </w:r>
      <w:r>
        <w:rPr>
          <w:sz w:val="18"/>
          <w:szCs w:val="18"/>
        </w:rPr>
        <w:t>P</w:t>
      </w:r>
      <w:r>
        <w:rPr>
          <w:sz w:val="18"/>
          <w:szCs w:val="18"/>
          <w:vertAlign w:val="subscript"/>
        </w:rPr>
        <w:t>2</w:t>
      </w:r>
      <w:r>
        <w:rPr>
          <w:sz w:val="18"/>
          <w:szCs w:val="18"/>
        </w:rPr>
        <w:t>O</w:t>
      </w:r>
      <w:r>
        <w:rPr>
          <w:sz w:val="18"/>
          <w:szCs w:val="18"/>
          <w:vertAlign w:val="subscript"/>
        </w:rPr>
        <w:t>5</w:t>
      </w:r>
      <w:r>
        <w:rPr/>
        <w:t>×</w:t>
      </w:r>
      <w:r>
        <w:rPr>
          <w:sz w:val="18"/>
          <w:szCs w:val="18"/>
        </w:rPr>
        <w:t xml:space="preserve"> K</w:t>
      </w:r>
      <w:r>
        <w:rPr>
          <w:sz w:val="18"/>
          <w:szCs w:val="18"/>
          <w:vertAlign w:val="subscript"/>
        </w:rPr>
        <w:t>2</w:t>
      </w:r>
      <w:r>
        <w:rPr>
          <w:sz w:val="18"/>
          <w:szCs w:val="18"/>
        </w:rPr>
        <w:t>O</w:t>
      </w:r>
      <w:r>
        <w:rPr/>
        <w:t xml:space="preserve">, slope)= -0.305; </w:t>
      </w:r>
      <w:r>
        <w:rPr>
          <w:i/>
          <w:iCs/>
          <w:lang w:val="ru-RU"/>
        </w:rPr>
        <w:t>ρ</w:t>
      </w:r>
      <w:r>
        <w:rPr/>
        <w:t>(</w:t>
      </w:r>
      <w:r>
        <w:rPr>
          <w:sz w:val="18"/>
          <w:szCs w:val="18"/>
        </w:rPr>
        <w:t>P</w:t>
      </w:r>
      <w:r>
        <w:rPr>
          <w:sz w:val="18"/>
          <w:szCs w:val="18"/>
          <w:vertAlign w:val="subscript"/>
        </w:rPr>
        <w:t>2</w:t>
      </w:r>
      <w:r>
        <w:rPr>
          <w:sz w:val="18"/>
          <w:szCs w:val="18"/>
        </w:rPr>
        <w:t>O</w:t>
      </w:r>
      <w:r>
        <w:rPr>
          <w:sz w:val="18"/>
          <w:szCs w:val="18"/>
          <w:vertAlign w:val="subscript"/>
        </w:rPr>
        <w:t>5</w:t>
      </w:r>
      <w:r>
        <w:rPr/>
        <w:t>-</w:t>
      </w:r>
      <w:r>
        <w:rPr>
          <w:sz w:val="18"/>
          <w:szCs w:val="18"/>
        </w:rPr>
        <w:t xml:space="preserve"> K</w:t>
      </w:r>
      <w:r>
        <w:rPr>
          <w:sz w:val="18"/>
          <w:szCs w:val="18"/>
          <w:vertAlign w:val="subscript"/>
        </w:rPr>
        <w:t>2</w:t>
      </w:r>
      <w:r>
        <w:rPr>
          <w:sz w:val="18"/>
          <w:szCs w:val="18"/>
        </w:rPr>
        <w:t>O</w:t>
      </w:r>
      <w:r>
        <w:rPr/>
        <w:t>, slope)= -0.520.</w:t>
      </w:r>
      <w:r>
        <w:rPr>
          <w:rFonts w:eastAsia="SimSun"/>
          <w:szCs w:val="20"/>
          <w:lang w:eastAsia="zh-CN" w:bidi="ar-SA"/>
        </w:rPr>
        <w:t xml:space="preserve"> </w:t>
      </w:r>
      <w:r>
        <w:rPr/>
        <w:t>Thus, the ratio yielded the highest |</w:t>
      </w:r>
      <w:r>
        <w:rPr>
          <w:i/>
          <w:iCs/>
        </w:rPr>
        <w:t>ρ</w:t>
      </w:r>
      <w:r>
        <w:rPr/>
        <w:t>|, exceeding both individual properties and their product. The signs of the P–slope and K–slope correlations were opposite, which algebraically enhances the contrast upon division. A permutation test (</w:t>
      </w:r>
      <w:r>
        <w:rPr>
          <w:i/>
          <w:iCs/>
        </w:rPr>
        <w:t>N</w:t>
      </w:r>
      <w:r>
        <w:rPr/>
        <w:t>=5000, independent permutation of P and K) confirmed that the observed |</w:t>
      </w:r>
      <w:r>
        <w:rPr>
          <w:i/>
          <w:iCs/>
          <w:lang w:val="ru-RU"/>
        </w:rPr>
        <w:t>ρ</w:t>
      </w:r>
      <w:r>
        <w:rPr/>
        <w:t>|= 0.555 was not caused by an algebraic artifact (</w:t>
      </w:r>
      <w:r>
        <w:rPr>
          <w:i/>
          <w:iCs/>
        </w:rPr>
        <w:t>P</w:t>
      </w:r>
      <w:r>
        <w:rPr/>
        <w:t>(|</w:t>
      </w:r>
      <w:r>
        <w:rPr>
          <w:i/>
          <w:iCs/>
          <w:lang w:val="ru-RU"/>
        </w:rPr>
        <w:t>ρ</w:t>
      </w:r>
      <w:r>
        <w:rPr>
          <w:vertAlign w:val="subscript"/>
        </w:rPr>
        <w:t>perm</w:t>
      </w:r>
      <w:r>
        <w:rPr/>
        <w:t>|)≥0.555) &lt; 10</w:t>
      </w:r>
      <w:r>
        <w:rPr>
          <w:vertAlign w:val="superscript"/>
        </w:rPr>
        <w:t>-4</w:t>
      </w:r>
      <w:r>
        <w:rPr/>
        <w:t xml:space="preserve">). Concurrently, a portion of the enhancement, </w:t>
      </w:r>
      <w:r>
        <w:rPr>
          <w:i/>
          <w:iCs/>
          <w:lang w:val="ru-RU"/>
        </w:rPr>
        <w:t>Δ</w:t>
      </w:r>
      <w:r>
        <w:rPr/>
        <w:t>|</w:t>
      </w:r>
      <w:r>
        <w:rPr>
          <w:i/>
          <w:iCs/>
          <w:lang w:val="ru-RU"/>
        </w:rPr>
        <w:t>ρ</w:t>
      </w:r>
      <w:r>
        <w:rPr/>
        <w:t>|= +0.10 (compared to P</w:t>
      </w:r>
      <w:r>
        <w:rPr>
          <w:vertAlign w:val="subscript"/>
        </w:rPr>
        <w:t>2</w:t>
      </w:r>
      <w:r>
        <w:rPr/>
        <w:t>O</w:t>
      </w:r>
      <w:r>
        <w:rPr>
          <w:vertAlign w:val="subscript"/>
        </w:rPr>
        <w:t>5</w:t>
      </w:r>
      <w:r>
        <w:rPr/>
        <w:t xml:space="preserve"> alone), is due to the opposite signs of the individual correlations. </w:t>
      </w:r>
    </w:p>
    <w:p>
      <w:pPr>
        <w:pStyle w:val="MDPI21heading1"/>
        <w:rPr/>
      </w:pPr>
      <w:r>
        <w:rPr/>
        <w:t>4. Discussion</w:t>
      </w:r>
    </w:p>
    <w:p>
      <w:pPr>
        <w:pStyle w:val="MDPI22heading2"/>
        <w:rPr>
          <w:b/>
          <w:i w:val="false"/>
          <w:iCs w:val="false"/>
          <w:highlight w:val="green"/>
        </w:rPr>
      </w:pPr>
      <w:r>
        <w:rPr>
          <w:b/>
          <w:i w:val="false"/>
          <w:iCs w:val="false"/>
          <w:highlight w:val="green"/>
        </w:rPr>
        <w:t>4.1. Spectral configurations: what works and why</w:t>
      </w:r>
    </w:p>
    <w:p>
      <w:pPr>
        <w:pStyle w:val="MDPI22heading2"/>
        <w:widowControl/>
        <w:suppressAutoHyphens w:val="true"/>
        <w:bidi w:val="0"/>
        <w:snapToGrid w:val="false"/>
        <w:spacing w:lineRule="atLeast" w:line="280" w:before="60" w:after="60"/>
        <w:ind w:firstLine="454" w:start="2608" w:end="0"/>
        <w:jc w:val="start"/>
        <w:rPr>
          <w:i w:val="false"/>
          <w:iCs w:val="false"/>
          <w:highlight w:val="green"/>
        </w:rPr>
      </w:pPr>
      <w:r>
        <w:rPr>
          <w:i w:val="false"/>
          <w:iCs w:val="false"/>
          <w:highlight w:val="green"/>
        </w:rPr>
        <w:t>The central empirical result of the present work is the differentiated informativeness of spectral configurations across soil properties. Below we formulate answers to each of the four objectives (i)–(iv) stated in the Introduction.</w:t>
      </w:r>
    </w:p>
    <w:p>
      <w:pPr>
        <w:pStyle w:val="MDPI22heading2"/>
        <w:widowControl/>
        <w:numPr>
          <w:ilvl w:val="0"/>
          <w:numId w:val="0"/>
        </w:numPr>
        <w:suppressAutoHyphens w:val="true"/>
        <w:bidi w:val="0"/>
        <w:snapToGrid w:val="false"/>
        <w:spacing w:lineRule="atLeast" w:line="280" w:before="60" w:after="60"/>
        <w:ind w:firstLine="454" w:start="2608" w:end="0"/>
        <w:jc w:val="start"/>
        <w:rPr>
          <w:i w:val="false"/>
          <w:iCs w:val="false"/>
          <w:highlight w:val="green"/>
        </w:rPr>
      </w:pPr>
      <w:r>
        <w:rPr>
          <w:i w:val="false"/>
          <w:iCs w:val="false"/>
          <w:highlight w:val="green"/>
        </w:rPr>
        <w:t>(i) Which indices carry the most information. The hierarchy of predictability (|ρ|max) of spectral features replicates the hierarchy of all features: pH (|ρ| = 0.670 with GNDVI_L8,spring) ≫ P2O5 (0.525, GLCM-entropy) &gt; K2O (0.478, BSI_S2,spring) &gt; NO3 (0.431, SAVI_S2,spring) &gt; S (0.383, SAVI_L8,late-summer) &gt; SOC (0.368, slope). Notably, for P2O5 all five leading predictors are GLCM textures (entropy and ASM of Red/NIR bands of the autumn composite), indicating textural heterogeneity as an integral indicator of fertility. For K2O the leading 4 out of 5 predictors are spectral (BSI, GNDVI, B4, B12), consistent with the hypothesis of mineralogical control (illitic clays, SWIR absorption). For NO3 and S, SAVI and GNDVI of the late-summer season dominate, reflecting the role of vegetation as an integrator of nutrient availability.</w:t>
      </w:r>
    </w:p>
    <w:p>
      <w:pPr>
        <w:pStyle w:val="MDPI22heading2"/>
        <w:widowControl/>
        <w:numPr>
          <w:ilvl w:val="0"/>
          <w:numId w:val="0"/>
        </w:numPr>
        <w:suppressAutoHyphens w:val="true"/>
        <w:bidi w:val="0"/>
        <w:snapToGrid w:val="false"/>
        <w:spacing w:lineRule="atLeast" w:line="280" w:before="60" w:after="60"/>
        <w:ind w:firstLine="454" w:start="2608" w:end="0"/>
        <w:jc w:val="start"/>
        <w:rPr>
          <w:i w:val="false"/>
          <w:iCs w:val="false"/>
          <w:highlight w:val="green"/>
        </w:rPr>
      </w:pPr>
      <w:r>
        <w:rPr>
          <w:i w:val="false"/>
          <w:iCs w:val="false"/>
          <w:highlight w:val="green"/>
        </w:rPr>
        <w:t>(ii) Seasonal modulation. The Wilcoxon test (Table 11) confirmed a statistically significant advantage of spring composites for K2O (p &lt; 10⁻⁴, 26/26 indices) and P2O5 (p &lt; 10⁻⁴, 20/26). This is consistent with the physical mechanism: bare soil in spring directly reflects mineralogical composition, whereas in summer the pixel is dominated by vegetation. NO3, on the contrary, correlates better with summer indices (NDVI, EVI at peak vegetation), reflecting its role as a limiting nutrient. For pH, SOC and S no seasonal differentiation was detected.</w:t>
      </w:r>
    </w:p>
    <w:p>
      <w:pPr>
        <w:pStyle w:val="MDPI22heading2"/>
        <w:widowControl/>
        <w:numPr>
          <w:ilvl w:val="0"/>
          <w:numId w:val="0"/>
        </w:numPr>
        <w:suppressAutoHyphens w:val="true"/>
        <w:bidi w:val="0"/>
        <w:snapToGrid w:val="false"/>
        <w:spacing w:lineRule="atLeast" w:line="280" w:before="60" w:after="60"/>
        <w:ind w:firstLine="454" w:start="2608" w:end="0"/>
        <w:jc w:val="start"/>
        <w:rPr>
          <w:i w:val="false"/>
          <w:iCs w:val="false"/>
          <w:highlight w:val="green"/>
        </w:rPr>
      </w:pPr>
      <w:r>
        <w:rPr>
          <w:i w:val="false"/>
          <w:iCs w:val="false"/>
          <w:highlight w:val="green"/>
        </w:rPr>
        <w:t>(iii) Composites vs. singles. Of the 110 composite configurations, only one — GNDVI×BSI for K2O (Δ|ρ| = +0.010) — robustly outperformed its best single counterpart. For NO3 (GNDVI−NDRE, Δ = −0.015) and S (mean_NDVI, Δ = −0.023) the composites approached the singles but did not surpass them, indicating saturation of the informativeness of simple indices. For pH (Δ = −0.079), SOC (Δ = −0.092) and P2O5 (Δ = −0.135) the single indices remain substantially more informative than the composites. Thus, composite configurations rarely outperform the best single indices; the only gain (K2O) is achieved through a mechanistically meaningful combination of orthogonal aspects of vegetation (GNDVI) and bare soil (BSI).</w:t>
      </w:r>
    </w:p>
    <w:p>
      <w:pPr>
        <w:pStyle w:val="MDPI22heading2"/>
        <w:widowControl/>
        <w:numPr>
          <w:ilvl w:val="0"/>
          <w:numId w:val="0"/>
        </w:numPr>
        <w:suppressAutoHyphens w:val="true"/>
        <w:bidi w:val="0"/>
        <w:snapToGrid w:val="false"/>
        <w:spacing w:lineRule="atLeast" w:line="280" w:before="60" w:after="60"/>
        <w:ind w:firstLine="454" w:start="2608" w:end="0"/>
        <w:jc w:val="start"/>
        <w:rPr>
          <w:i w:val="false"/>
          <w:iCs w:val="false"/>
          <w:highlight w:val="green"/>
        </w:rPr>
      </w:pPr>
      <w:r>
        <w:rPr>
          <w:i w:val="false"/>
          <w:iCs w:val="false"/>
          <w:highlight w:val="green"/>
        </w:rPr>
        <w:t>(iv) Confounding. Partial correlations (Section 3.3.1) showed that K2O and S are virtually independent of the latitudinal gradient (Δ &lt; 10% after controlling for MAP and latitude) — these are local soil signals. For pH, P2O5 and NO3 the confounding contribution is 10–26%; for SOC — 40%, which questions the direct interpretation of topographic predictors. The confounding of pH in the SOC–NDVI correlation (42%, Section 3.8) is of practical importance: predictive models of SOC must explicitly control for acidity.</w:t>
      </w:r>
    </w:p>
    <w:p>
      <w:pPr>
        <w:pStyle w:val="MDPI22heading2"/>
        <w:spacing w:before="240" w:after="60"/>
        <w:rPr>
          <w:i w:val="false"/>
          <w:iCs w:val="false"/>
        </w:rPr>
      </w:pPr>
      <w:r>
        <w:rPr>
          <w:i w:val="false"/>
          <w:iCs w:val="false"/>
          <w:highlight w:val="green"/>
        </w:rPr>
        <w:t>4.2. Properties with zonal control: pH, SOC, and K2O</w:t>
      </w:r>
    </w:p>
    <w:p>
      <w:pPr>
        <w:pStyle w:val="MDPI31text"/>
        <w:rPr/>
      </w:pPr>
      <w:r>
        <w:rPr/>
        <w:t>Among the six studied properties, three (pH, SOC, and K</w:t>
      </w:r>
      <w:r>
        <w:rPr>
          <w:vertAlign w:val="subscript"/>
        </w:rPr>
        <w:t>2</w:t>
      </w:r>
      <w:r>
        <w:rPr/>
        <w:t>O) stand out because their spatial variability is predominantly driven by zonal factors (inter-farm variance proportion of 45–57%, ICC of 0.54–0.71, and declastered Moran</w:t>
      </w:r>
      <w:r>
        <w:rPr>
          <w:rFonts w:eastAsia="SimSun"/>
          <w:i/>
          <w:iCs/>
          <w:szCs w:val="20"/>
          <w:lang w:eastAsia="zh-CN" w:bidi="ar-SA"/>
        </w:rPr>
        <w:t xml:space="preserve"> </w:t>
      </w:r>
      <w:r>
        <w:rPr>
          <w:i/>
          <w:iCs/>
        </w:rPr>
        <w:t>I</w:t>
      </w:r>
      <w:r>
        <w:rPr/>
        <w:t xml:space="preserve"> ≥ 0.50). Notably, these exact properties occupy the top tiers of the predictability hierarchy, although the nature of their relationship with remote sensing data differs substantially for each. </w:t>
      </w:r>
    </w:p>
    <w:p>
      <w:pPr>
        <w:pStyle w:val="MDPI31text"/>
        <w:rPr/>
      </w:pPr>
      <w:r>
        <w:rPr/>
        <w:t>For pH (|</w:t>
      </w:r>
      <w:r>
        <w:rPr>
          <w:i/>
          <w:iCs/>
          <w:lang w:val="ru-RU"/>
        </w:rPr>
        <w:t>ρ</w:t>
      </w:r>
      <w:r>
        <w:rPr/>
        <w:t>|= 0.67 with GNDVI), the zonal climatic gradient apparently plays a defining role: the northward increase in moisture (</w:t>
      </w:r>
      <w:r>
        <w:rPr>
          <w:i/>
          <w:iCs/>
          <w:lang w:val="ru-RU"/>
        </w:rPr>
        <w:t>ρ</w:t>
      </w:r>
      <w:r>
        <w:rPr>
          <w:vertAlign w:val="subscript"/>
        </w:rPr>
        <w:t>pH-MAP</w:t>
      </w:r>
      <w:r>
        <w:rPr/>
        <w:t xml:space="preserve"> = + 0.66) intensifies carbonate leaching, shaping a smooth decline in pH over a distance of ~500 </w:t>
      </w:r>
      <w:r>
        <w:rPr>
          <w:highlight w:val="yellow"/>
        </w:rPr>
        <w:t>km [39].</w:t>
      </w:r>
      <w:r>
        <w:rPr/>
        <w:t xml:space="preserve"> Concurrently, the acidic soils (pH 5.3–6.5) in the northern part of the region fall within the optimal range for cereals, which is likely captured via early-spring vegetation dynamics (GNDVI [</w:t>
      </w:r>
      <w:r>
        <w:rPr>
          <w:highlight w:val="yellow"/>
        </w:rPr>
        <w:t>40</w:t>
      </w:r>
      <w:r>
        <w:rPr/>
        <w:t>]). Partial correlations indicate that 82% of the pH–GNDVI relationship is retained after controlling for MAP and latitude, meaning the relationship is not merely a spatial artifact. The correlation with slope (</w:t>
      </w:r>
      <w:r>
        <w:rPr>
          <w:i/>
          <w:iCs/>
          <w:lang w:val="ru-RU"/>
        </w:rPr>
        <w:t>ρ</w:t>
      </w:r>
      <w:r>
        <w:rPr/>
        <w:t xml:space="preserve"> = +0.61), partly driven by lateral moisture movement </w:t>
      </w:r>
      <w:r>
        <w:rPr>
          <w:highlight w:val="yellow"/>
        </w:rPr>
        <w:t>[41],</w:t>
      </w:r>
      <w:r>
        <w:rPr/>
        <w:t xml:space="preserve"> warrants cautious interpretation: even at slopes below 3°, elevation differences can determine the intensity of carbonate leaching; however, 46% of this relationship is explained by the latitudinal moisture gradient.</w:t>
      </w:r>
      <w:r>
        <w:rPr>
          <w:b/>
          <w:bCs/>
        </w:rPr>
        <w:t xml:space="preserve"> </w:t>
      </w:r>
      <w:r>
        <w:rPr/>
        <w:t xml:space="preserve">It should be noted that we lack data on the Fe, Mn, and Zn content in plants. Thus, the hypothesis regarding the "pH </w:t>
      </w:r>
      <w:r>
        <w:rPr>
          <w:rFonts w:ascii="Times New Roman" w:hAnsi="Times New Roman"/>
        </w:rPr>
        <w:t>→</w:t>
      </w:r>
      <w:r>
        <w:rPr/>
        <w:t xml:space="preserve"> micronutrient availability </w:t>
      </w:r>
      <w:r>
        <w:rPr>
          <w:rFonts w:ascii="Times New Roman" w:hAnsi="Times New Roman"/>
        </w:rPr>
        <w:t>→</w:t>
      </w:r>
      <w:r>
        <w:rPr/>
        <w:t xml:space="preserve"> chlorophyll" pathway remains unverified. Nevertheless, the three sources of information (spectral, climatic, and topographic) appear partially independent, which provides potential for multi-predictor modeling.</w:t>
      </w:r>
    </w:p>
    <w:p>
      <w:pPr>
        <w:pStyle w:val="MDPI31text"/>
        <w:rPr/>
      </w:pPr>
      <w:r>
        <w:rPr/>
        <w:t>In contrast, K</w:t>
      </w:r>
      <w:r>
        <w:rPr>
          <w:vertAlign w:val="subscript"/>
        </w:rPr>
        <w:t>2</w:t>
      </w:r>
      <w:r>
        <w:rPr/>
        <w:t>O exhibits a different pattern. Given its moderate correlation (|</w:t>
      </w:r>
      <w:r>
        <w:rPr>
          <w:lang w:val="ru-RU"/>
        </w:rPr>
        <w:t>ρ</w:t>
      </w:r>
      <w:r>
        <w:rPr/>
        <w:t>|= 0.48), controlling for MAP and latitude reduces it by only 4%, and the latitudinal gradient is virtually absent (</w:t>
      </w:r>
      <w:r>
        <w:rPr>
          <w:i/>
          <w:iCs/>
          <w:lang w:val="ru-RU"/>
        </w:rPr>
        <w:t>ρ</w:t>
      </w:r>
      <w:r>
        <w:rPr>
          <w:vertAlign w:val="subscript"/>
        </w:rPr>
        <w:t>lat</w:t>
      </w:r>
      <w:r>
        <w:rPr/>
        <w:t xml:space="preserve"> =-0.02, </w:t>
      </w:r>
      <w:r>
        <w:rPr>
          <w:i/>
          <w:iCs/>
        </w:rPr>
        <w:t>p</w:t>
      </w:r>
      <w:r>
        <w:rPr/>
        <w:t xml:space="preserve"> = 0.51). This suggests that exchangeable potassium is linked to the content of illitic clay minerals [</w:t>
      </w:r>
      <w:r>
        <w:rPr>
          <w:highlight w:val="yellow"/>
        </w:rPr>
        <w:t>33</w:t>
      </w:r>
      <w:r>
        <w:rPr/>
        <w:t>], which are sensitive to BSI and SWIR channels via soil color and texture. If this interpretation holds true, K</w:t>
      </w:r>
      <w:r>
        <w:rPr>
          <w:vertAlign w:val="subscript"/>
        </w:rPr>
        <w:t>2</w:t>
      </w:r>
      <w:r>
        <w:rPr/>
        <w:t xml:space="preserve">O should yield the most stable results during spatial cross-validation. However, mineralogical control cannot be entirely decoupled from potential differences in farm-level potassium fertilization: without fertilizer application data, an alternative anthropogenic interpretation remains possible. </w:t>
      </w:r>
    </w:p>
    <w:p>
      <w:pPr>
        <w:pStyle w:val="MDPI31text"/>
        <w:rPr/>
      </w:pPr>
      <w:r>
        <w:rPr/>
        <w:t>At first glance, the position of SOC (|</w:t>
      </w:r>
      <w:r>
        <w:rPr>
          <w:i/>
          <w:iCs/>
          <w:lang w:val="ru-RU"/>
        </w:rPr>
        <w:t>ρ</w:t>
      </w:r>
      <w:r>
        <w:rPr/>
        <w:t>|= 0.35, ICC = 0.54) appears unexpected, considering that organic carbon is the most extensively studied property in digital soil mapping literature. Approximately 40% of the SOC–slope correlation is explained by latitudinal moisture, while 42% of the SOC–NDVI</w:t>
      </w:r>
      <w:r>
        <w:rPr>
          <w:vertAlign w:val="subscript"/>
        </w:rPr>
        <w:t>summer</w:t>
      </w:r>
      <w:r>
        <w:rPr/>
        <w:t xml:space="preserve"> correlation is mediated by pH (section 3.8). In addition, the data were acquired from vegetated crops, where the direct spectral response of SOC (absorption in VNIR/SWIR) is largely masked by the vegetation cover [</w:t>
      </w:r>
      <w:r>
        <w:rPr>
          <w:highlight w:val="yellow"/>
        </w:rPr>
        <w:t>42</w:t>
      </w:r>
      <w:r>
        <w:rPr/>
        <w:t>].</w:t>
      </w:r>
    </w:p>
    <w:p>
      <w:pPr>
        <w:pStyle w:val="MDPI31text"/>
        <w:rPr/>
      </w:pPr>
      <w:r>
        <w:rPr/>
        <w:t>The result of |</w:t>
      </w:r>
      <w:r>
        <w:rPr>
          <w:i/>
          <w:iCs/>
          <w:lang w:val="ru-RU"/>
        </w:rPr>
        <w:t>ρ</w:t>
      </w:r>
      <w:r>
        <w:rPr/>
        <w:t>|= 0.35 (</w:t>
      </w:r>
      <w:r>
        <w:rPr/>
      </w:r>
      <m:oMath xmlns:m="http://schemas.openxmlformats.org/officeDocument/2006/math">
        <m:sSubSup>
          <m:e>
            <m:r>
              <m:t xml:space="preserve">R</m:t>
            </m:r>
          </m:e>
          <m:sub>
            <m:r>
              <m:rPr>
                <m:lit/>
                <m:nor/>
              </m:rPr>
              <m:t xml:space="preserve">equiv</m:t>
            </m:r>
          </m:sub>
          <m:sup>
            <m:r>
              <m:t xml:space="preserve">2</m:t>
            </m:r>
          </m:sup>
        </m:sSubSup>
      </m:oMath>
      <w:r>
        <w:rPr/>
        <w:t xml:space="preserve"> ≈ 0.12) is substantially lower than the </w:t>
      </w:r>
      <w:r>
        <w:rPr>
          <w:i/>
          <w:iCs/>
        </w:rPr>
        <w:t>R</w:t>
      </w:r>
      <w:r>
        <w:rPr>
          <w:i/>
          <w:iCs/>
          <w:vertAlign w:val="superscript"/>
        </w:rPr>
        <w:t>2</w:t>
      </w:r>
      <w:r>
        <w:rPr/>
        <w:t xml:space="preserve"> = 0.70 achieved by [14]. However, their study was conducted on bare soils, which represents a fundamentally different scenario. Under the conditions of studied region, additional noise is introduced by a wide moisture range (250–400 mm/year) and crop diversity. Apparently, for SOC in continental steppe environments, either bare soil composites [</w:t>
      </w:r>
      <w:r>
        <w:rPr>
          <w:highlight w:val="yellow"/>
        </w:rPr>
        <w:t>43; 44]</w:t>
      </w:r>
      <w:r>
        <w:rPr/>
        <w:t xml:space="preserve"> or hyperspectral data are required.</w:t>
      </w:r>
    </w:p>
    <w:p>
      <w:pPr>
        <w:pStyle w:val="MDPI22heading2"/>
        <w:spacing w:before="240" w:after="60"/>
        <w:rPr>
          <w:i w:val="false"/>
          <w:iCs w:val="false"/>
        </w:rPr>
      </w:pPr>
      <w:r>
        <w:rPr>
          <w:i w:val="false"/>
          <w:iCs w:val="false"/>
          <w:highlight w:val="green"/>
        </w:rPr>
        <w:t>4.3. Properties with local and anthropogenic control: P2O5, NO3, and S</w:t>
      </w:r>
    </w:p>
    <w:p>
      <w:pPr>
        <w:pStyle w:val="MDPI31text"/>
        <w:rPr/>
      </w:pPr>
      <w:r>
        <w:rPr/>
        <w:t>The remaining three properties, P</w:t>
      </w:r>
      <w:r>
        <w:rPr>
          <w:vertAlign w:val="subscript"/>
        </w:rPr>
        <w:t>2</w:t>
      </w:r>
      <w:r>
        <w:rPr/>
        <w:t>O</w:t>
      </w:r>
      <w:r>
        <w:rPr>
          <w:vertAlign w:val="subscript"/>
        </w:rPr>
        <w:t>5</w:t>
      </w:r>
      <w:r>
        <w:rPr/>
        <w:t>, NO</w:t>
      </w:r>
      <w:r>
        <w:rPr>
          <w:vertAlign w:val="subscript"/>
        </w:rPr>
        <w:t>3</w:t>
      </w:r>
      <w:r>
        <w:rPr/>
        <w:t>, and S, are characterized by the predominance of local (field-level) and anthropogenic variance components (≥35% of the field component, Table 13). Their correlations with remote sensing data are more difficult to interpret, as the observed relationships may reflect both soil-climatic gradients and spatially heterogeneous agricultural practices in an unknown proportion and decoupling these two sources is impossible without data on fertilization and crop rotations.</w:t>
      </w:r>
    </w:p>
    <w:p>
      <w:pPr>
        <w:pStyle w:val="MDPI31text"/>
        <w:rPr/>
      </w:pPr>
      <w:r>
        <w:rPr/>
        <w:t>The relationship between P</w:t>
      </w:r>
      <w:r>
        <w:rPr>
          <w:vertAlign w:val="subscript"/>
        </w:rPr>
        <w:t>2</w:t>
      </w:r>
      <w:r>
        <w:rPr/>
        <w:t>O</w:t>
      </w:r>
      <w:r>
        <w:rPr>
          <w:vertAlign w:val="subscript"/>
        </w:rPr>
        <w:t>5</w:t>
      </w:r>
      <w:r>
        <w:rPr/>
        <w:t xml:space="preserve"> and the growing season temperature (</w:t>
      </w:r>
      <w:r>
        <w:rPr>
          <w:i/>
          <w:iCs/>
          <w:lang w:val="ru-RU"/>
        </w:rPr>
        <w:t>ρ</w:t>
      </w:r>
      <w:r>
        <w:rPr/>
        <w:t>= +0.48), which is retained after controlling for MAP and latitude (</w:t>
      </w:r>
      <w:r>
        <w:rPr>
          <w:i/>
          <w:iCs/>
          <w:lang w:val="ru-RU"/>
        </w:rPr>
        <w:t>Δ</w:t>
      </w:r>
      <w:r>
        <w:rPr/>
        <w:t>= -10%), poses an intriguing methodological question. Why does linear residualization by latitude fail to eliminate the temperature effect if GS</w:t>
      </w:r>
      <w:r>
        <w:rPr>
          <w:vertAlign w:val="subscript"/>
        </w:rPr>
        <w:t>temp</w:t>
      </w:r>
      <w:r>
        <w:rPr/>
        <w:t xml:space="preserve"> is essentially a proxy for latitude? We hypothesize that the relationship between GS</w:t>
      </w:r>
      <w:r>
        <w:rPr>
          <w:vertAlign w:val="subscript"/>
        </w:rPr>
        <w:t>temp</w:t>
      </w:r>
      <w:r>
        <w:rPr/>
        <w:t xml:space="preserve"> and latitude is non-linear (incorporating an elevational component), and the residual component of GS</w:t>
      </w:r>
      <w:r>
        <w:rPr>
          <w:vertAlign w:val="subscript"/>
        </w:rPr>
        <w:t>temp</w:t>
      </w:r>
      <w:r>
        <w:rPr/>
        <w:t xml:space="preserve"> following linear control still contains information that cannot be reduced to latitude. Validation using quadratic or generalized additive model (GAM) residuals was not performed and remains a task for future work. Furthermore, it cannot be ruled out that southern regions with intensive agriculture receive higher phosphorus fertilizer rates — and without mapping data on fertilizer application, decoupling these two factors is impossible. </w:t>
      </w:r>
    </w:p>
    <w:p>
      <w:pPr>
        <w:pStyle w:val="MDPI31text"/>
        <w:rPr/>
      </w:pPr>
      <w:r>
        <w:rPr/>
        <w:t>Nitrate nitrogen apparently represents a special case due to its high lability. In the autumn subsample (</w:t>
      </w:r>
      <w:r>
        <w:rPr>
          <w:i/>
          <w:iCs/>
        </w:rPr>
        <w:t>n</w:t>
      </w:r>
      <w:r>
        <w:rPr/>
        <w:t xml:space="preserve"> = 54); the reduction from 268 to 54 was caused by missing satellite data due to cloud cover), |</w:t>
      </w:r>
      <w:r>
        <w:rPr>
          <w:i/>
          <w:iCs/>
          <w:lang w:val="ru-RU"/>
        </w:rPr>
        <w:t>ρ</w:t>
      </w:r>
      <w:r>
        <w:rPr/>
        <w:t>| reached 0.78–0.81; however, the confidence interval [0.64;0.87] was too wide for practical conclusions. The idea of synchronizing soil sampling with the satellite imagery date was physically motivated as the half-life of the nitrate pool was 2–4 weeks, but this can only be confirmed through a targeted experimental design.</w:t>
      </w:r>
    </w:p>
    <w:p>
      <w:pPr>
        <w:pStyle w:val="MDPI31text"/>
        <w:rPr/>
      </w:pPr>
      <w:r>
        <w:rPr/>
        <w:t>Available sulfur resides at the bottom of the hierarchy (|</w:t>
      </w:r>
      <w:r>
        <w:rPr>
          <w:i/>
          <w:iCs/>
          <w:lang w:val="ru-RU"/>
        </w:rPr>
        <w:t>ρ</w:t>
      </w:r>
      <w:r>
        <w:rPr/>
        <w:t xml:space="preserve">|&lt; 0.38, ICC = 0.17, </w:t>
      </w:r>
      <w:r>
        <w:rPr>
          <w:i/>
          <w:iCs/>
        </w:rPr>
        <w:t>I</w:t>
      </w:r>
      <w:r>
        <w:rPr>
          <w:vertAlign w:val="subscript"/>
        </w:rPr>
        <w:t xml:space="preserve">declast </w:t>
      </w:r>
      <w:r>
        <w:rPr/>
        <w:t xml:space="preserve">= 0.15, </w:t>
      </w:r>
      <w:r>
        <w:rPr>
          <w:i/>
          <w:iCs/>
        </w:rPr>
        <w:t>p</w:t>
      </w:r>
      <w:r>
        <w:rPr>
          <w:vertAlign w:val="subscript"/>
        </w:rPr>
        <w:t>spat\perm</w:t>
      </w:r>
      <w:r>
        <w:rPr/>
        <w:t xml:space="preserve">= 0.087) and has essentially proven unpredictable from multispectral data. Sulfates lack diagnostic absorption bands in the 400–2500 nm range, and the S content is determined by fertilization history and atmospheric deposition, i.e. by the factors inaccessible to optical sensors. Declustering reduces Morann </w:t>
      </w:r>
      <w:r>
        <w:rPr>
          <w:i/>
          <w:iCs/>
        </w:rPr>
        <w:t>I</w:t>
      </w:r>
      <w:r>
        <w:rPr/>
        <w:t xml:space="preserve"> from 0.77 to 0.15, resolving the "high Moran </w:t>
      </w:r>
      <w:r>
        <w:rPr>
          <w:i/>
          <w:iCs/>
        </w:rPr>
        <w:t>I</w:t>
      </w:r>
      <w:r>
        <w:rPr/>
        <w:t xml:space="preserve"> with an ICC = 0.17" paradox and further confirming the artifactual nature of the apparent spatial structure. A similar issue was noted in [15]. </w:t>
      </w:r>
    </w:p>
    <w:p>
      <w:pPr>
        <w:pStyle w:val="MDPI22heading2"/>
        <w:spacing w:before="240" w:after="60"/>
        <w:rPr>
          <w:i w:val="false"/>
          <w:iCs w:val="false"/>
        </w:rPr>
      </w:pPr>
      <w:r>
        <w:rPr>
          <w:i w:val="false"/>
          <w:iCs w:val="false"/>
          <w:highlight w:val="green"/>
        </w:rPr>
        <w:t>4.4. The effect of pH confounding on spatial structure</w:t>
      </w:r>
    </w:p>
    <w:p>
      <w:pPr>
        <w:pStyle w:val="MDPI31text"/>
        <w:rPr/>
      </w:pPr>
      <w:r>
        <w:rPr/>
        <w:t>The identified confounding with 42% of the SOC–NDVI correlation mediated by pH has, in our view, important practical significance that warrants the attention. If acidity is not controlled for in a predictive SOC model, the model risks reproducing patterns of pH rather than organic carbon [</w:t>
      </w:r>
      <w:r>
        <w:rPr>
          <w:highlight w:val="yellow"/>
        </w:rPr>
        <w:t>37</w:t>
      </w:r>
      <w:r>
        <w:rPr/>
        <w:t>]. For the steppe zone, where pH and SOC are linked by opposite zonal trends (</w:t>
      </w:r>
      <w:r>
        <w:rPr>
          <w:i/>
          <w:iCs/>
          <w:lang w:val="ru-RU"/>
        </w:rPr>
        <w:t>ρ</w:t>
      </w:r>
      <w:r>
        <w:rPr>
          <w:vertAlign w:val="subscript"/>
        </w:rPr>
        <w:t>pH-SOC</w:t>
      </w:r>
      <w:r>
        <w:rPr/>
        <w:t xml:space="preserve"> = -0.23), this issue becomes particularly acute. The practical recommendation is to either include pH as an explicit predictor or prioritize late-summer indices, for which the confounding is substantially lower (</w:t>
      </w:r>
      <w:r>
        <w:rPr>
          <w:i/>
          <w:iCs/>
        </w:rPr>
        <w:t>C</w:t>
      </w:r>
      <w:r>
        <w:rPr>
          <w:vertAlign w:val="subscript"/>
        </w:rPr>
        <w:t>pH</w:t>
      </w:r>
      <w:r>
        <w:rPr/>
        <w:t xml:space="preserve">= -14%). </w:t>
      </w:r>
    </w:p>
    <w:p>
      <w:pPr>
        <w:pStyle w:val="MDPI31text"/>
        <w:rPr/>
      </w:pPr>
      <w:r>
        <w:rPr/>
        <w:t>Two-level variance decomposition reinforces this rationale: for pH, 80% of the variability is concentrated at the farm and field levels, whereas for S, the ICC is only 0.17. This pattern is generally consistent with the SCORPAN model framework: properties determined by climate and topography are predicted more reliably from remote sensing data than those predominantly under anthropogenic control.</w:t>
      </w:r>
    </w:p>
    <w:p>
      <w:pPr>
        <w:pStyle w:val="MDPI22heading2"/>
      </w:pPr>
      <w:r>
        <w:rPr>
          <w:highlight w:val="green"/>
        </w:rPr>
        <w:t>4.5. Genuine versus artefactual signal: a leakage-aware synthesis</w:t>
      </w:r>
    </w:p>
    <w:p>
      <w:pPr>
        <w:pStyle w:val="MDPI31text"/>
      </w:pPr>
      <w:r>
        <w:rPr>
          <w:highlight w:val="green"/>
        </w:rPr>
        <w:t>The four-class decomposition (Tables 7, 7a) reframes the screening: of 512 features only 31 (the robust generalizable tail) carry transferable local skill, and they are almost entirely spring bare-soil chromophores for the mineralogically anchored properties (pH, K2O, P2O5; Table 7b). NO3’s apparent skill is a Simpson-reversed canopy-nitrogen proxy (within-field +0.28 vs regional −0.45), S has no usable feature (sulfate lacks diagnostic 400–2500 nm absorption), and SOC — classically the most RS-mapped property — fails here through sign cancellation (93% within/between sign discordance), consistent with the narrow, uniformly dark chernozem organic-matter range.</w:t>
      </w:r>
    </w:p>
    <w:p>
      <w:pPr>
        <w:pStyle w:val="MDPI31text"/>
      </w:pPr>
      <w:r>
        <w:rPr>
          <w:highlight w:val="green"/>
        </w:rPr>
        <w:t>The remaining classes show how a pooled correlation misleads. The zonal-only class (245 features; mean |between| 0.49 vs |within| 0.06) is regional pseudoreplication — geography sensed as if it were soil — exactly the inflation that block- and farm-level cross-validation expose (Roberts et al. 2017; Meyer et al. 2019; Ploton et al. 2020) and that random or field-level CV silently rewards. The unstable class (404) is a year×location Simpson’s paradox: physically time-invariant covariates (slope, aspect, MAP) reverse sign between the spatially disjoint 2022 and 2023 campaigns, so these correlations cannot be temporal and must not be used as predictors (cf. target-oriented validation, Meyer et al. 2018).</w:t>
      </w:r>
    </w:p>
    <w:p>
      <w:pPr>
        <w:pStyle w:val="MDPI31text"/>
      </w:pPr>
      <w:r>
        <w:rPr>
          <w:highlight w:val="green"/>
        </w:rPr>
        <w:t>These results set the empirical limits of optical RS for the region and yield concrete modelling guidance (Table 7e): use season-matched bare-soil spectra as predictors; treat regional climate/topographic covariates only as controlled context under farm-blocked CV, never as stand-alone local predictors; exclude cross-season features for the labile nutrients; and report screening correlations with their between/within decomposition and an out-of-farm check rather than a pooled |ρ| alone. The companion predictive study [18] operationalises these limits; the present classification explains why each property sits where it does. We note the spatial-CV debate: Wadoux et al. (2021) caution that design-based sampling, not spatial CV, is appropriate for map-accuracy estimation — a distinction between assessing a model and assessing a map.</w:t>
      </w:r>
    </w:p>
    <w:p>
      <w:pPr>
        <w:pStyle w:val="MDPI22heading2"/>
        <w:spacing w:before="240" w:after="60"/>
        <w:rPr>
          <w:i w:val="false"/>
          <w:iCs w:val="false"/>
        </w:rPr>
      </w:pPr>
      <w:r>
        <w:rPr>
          <w:highlight w:val="green"/>
        </w:rPr>
        <w:t>4.6. Limitations of the study</w:t>
      </w:r>
    </w:p>
    <w:p>
      <w:pPr>
        <w:pStyle w:val="MDPI31text"/>
        <w:rPr/>
      </w:pPr>
      <w:r>
        <w:rPr/>
        <w:t>The interpretation of the obtained results is constrained by the following limitations:</w:t>
      </w:r>
    </w:p>
    <w:p>
      <w:pPr>
        <w:pStyle w:val="MDPI31text"/>
        <w:numPr>
          <w:ilvl w:val="0"/>
          <w:numId w:val="5"/>
        </w:numPr>
        <w:ind w:hanging="0" w:start="2608"/>
        <w:rPr/>
      </w:pPr>
      <w:r>
        <w:rPr>
          <w:b/>
          <w:bCs/>
        </w:rPr>
        <w:t>Spatiotemporal confounding:</w:t>
      </w:r>
      <w:r>
        <w:rPr/>
        <w:t xml:space="preserve"> The 2022 and 2023 samples cover non-overlapping territories (5 vs. 15 farms). Consequently, the observed correlations may partially reflect the effect of the clustering of specific farms in a given year. A quantitative assessment of this effect is possible only through spatial cross-validation.</w:t>
      </w:r>
    </w:p>
    <w:p>
      <w:pPr>
        <w:pStyle w:val="MDPI31text"/>
        <w:numPr>
          <w:ilvl w:val="0"/>
          <w:numId w:val="5"/>
        </w:numPr>
        <w:ind w:hanging="0" w:start="2608"/>
        <w:rPr/>
      </w:pPr>
      <w:r>
        <w:rPr>
          <w:b/>
          <w:bCs/>
        </w:rPr>
        <w:t>Point-support mismatch:</w:t>
      </w:r>
      <w:r>
        <w:rPr/>
        <w:t xml:space="preserve"> Comparing point soil samples (support ~10 m) with ERA5 pixels (~9 km) leads to spatial smoothing. Consequently, correlations with ERA5 reflect exclusively large-scale regional gradients rather than local predictive capacity.</w:t>
      </w:r>
    </w:p>
    <w:p>
      <w:pPr>
        <w:pStyle w:val="MDPI31text"/>
        <w:numPr>
          <w:ilvl w:val="0"/>
          <w:numId w:val="5"/>
        </w:numPr>
        <w:ind w:hanging="0" w:start="2608"/>
        <w:rPr/>
      </w:pPr>
      <w:r>
        <w:rPr>
          <w:b/>
          <w:bCs/>
        </w:rPr>
        <w:t>Lack of field management history:</w:t>
      </w:r>
      <w:r>
        <w:rPr/>
        <w:t xml:space="preserve"> For labile forms (NO</w:t>
      </w:r>
      <w:r>
        <w:rPr>
          <w:vertAlign w:val="subscript"/>
        </w:rPr>
        <w:t>3</w:t>
      </w:r>
      <w:r>
        <w:rPr/>
        <w:t>, P</w:t>
      </w:r>
      <w:r>
        <w:rPr>
          <w:vertAlign w:val="subscript"/>
        </w:rPr>
        <w:t>2</w:t>
      </w:r>
      <w:r>
        <w:rPr/>
        <w:t>O</w:t>
      </w:r>
      <w:r>
        <w:rPr>
          <w:vertAlign w:val="subscript"/>
        </w:rPr>
        <w:t>5</w:t>
      </w:r>
      <w:r>
        <w:rPr/>
        <w:t>, S), the observed relationships may be largely determined by fertilizer application rates. Without detailed maps of fertilizer application and crop rotations, the interpretation of correlations with remote sensing data for these elements remains conditional.</w:t>
      </w:r>
    </w:p>
    <w:p>
      <w:pPr>
        <w:pStyle w:val="MDPI31text"/>
        <w:numPr>
          <w:ilvl w:val="0"/>
          <w:numId w:val="5"/>
        </w:numPr>
        <w:ind w:hanging="0" w:start="2608"/>
        <w:rPr/>
      </w:pPr>
      <w:r>
        <w:rPr>
          <w:b/>
          <w:bCs/>
        </w:rPr>
        <w:t>Statistical assumptions:</w:t>
      </w:r>
      <w:r>
        <w:rPr/>
        <w:t xml:space="preserve"> Rank correlation is limited to monotonic relationships. Thus, non-linear effects remain beyond the scope of this analysis. Due to high spatial autocorrelation (Moran </w:t>
      </w:r>
      <w:r>
        <w:rPr>
          <w:i/>
          <w:iCs/>
        </w:rPr>
        <w:t>I</w:t>
      </w:r>
      <w:r>
        <w:rPr/>
        <w:t xml:space="preserve"> up to 0.86), the effective sample size drops to 81–802, making nominal </w:t>
      </w:r>
      <w:r>
        <w:rPr>
          <w:i/>
          <w:iCs/>
        </w:rPr>
        <w:t>p</w:t>
      </w:r>
      <w:r>
        <w:rPr/>
        <w:t xml:space="preserve">-values merely upper bounds of significance. </w:t>
      </w:r>
    </w:p>
    <w:p>
      <w:pPr>
        <w:pStyle w:val="MDPI31text"/>
        <w:rPr/>
      </w:pPr>
      <w:bookmarkStart w:id="18" w:name="sec%25253Adiscussion"/>
      <w:bookmarkStart w:id="19" w:name="ограничения-исследования"/>
      <w:r>
        <w:rPr/>
        <w:t xml:space="preserve">The established patterns are specific to the Chernozem–Kashtanozem zone of Northern Kazakhstan and cannot be directly extrapolated to other soil-climatic conditions. </w:t>
      </w:r>
      <w:bookmarkEnd w:id="18"/>
      <w:bookmarkEnd w:id="19"/>
    </w:p>
    <w:p>
      <w:pPr>
        <w:pStyle w:val="MDPI21heading1"/>
        <w:rPr/>
      </w:pPr>
      <w:r>
        <w:rPr/>
        <w:t>5. Conclusions</w:t>
      </w:r>
    </w:p>
    <w:p>
      <w:pPr>
        <w:pStyle w:val="MDPI31text"/>
        <w:rPr>
          <w:i/>
          <w:iCs/>
        </w:rPr>
      </w:pPr>
      <w:r>
        <w:rPr>
          <w:i/>
          <w:iCs/>
          <w:highlight w:val="green"/>
        </w:rPr>
        <w:t>A correlation analysis of 1,085 specimens and 622 features (512 base + 110 composite) allowed us to establish a hierarchy of predictability of soil properties in Northern Kazakhstan from remote sensing data and to quantitatively evaluate the informativeness of different spectral configurations. Key results on spectral configurations: Predictability hierarchy: pH (|ρ| = 0.670, GNDVI_L8,spring) ≫ P2O5 (0.525, GLCM-entropy of the autumn Red band) &gt; K2O (0.478, BSI_spring) &gt; NO3 (0.431, SAVI_spring) &gt; S (0.383, SAVI_late-summer) &gt; SOC (0.368, slope). For K2O all leading predictors are spectral; for P2O5 all are GLCM-textures. Seasonal modulation is statistically significant for K2O (spring ≫ summer, p &lt; 10⁻⁴, 26/26 indices) and P2O5; NO3 is better predicted by summer indices. For pH, SOC, S no seasonal differentiation. Informative composite configurations: of 110 composite features, only GNDVI×BSI_spring for K2O (ρ = −0.488, Δ|ρ| = +0.010 vs single BSI) robustly outperforms the single index. For NO3 (GNDVI−NDRE: −0.416) and S (mean_NDVI: +0.360) the composites approach but do not surpass the singles. Inter-index combinations dominate for mineralogically driven properties; multi-seasonal aggregates — for properties with variable seasonal informativeness. Confounding: 82% of the pH–GNDVI correlation survives after controlling for MAP and latitude; K2O and S are virtually independent of the latitudinal gradient (Δ &lt; 10%); for SOC 42% of the correlation with NDVI is mediated by pH. Spatial structure. High values of Moran I (0.51–0.86) and significant semivariogram ranges (up to 137 km for pH) make the application of spatial validation strategies — Field-LOFO-CV and Farm-LOFO-CV — mandatory when building predictive models. Sulfur turned out to be essentially unpredictable from multispectral data: declustering reduces Moran I from 0.77 to 0.15, and the ICC is only 0.17.</w:t>
      </w:r>
    </w:p>
    <w:p>
      <w:pPr>
        <w:pStyle w:val="MDPI31text"/>
        <w:rPr/>
      </w:pPr>
      <w:r>
        <w:rPr/>
      </w:r>
    </w:p>
    <w:p>
      <w:pPr>
        <w:pStyle w:val="MDPI31text"/>
        <w:rPr/>
      </w:pPr>
      <w:r>
        <w:rPr/>
      </w:r>
    </w:p>
    <w:p>
      <w:pPr>
        <w:pStyle w:val="MDPI31text"/>
        <w:rPr/>
      </w:pPr>
      <w:r>
        <w:rPr/>
      </w:r>
    </w:p>
    <w:p>
      <w:pPr>
        <w:pStyle w:val="MDPI62backmatter"/>
        <w:spacing w:before="240" w:after="120"/>
        <w:rPr/>
      </w:pPr>
      <w:r>
        <w:rPr/>
      </w:r>
    </w:p>
    <w:p>
      <w:pPr>
        <w:pStyle w:val="MDPI62backmatter"/>
        <w:rPr>
          <w:bCs/>
        </w:rPr>
      </w:pPr>
      <w:r>
        <w:rPr>
          <w:bCs/>
        </w:rPr>
      </w:r>
    </w:p>
    <w:p>
      <w:pPr>
        <w:pStyle w:val="MDPI62backmatter"/>
        <w:rPr>
          <w:b/>
        </w:rPr>
      </w:pPr>
      <w:r>
        <w:rPr>
          <w:b/>
        </w:rPr>
      </w:r>
      <w:bookmarkStart w:id="20" w:name="_Hlk89945590"/>
      <w:bookmarkStart w:id="21" w:name="_Hlk60054323"/>
      <w:bookmarkStart w:id="22" w:name="_Hlk89945590"/>
      <w:bookmarkStart w:id="23" w:name="_Hlk60054323"/>
      <w:bookmarkEnd w:id="22"/>
      <w:bookmarkEnd w:id="23"/>
    </w:p>
    <w:p>
      <w:pPr>
        <w:pStyle w:val="MDPI62backmatter"/>
        <w:rPr/>
      </w:pPr>
      <w:r>
        <w:rPr>
          <w:b/>
          <w:highlight w:val="green"/>
        </w:rPr>
        <w:t xml:space="preserve">Data Availability Statement: </w:t>
      </w:r>
      <w:r>
        <w:rPr>
          <w:b w:val="0"/>
          <w:highlight w:val="green"/>
        </w:rPr>
        <w:t>The soil dataset underlying this study is shared with the companion predictive-modelling study [18], whose data and code are archived at https://github.com/vel5id/science_SOC_predicting (Zenodo: https://doi.org/10.5281/zenodo.19496423 and https://doi.org/10.5281/zenodo.19496443). The code and reproducible outputs for the present correlation-screening study are openly available at https://github.com/vel5id/soil-rs-correlation-screening, with an archived snapshot deposited on Zenodo (https://doi.org/10.5281/zenodo.20820838). This repository is independent of [18] and shares no results or manuscript text.</w:t>
      </w:r>
    </w:p>
    <w:p>
      <w:pPr>
        <w:pStyle w:val="MDPI62backmatter"/>
        <w:rPr/>
      </w:pPr>
      <w:r>
        <w:rPr/>
      </w:r>
    </w:p>
    <w:p>
      <w:pPr>
        <w:pStyle w:val="MDPI21heading1"/>
        <w:rPr>
          <w:szCs w:val="24"/>
        </w:rPr>
      </w:pPr>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aff1"/>
        <w:tblW w:w="7857" w:type="dxa"/>
        <w:jc w:val="start"/>
        <w:tblInd w:w="2608" w:type="dxa"/>
        <w:tblLayout w:type="fixed"/>
        <w:tblCellMar>
          <w:top w:w="0" w:type="dxa"/>
          <w:start w:w="0" w:type="dxa"/>
          <w:bottom w:w="0" w:type="dxa"/>
          <w:end w:w="0" w:type="dxa"/>
        </w:tblCellMar>
        <w:tblLook w:firstRow="1" w:noVBand="1" w:lastRow="0" w:firstColumn="1" w:lastColumn="0" w:noHBand="0" w:val="04a0"/>
      </w:tblPr>
      <w:tblGrid>
        <w:gridCol w:w="934"/>
        <w:gridCol w:w="6923"/>
      </w:tblGrid>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DSM</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Digital Soil Mapping</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SOC</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Soil Organic Carbon</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GEE</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Google Earth Engine</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rPr>
            </w:pPr>
            <w:r>
              <w:rPr>
                <w:rFonts w:cs="Times New Roman"/>
                <w:kern w:val="0"/>
                <w:sz w:val="20"/>
                <w:szCs w:val="20"/>
                <w:lang w:val="en-US"/>
              </w:rPr>
              <w:t xml:space="preserve">NDVI </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rPr>
            </w:pPr>
            <w:r>
              <w:rPr>
                <w:rFonts w:cs="Times New Roman"/>
                <w:kern w:val="0"/>
                <w:sz w:val="20"/>
                <w:szCs w:val="20"/>
                <w:lang w:val="en-US"/>
              </w:rPr>
              <w:t>Normalized Difference Vegetation Index</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rPr>
            </w:pPr>
            <w:r>
              <w:rPr>
                <w:rFonts w:cs="Times New Roman"/>
                <w:kern w:val="0"/>
                <w:sz w:val="20"/>
                <w:szCs w:val="20"/>
                <w:lang w:val="en-US"/>
              </w:rPr>
              <w:t xml:space="preserve">GNDVI </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rPr>
            </w:pPr>
            <w:r>
              <w:rPr>
                <w:rFonts w:cs="Times New Roman"/>
                <w:kern w:val="0"/>
                <w:sz w:val="20"/>
                <w:szCs w:val="20"/>
                <w:lang w:val="en-US"/>
              </w:rPr>
              <w:t>Green Normalized Difference Vegetation Index</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BSI</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Bare Soil Index</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MSI</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Moisture Stress Index</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SAR</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Synthetic Aperture Radar</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DEM</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Digital Elevation Model</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GLCM</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rPr>
            </w:pPr>
            <w:r>
              <w:rPr>
                <w:rFonts w:cs="Times New Roman"/>
                <w:kern w:val="0"/>
                <w:sz w:val="20"/>
                <w:szCs w:val="20"/>
                <w:lang w:val="en-US"/>
              </w:rPr>
              <w:t>Gray-Level Co-occurrence Matrix</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ICC</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Intraclass Correlation Coefficient</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FDR</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False Discovery Rate</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BH</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Benjamini–Hochberg</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DSM</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Digital Soil Mapping</w:t>
            </w:r>
          </w:p>
        </w:tc>
      </w:tr>
      <w:tr>
        <w:trPr/>
        <w:tc>
          <w:tcPr>
            <w:tcW w:w="934"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SOC</w:t>
            </w:r>
          </w:p>
        </w:tc>
        <w:tc>
          <w:tcPr>
            <w:tcW w:w="6923" w:type="dxa"/>
            <w:tcBorders>
              <w:top w:val="nil"/>
              <w:start w:val="nil"/>
              <w:bottom w:val="nil"/>
              <w:end w:val="nil"/>
            </w:tcBorders>
          </w:tcPr>
          <w:p>
            <w:pPr>
              <w:pStyle w:val="MDPI42tablebody"/>
              <w:widowControl/>
              <w:suppressAutoHyphens w:val="true"/>
              <w:spacing w:lineRule="auto" w:line="240" w:before="0" w:after="0"/>
              <w:jc w:val="start"/>
              <w:rPr>
                <w:sz w:val="18"/>
                <w:szCs w:val="18"/>
                <w:lang w:val="ru-RU"/>
              </w:rPr>
            </w:pPr>
            <w:r>
              <w:rPr>
                <w:rFonts w:cs="Times New Roman"/>
                <w:kern w:val="0"/>
                <w:sz w:val="20"/>
                <w:szCs w:val="20"/>
                <w:lang w:val="en-US"/>
              </w:rPr>
              <w:t>Soil Organic Carbon</w:t>
            </w:r>
            <w:bookmarkStart w:id="24" w:name="_Hlk181004646"/>
            <w:bookmarkEnd w:id="24"/>
          </w:p>
        </w:tc>
      </w:tr>
    </w:tbl>
    <w:p>
      <w:pPr>
        <w:pStyle w:val="MDPI21heading1"/>
        <w:ind w:start="0"/>
        <w:rPr/>
      </w:pPr>
      <w:r>
        <w:rPr/>
        <w:t>References</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Montanarella, L.; Pennock, D.J.; McKenzie, N.J.; Badraoui, M.; Chude, V.; Baptista, I.; Mamo, T.; Yemefack, M.; Singh Aulakh, M.; Yagi, K.; et al. World’s Soils Are Under Threat. </w:t>
      </w:r>
      <w:r>
        <w:rPr>
          <w:rStyle w:val="Emphasis"/>
          <w:rFonts w:cs="Arial" w:ascii="Palatino Linotype" w:hAnsi="Palatino Linotype"/>
          <w:sz w:val="18"/>
          <w:szCs w:val="18"/>
          <w:lang w:val="en-US"/>
        </w:rPr>
        <w:t>SOIL</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2016</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2(1)</w:t>
      </w:r>
      <w:r>
        <w:rPr>
          <w:rStyle w:val="t286pc"/>
          <w:rFonts w:cs="Arial" w:ascii="Palatino Linotype" w:hAnsi="Palatino Linotype"/>
          <w:sz w:val="18"/>
          <w:szCs w:val="18"/>
          <w:lang w:val="en-US"/>
        </w:rPr>
        <w:t>, 79–82. https://doi.org/10.5194/soil-2-79-2016</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Gebbers, R.; Adamchuk, V.I. Precision Agriculture and Food Security. </w:t>
      </w:r>
      <w:r>
        <w:rPr>
          <w:rStyle w:val="Emphasis"/>
          <w:rFonts w:cs="Arial" w:ascii="Palatino Linotype" w:hAnsi="Palatino Linotype"/>
          <w:sz w:val="18"/>
          <w:szCs w:val="18"/>
          <w:lang w:val="en-US"/>
        </w:rPr>
        <w:t>Science</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2010</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327(5967)</w:t>
      </w:r>
      <w:r>
        <w:rPr>
          <w:rStyle w:val="t286pc"/>
          <w:rFonts w:cs="Arial" w:ascii="Palatino Linotype" w:hAnsi="Palatino Linotype"/>
          <w:sz w:val="18"/>
          <w:szCs w:val="18"/>
          <w:lang w:val="en-US"/>
        </w:rPr>
        <w:t>, 828–831. https://doi.org/10.1126/science.1183899</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Viscarra Rossel, R.A.; Walvoort, D.J.J.; McBratney, A.B.; Janik, L.J.; Skjemstad, J.O. Visible, Near Infrared, Mid Infrared or Combined Diffuse Reflectance Spectroscopy for Simultaneous Assessment of Various Soil Properties. </w:t>
      </w:r>
      <w:r>
        <w:rPr>
          <w:rStyle w:val="Emphasis"/>
          <w:rFonts w:cs="Arial" w:ascii="Palatino Linotype" w:hAnsi="Palatino Linotype"/>
          <w:sz w:val="18"/>
          <w:szCs w:val="18"/>
          <w:lang w:val="en-US"/>
        </w:rPr>
        <w:t>Geoderma</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2006</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131</w:t>
      </w:r>
      <w:r>
        <w:rPr>
          <w:rStyle w:val="t286pc"/>
          <w:rFonts w:cs="Arial" w:ascii="Palatino Linotype" w:hAnsi="Palatino Linotype"/>
          <w:sz w:val="18"/>
          <w:szCs w:val="18"/>
          <w:lang w:val="en-US"/>
        </w:rPr>
        <w:t>, 59–75. https://doi.org/10.1016/j.geoderma.2005.03.007</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Swinnen, J.; Burkitbayeva, S.; Schierhorn, F.; Prishchepov, A.V.; Müller, D. Production Potential in the ‘Bread Baskets’ of Eastern Europe and Central Asia. </w:t>
      </w:r>
      <w:r>
        <w:rPr>
          <w:rStyle w:val="Emphasis"/>
          <w:rFonts w:cs="Arial" w:ascii="Palatino Linotype" w:hAnsi="Palatino Linotype"/>
          <w:sz w:val="18"/>
          <w:szCs w:val="18"/>
          <w:lang w:val="en-US"/>
        </w:rPr>
        <w:t>Global Food Secur.</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2017</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14</w:t>
      </w:r>
      <w:r>
        <w:rPr>
          <w:rStyle w:val="t286pc"/>
          <w:rFonts w:cs="Arial" w:ascii="Palatino Linotype" w:hAnsi="Palatino Linotype"/>
          <w:sz w:val="18"/>
          <w:szCs w:val="18"/>
          <w:lang w:val="en-US"/>
        </w:rPr>
        <w:t>, 38–53. https://doi.org/10.1016/j.gfs.2017.03.005</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Kraemer, R.; Prishchepov, A.V.; Müller, D.; Kuemmerle, T.; Radeloff, V.C.; Dara, A.; Terekhov, A.; Frühauf, M. Long-Term Agricultural Land-Cover Change and Potential for Cropland Expansion in the Frmer Virgin Lands Area of Kazakhstan. </w:t>
      </w:r>
      <w:r>
        <w:rPr>
          <w:rStyle w:val="Emphasis"/>
          <w:rFonts w:cs="Arial" w:ascii="Palatino Linotype" w:hAnsi="Palatino Linotype"/>
          <w:sz w:val="18"/>
          <w:szCs w:val="18"/>
          <w:lang w:val="en-US"/>
        </w:rPr>
        <w:t>Environ. Res. Lett.</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2015</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10</w:t>
      </w:r>
      <w:r>
        <w:rPr>
          <w:rStyle w:val="t286pc"/>
          <w:rFonts w:cs="Arial" w:ascii="Palatino Linotype" w:hAnsi="Palatino Linotype"/>
          <w:sz w:val="18"/>
          <w:szCs w:val="18"/>
          <w:lang w:val="en-US"/>
        </w:rPr>
        <w:t>, 054012. https://doi.org/10.1088/1748-9326/10/5/054012</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Ben-Dor, E.; Chabrillat, S.; Demattê, J.A.M.; Taylor, G.R.; Hill, J.; Whiting, M.L.; Sommer, S. Using Imaging Spectroscopy to Study Soil Properties. </w:t>
      </w:r>
      <w:r>
        <w:rPr>
          <w:rStyle w:val="Emphasis"/>
          <w:rFonts w:cs="Arial" w:ascii="Palatino Linotype" w:hAnsi="Palatino Linotype"/>
          <w:sz w:val="18"/>
          <w:szCs w:val="18"/>
          <w:lang w:val="en-US"/>
        </w:rPr>
        <w:t>Remote Sens. Environ.</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2009</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113</w:t>
      </w:r>
      <w:r>
        <w:rPr>
          <w:rStyle w:val="t286pc"/>
          <w:rFonts w:cs="Arial" w:ascii="Palatino Linotype" w:hAnsi="Palatino Linotype"/>
          <w:sz w:val="18"/>
          <w:szCs w:val="18"/>
          <w:lang w:val="en-US"/>
        </w:rPr>
        <w:t>, S38–S55. https://doi.org/10.1016/j.rse.2008.09.019</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Viscarra Rossel, R.A.; Behrens, T. Using Data Mining to Model and Interpret Soil Diffuse Reflectance Spectra. </w:t>
      </w:r>
      <w:r>
        <w:rPr>
          <w:rStyle w:val="Emphasis"/>
          <w:rFonts w:cs="Arial" w:ascii="Palatino Linotype" w:hAnsi="Palatino Linotype"/>
          <w:sz w:val="18"/>
          <w:szCs w:val="18"/>
          <w:lang w:val="en-US"/>
        </w:rPr>
        <w:t>Geoderma</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2010</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158(1-2)</w:t>
      </w:r>
      <w:r>
        <w:rPr>
          <w:rStyle w:val="t286pc"/>
          <w:rFonts w:cs="Arial" w:ascii="Palatino Linotype" w:hAnsi="Palatino Linotype"/>
          <w:sz w:val="18"/>
          <w:szCs w:val="18"/>
          <w:lang w:val="en-US"/>
        </w:rPr>
        <w:t>, 46–54. https://doi.org/10.1016/j.geoderma.2009.12.025</w:t>
      </w:r>
    </w:p>
    <w:p>
      <w:pPr>
        <w:pStyle w:val="z1qcye"/>
        <w:numPr>
          <w:ilvl w:val="0"/>
          <w:numId w:val="9"/>
        </w:numPr>
        <w:spacing w:beforeAutospacing="0" w:before="0" w:afterAutospacing="0" w:after="0"/>
        <w:rPr>
          <w:rFonts w:ascii="Palatino Linotype" w:hAnsi="Palatino Linotype" w:cs="Arial"/>
          <w:sz w:val="18"/>
          <w:szCs w:val="18"/>
          <w:lang w:val="en-US"/>
        </w:rPr>
      </w:pPr>
      <w:r>
        <w:rPr>
          <w:rFonts w:cs="Arial" w:ascii="Palatino Linotype" w:hAnsi="Palatino Linotype"/>
          <w:sz w:val="18"/>
          <w:szCs w:val="18"/>
          <w:lang w:val="en-US"/>
        </w:rPr>
        <w:t xml:space="preserve">Drusch, M.; Del Bello, U.; Carlier, S.; Colin, O.; Fernandez, V.; Gascon, F.; Hoersch, B.; Isola, C.; Laberinti, P.; Martimort, P.; et al. Sentinel-2: ESA’s Optical High-Resolution Mission for GMES Operational Services. </w:t>
      </w:r>
      <w:r>
        <w:rPr>
          <w:rFonts w:cs="Arial" w:ascii="Palatino Linotype" w:hAnsi="Palatino Linotype"/>
          <w:i/>
          <w:iCs/>
          <w:sz w:val="18"/>
          <w:szCs w:val="18"/>
          <w:lang w:val="en-US"/>
        </w:rPr>
        <w:t>Remote Sens. Environ.</w:t>
      </w:r>
      <w:r>
        <w:rPr>
          <w:rFonts w:cs="Arial" w:ascii="Palatino Linotype" w:hAnsi="Palatino Linotype"/>
          <w:sz w:val="18"/>
          <w:szCs w:val="18"/>
          <w:lang w:val="en-US"/>
        </w:rPr>
        <w:t xml:space="preserve"> </w:t>
      </w:r>
      <w:r>
        <w:rPr>
          <w:rFonts w:cs="Arial" w:ascii="Palatino Linotype" w:hAnsi="Palatino Linotype"/>
          <w:b/>
          <w:bCs/>
          <w:sz w:val="18"/>
          <w:szCs w:val="18"/>
          <w:lang w:val="en-US"/>
        </w:rPr>
        <w:t>2012</w:t>
      </w:r>
      <w:r>
        <w:rPr>
          <w:rFonts w:cs="Arial" w:ascii="Palatino Linotype" w:hAnsi="Palatino Linotype"/>
          <w:sz w:val="18"/>
          <w:szCs w:val="18"/>
          <w:lang w:val="en-US"/>
        </w:rPr>
        <w:t xml:space="preserve">, </w:t>
      </w:r>
      <w:r>
        <w:rPr>
          <w:rFonts w:cs="Arial" w:ascii="Palatino Linotype" w:hAnsi="Palatino Linotype"/>
          <w:i/>
          <w:iCs/>
          <w:sz w:val="18"/>
          <w:szCs w:val="18"/>
          <w:lang w:val="en-US"/>
        </w:rPr>
        <w:t>120</w:t>
      </w:r>
      <w:r>
        <w:rPr>
          <w:rFonts w:cs="Arial" w:ascii="Palatino Linotype" w:hAnsi="Palatino Linotype"/>
          <w:sz w:val="18"/>
          <w:szCs w:val="18"/>
          <w:lang w:val="en-US"/>
        </w:rPr>
        <w:t>, 25–36. https://doi.org/10.1016/j.rse.2011.11.026</w:t>
      </w:r>
    </w:p>
    <w:p>
      <w:pPr>
        <w:pStyle w:val="z1qcye"/>
        <w:numPr>
          <w:ilvl w:val="0"/>
          <w:numId w:val="9"/>
        </w:numPr>
        <w:spacing w:beforeAutospacing="0" w:before="0" w:afterAutospacing="0" w:after="0"/>
        <w:rPr>
          <w:rFonts w:ascii="Palatino Linotype" w:hAnsi="Palatino Linotype" w:cs="Arial"/>
          <w:sz w:val="18"/>
          <w:szCs w:val="18"/>
          <w:lang w:val="en-US"/>
        </w:rPr>
      </w:pPr>
      <w:r>
        <w:rPr>
          <w:rStyle w:val="t286pc"/>
          <w:rFonts w:cs="Arial" w:ascii="Palatino Linotype" w:hAnsi="Palatino Linotype"/>
          <w:sz w:val="18"/>
          <w:szCs w:val="18"/>
          <w:lang w:val="en-US"/>
        </w:rPr>
        <w:t xml:space="preserve">Roy, D.P.; Wulder, M.A.; Loveland, T.R.; Woodcock, C.E.; Allen, R.G.; Anderson, M.C.; Helder, D.; Irons, J.R.; Johnson, D.M.; Kennedy, R.; et al. Landsat-8: Science and Product Vision for Terrestrial Global Change Research. </w:t>
      </w:r>
      <w:r>
        <w:rPr>
          <w:rStyle w:val="Emphasis"/>
          <w:rFonts w:cs="Arial" w:ascii="Palatino Linotype" w:hAnsi="Palatino Linotype"/>
          <w:sz w:val="18"/>
          <w:szCs w:val="18"/>
          <w:lang w:val="en-US"/>
        </w:rPr>
        <w:t>Remote Sens. Environ.</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2014</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145(5)</w:t>
      </w:r>
      <w:r>
        <w:rPr>
          <w:rStyle w:val="t286pc"/>
          <w:rFonts w:cs="Arial" w:ascii="Palatino Linotype" w:hAnsi="Palatino Linotype"/>
          <w:sz w:val="18"/>
          <w:szCs w:val="18"/>
          <w:lang w:val="en-US"/>
        </w:rPr>
        <w:t>, 154–172. https://doi.org/10.1016/j.rse.2014.02.001</w:t>
      </w:r>
    </w:p>
    <w:p>
      <w:pPr>
        <w:pStyle w:val="z1qcye"/>
        <w:numPr>
          <w:ilvl w:val="0"/>
          <w:numId w:val="9"/>
        </w:numPr>
        <w:spacing w:beforeAutospacing="0" w:before="0" w:afterAutospacing="0" w:after="0"/>
        <w:rPr>
          <w:rFonts w:ascii="Palatino Linotype" w:hAnsi="Palatino Linotype" w:cs="Arial"/>
          <w:sz w:val="18"/>
          <w:szCs w:val="18"/>
          <w:lang w:val="fr-FR"/>
        </w:rPr>
      </w:pPr>
      <w:r>
        <w:rPr>
          <w:rStyle w:val="t286pc"/>
          <w:rFonts w:cs="Arial" w:ascii="Palatino Linotype" w:hAnsi="Palatino Linotype"/>
          <w:sz w:val="18"/>
          <w:szCs w:val="18"/>
          <w:lang w:val="en-US"/>
        </w:rPr>
        <w:t xml:space="preserve">Torres, R.; Snoeij, P.; Geudtner, D.; Bibby, D.; Davidson, M.; Attema, E.; Potin, P.; Rommen, B.; Floury, N.; Brown, M.; et al. </w:t>
      </w:r>
      <w:r>
        <w:rPr>
          <w:rStyle w:val="t286pc"/>
          <w:rFonts w:cs="Arial" w:ascii="Palatino Linotype" w:hAnsi="Palatino Linotype"/>
          <w:sz w:val="18"/>
          <w:szCs w:val="18"/>
          <w:lang w:val="fr-FR"/>
        </w:rPr>
        <w:t xml:space="preserve">GMES Sentinel-1 Mission. </w:t>
      </w:r>
      <w:r>
        <w:rPr>
          <w:rStyle w:val="Emphasis"/>
          <w:rFonts w:cs="Arial" w:ascii="Palatino Linotype" w:hAnsi="Palatino Linotype"/>
          <w:sz w:val="18"/>
          <w:szCs w:val="18"/>
          <w:lang w:val="fr-FR"/>
        </w:rPr>
        <w:t>Remote Sens. Environ.</w:t>
      </w:r>
      <w:r>
        <w:rPr>
          <w:rStyle w:val="t286pc"/>
          <w:rFonts w:cs="Arial" w:ascii="Palatino Linotype" w:hAnsi="Palatino Linotype"/>
          <w:sz w:val="18"/>
          <w:szCs w:val="18"/>
          <w:lang w:val="fr-FR"/>
        </w:rPr>
        <w:t xml:space="preserve"> </w:t>
      </w:r>
      <w:r>
        <w:rPr>
          <w:rStyle w:val="Strong"/>
          <w:rFonts w:cs="Arial" w:ascii="Palatino Linotype" w:hAnsi="Palatino Linotype"/>
          <w:sz w:val="18"/>
          <w:szCs w:val="18"/>
          <w:lang w:val="fr-FR"/>
        </w:rPr>
        <w:t>2012</w:t>
      </w:r>
      <w:r>
        <w:rPr>
          <w:rStyle w:val="t286pc"/>
          <w:rFonts w:cs="Arial" w:ascii="Palatino Linotype" w:hAnsi="Palatino Linotype"/>
          <w:sz w:val="18"/>
          <w:szCs w:val="18"/>
          <w:lang w:val="fr-FR"/>
        </w:rPr>
        <w:t xml:space="preserve">, </w:t>
      </w:r>
      <w:r>
        <w:rPr>
          <w:rStyle w:val="Emphasis"/>
          <w:rFonts w:cs="Arial" w:ascii="Palatino Linotype" w:hAnsi="Palatino Linotype"/>
          <w:sz w:val="18"/>
          <w:szCs w:val="18"/>
          <w:lang w:val="fr-FR"/>
        </w:rPr>
        <w:t>120</w:t>
      </w:r>
      <w:r>
        <w:rPr>
          <w:rStyle w:val="t286pc"/>
          <w:rFonts w:cs="Arial" w:ascii="Palatino Linotype" w:hAnsi="Palatino Linotype"/>
          <w:sz w:val="18"/>
          <w:szCs w:val="18"/>
          <w:lang w:val="fr-FR"/>
        </w:rPr>
        <w:t xml:space="preserve">, 9–24. </w:t>
      </w:r>
      <w:hyperlink r:id="rId20" w:tgtFrame="_blank">
        <w:r>
          <w:rPr>
            <w:rStyle w:val="Hyperlink"/>
            <w:rFonts w:cs="Arial" w:ascii="Palatino Linotype" w:hAnsi="Palatino Linotype"/>
            <w:color w:val="auto"/>
            <w:sz w:val="18"/>
            <w:szCs w:val="18"/>
            <w:u w:val="none"/>
            <w:lang w:val="fr-FR"/>
          </w:rPr>
          <w:t>https://doi.org/10.1016/j.rse.2011.05.028</w:t>
        </w:r>
      </w:hyperlink>
    </w:p>
    <w:p>
      <w:pPr>
        <w:pStyle w:val="z1qcye"/>
        <w:numPr>
          <w:ilvl w:val="0"/>
          <w:numId w:val="9"/>
        </w:numPr>
        <w:spacing w:beforeAutospacing="0" w:before="0" w:afterAutospacing="0" w:after="0"/>
        <w:rPr>
          <w:rFonts w:ascii="Palatino Linotype" w:hAnsi="Palatino Linotype" w:cs="Arial"/>
          <w:sz w:val="18"/>
          <w:szCs w:val="18"/>
          <w:lang w:val="en-US"/>
        </w:rPr>
      </w:pPr>
      <w:r>
        <w:rPr>
          <w:rStyle w:val="t286pc"/>
          <w:rFonts w:cs="Arial" w:ascii="Palatino Linotype" w:hAnsi="Palatino Linotype"/>
          <w:sz w:val="18"/>
          <w:szCs w:val="18"/>
          <w:lang w:val="en-US"/>
        </w:rPr>
        <w:t xml:space="preserve">Farr, T.G.; Rosen, P.A.; Caro, E.; Crippen, R.; Duren, R.; Hensley, S.; Kobrick, M.; Paller, M.; Rodriguez, E.; Roth, L.; et al. The Shuttle Radar Topography Mission. </w:t>
      </w:r>
      <w:r>
        <w:rPr>
          <w:rStyle w:val="Emphasis"/>
          <w:rFonts w:cs="Arial" w:ascii="Palatino Linotype" w:hAnsi="Palatino Linotype"/>
          <w:sz w:val="18"/>
          <w:szCs w:val="18"/>
          <w:lang w:val="en-US"/>
        </w:rPr>
        <w:t>Rev. Geophys.</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2007</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45(2)</w:t>
      </w:r>
      <w:r>
        <w:rPr>
          <w:rStyle w:val="t286pc"/>
          <w:rFonts w:cs="Arial" w:ascii="Palatino Linotype" w:hAnsi="Palatino Linotype"/>
          <w:sz w:val="18"/>
          <w:szCs w:val="18"/>
          <w:lang w:val="en-US"/>
        </w:rPr>
        <w:t>, RG2004. https://doi.org/10.1029/2005RG000183</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Hengl, T.; Mendes de Jesus, J.; Heuvelink, G.B.M.; Ruiperez Gonzalez, M.; Kilibarda, M.; Blagotić, A.; Shangguan, W.; Wright, M.N.; Geng, X.; Bauer-Marschallinger, B.; et al. SoilGrids250m: Global Gridded Soil Information Based on Machine Learning. </w:t>
      </w:r>
      <w:r>
        <w:rPr>
          <w:rStyle w:val="Emphasis"/>
          <w:rFonts w:cs="Arial" w:ascii="Palatino Linotype" w:hAnsi="Palatino Linotype"/>
          <w:sz w:val="18"/>
          <w:szCs w:val="18"/>
          <w:lang w:val="en-US"/>
        </w:rPr>
        <w:t>PLoS ONE</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2017</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12 (2)</w:t>
      </w:r>
      <w:r>
        <w:rPr>
          <w:rStyle w:val="t286pc"/>
          <w:rFonts w:cs="Arial" w:ascii="Palatino Linotype" w:hAnsi="Palatino Linotype"/>
          <w:sz w:val="18"/>
          <w:szCs w:val="18"/>
          <w:lang w:val="en-US"/>
        </w:rPr>
        <w:t>, e0169748. https://doi.org/10.1371/journal.pone.0169748</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Muñoz-Sabater, J.; Dutra, E.; Agustí-Panareda, A.; Albergel, C.; Arduini, G.; Balsamo, G.; Boussetta, S.; Choulga, M.; De Rosnay, P.; Hersbach, H.; et al. ERA5-Land: A State-of-the-Art Global Reanalysis Dataset for Land Applications. </w:t>
      </w:r>
      <w:r>
        <w:rPr>
          <w:rStyle w:val="Emphasis"/>
          <w:rFonts w:cs="Arial" w:ascii="Palatino Linotype" w:hAnsi="Palatino Linotype"/>
          <w:sz w:val="18"/>
          <w:szCs w:val="18"/>
          <w:lang w:val="en-US"/>
        </w:rPr>
        <w:t>Earth Syst. Sci. Data</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2021</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13(9)</w:t>
      </w:r>
      <w:r>
        <w:rPr>
          <w:rStyle w:val="t286pc"/>
          <w:rFonts w:cs="Arial" w:ascii="Palatino Linotype" w:hAnsi="Palatino Linotype"/>
          <w:sz w:val="18"/>
          <w:szCs w:val="18"/>
          <w:lang w:val="en-US"/>
        </w:rPr>
        <w:t>, 4349–4383. https://doi.org/10.5194/essd-13-4349-2021</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cs="Arial" w:ascii="Palatino Linotype" w:hAnsi="Palatino Linotype"/>
          <w:sz w:val="18"/>
          <w:szCs w:val="18"/>
          <w:lang w:val="en-US"/>
        </w:rPr>
        <w:t xml:space="preserve">Castaldi, F.; Hueni, A.; Chabrillat, S.; Ward, K.; Buttafuoco, G.; Bomans, B.; Vreys, K.; Brell, M.; van Wesemael, B. Evaluating the Capability of the Sentinel-2 Data for Soil Organic Carbon Prediction in Croplands. </w:t>
      </w:r>
      <w:r>
        <w:rPr>
          <w:rFonts w:cs="Arial" w:ascii="Palatino Linotype" w:hAnsi="Palatino Linotype"/>
          <w:i/>
          <w:iCs/>
          <w:sz w:val="18"/>
          <w:szCs w:val="18"/>
          <w:lang w:val="en-US"/>
        </w:rPr>
        <w:t>ISPRS J. Photogramm. Remote Sens.</w:t>
      </w:r>
      <w:r>
        <w:rPr>
          <w:rFonts w:cs="Arial" w:ascii="Palatino Linotype" w:hAnsi="Palatino Linotype"/>
          <w:sz w:val="18"/>
          <w:szCs w:val="18"/>
          <w:lang w:val="en-US"/>
        </w:rPr>
        <w:t xml:space="preserve"> </w:t>
      </w:r>
      <w:r>
        <w:rPr>
          <w:rFonts w:cs="Arial" w:ascii="Palatino Linotype" w:hAnsi="Palatino Linotype"/>
          <w:b/>
          <w:bCs/>
          <w:sz w:val="18"/>
          <w:szCs w:val="18"/>
          <w:lang w:val="en-US"/>
        </w:rPr>
        <w:t>2019</w:t>
      </w:r>
      <w:r>
        <w:rPr>
          <w:rFonts w:cs="Arial" w:ascii="Palatino Linotype" w:hAnsi="Palatino Linotype"/>
          <w:sz w:val="18"/>
          <w:szCs w:val="18"/>
          <w:lang w:val="en-US"/>
        </w:rPr>
        <w:t xml:space="preserve">, </w:t>
      </w:r>
      <w:r>
        <w:rPr>
          <w:rFonts w:cs="Arial" w:ascii="Palatino Linotype" w:hAnsi="Palatino Linotype"/>
          <w:i/>
          <w:iCs/>
          <w:sz w:val="18"/>
          <w:szCs w:val="18"/>
          <w:lang w:val="en-US"/>
        </w:rPr>
        <w:t>147</w:t>
      </w:r>
      <w:r>
        <w:rPr>
          <w:rFonts w:cs="Arial" w:ascii="Palatino Linotype" w:hAnsi="Palatino Linotype"/>
          <w:sz w:val="18"/>
          <w:szCs w:val="18"/>
          <w:lang w:val="en-US"/>
        </w:rPr>
        <w:t>, 267–282. https://doi.org/10.1016/j.isprsjprs.2018.11.026</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Vaudour, E.; Gomez, C.; Fouad, Y.; Lagacherie, P. Sentinel-2 Image Capacities to Predict Common Topsoil Properties of Temperate and Mediterranean Agroecosystems. </w:t>
      </w:r>
      <w:r>
        <w:rPr>
          <w:rStyle w:val="Emphasis"/>
          <w:rFonts w:cs="Arial" w:ascii="Palatino Linotype" w:hAnsi="Palatino Linotype"/>
          <w:sz w:val="18"/>
          <w:szCs w:val="18"/>
          <w:lang w:val="en-US"/>
        </w:rPr>
        <w:t>Remote Sens. Environ.</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2019</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223</w:t>
      </w:r>
      <w:r>
        <w:rPr>
          <w:rStyle w:val="t286pc"/>
          <w:rFonts w:cs="Arial" w:ascii="Palatino Linotype" w:hAnsi="Palatino Linotype"/>
          <w:sz w:val="18"/>
          <w:szCs w:val="18"/>
          <w:lang w:val="en-US"/>
        </w:rPr>
        <w:t>, 21–33. https://doi.org/10.1016/j.rse.2019.01.006</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Wadoux, A.M.J.C.; Minasny, B.; McBratney, A.B. Machine Learning for Digital Soil Mapping: Applications, Challenges and Suggested Solutions. </w:t>
      </w:r>
      <w:r>
        <w:rPr>
          <w:rStyle w:val="Emphasis"/>
          <w:rFonts w:cs="Arial" w:ascii="Palatino Linotype" w:hAnsi="Palatino Linotype"/>
          <w:sz w:val="18"/>
          <w:szCs w:val="18"/>
          <w:lang w:val="en-US"/>
        </w:rPr>
        <w:t>Earth-Sci. Rev.</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2020</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210</w:t>
      </w:r>
      <w:r>
        <w:rPr>
          <w:rStyle w:val="t286pc"/>
          <w:rFonts w:cs="Arial" w:ascii="Palatino Linotype" w:hAnsi="Palatino Linotype"/>
          <w:sz w:val="18"/>
          <w:szCs w:val="18"/>
          <w:lang w:val="en-US"/>
        </w:rPr>
        <w:t xml:space="preserve">, 103359. </w:t>
      </w:r>
      <w:hyperlink r:id="rId21">
        <w:r>
          <w:rPr>
            <w:rStyle w:val="Hyperlink"/>
            <w:rFonts w:cs="Arial" w:ascii="Palatino Linotype" w:hAnsi="Palatino Linotype"/>
            <w:color w:val="auto"/>
            <w:sz w:val="18"/>
            <w:szCs w:val="18"/>
            <w:u w:val="none"/>
            <w:lang w:val="en-US"/>
          </w:rPr>
          <w:t>https://doi.org/10.1016/j.earscirev.2020.103359</w:t>
        </w:r>
      </w:hyperlink>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cs="Arial" w:ascii="Palatino Linotype" w:hAnsi="Palatino Linotype"/>
          <w:sz w:val="18"/>
          <w:szCs w:val="18"/>
          <w:lang w:val="en-US"/>
        </w:rPr>
        <w:t xml:space="preserve">Yapiyev, V.; Gilman, C.P.; Kabdullayeva, T.; Suleimenova, A.; Shagadatova, A.; Duisembay, A.; Naizabekov, S.; Mussurova, S.; Sydykova, K.; Raimkulov, I.; et al. Top soil physical and chemical properties in Kazakhstan across a north-south gradient. </w:t>
      </w:r>
      <w:r>
        <w:rPr>
          <w:rFonts w:cs="Arial" w:ascii="Palatino Linotype" w:hAnsi="Palatino Linotype"/>
          <w:i/>
          <w:iCs/>
          <w:sz w:val="18"/>
          <w:szCs w:val="18"/>
          <w:lang w:val="en-US"/>
        </w:rPr>
        <w:t>Sci. Data</w:t>
      </w:r>
      <w:r>
        <w:rPr>
          <w:rFonts w:cs="Arial" w:ascii="Palatino Linotype" w:hAnsi="Palatino Linotype"/>
          <w:sz w:val="18"/>
          <w:szCs w:val="18"/>
          <w:lang w:val="en-US"/>
        </w:rPr>
        <w:t xml:space="preserve"> </w:t>
      </w:r>
      <w:r>
        <w:rPr>
          <w:rFonts w:cs="Arial" w:ascii="Palatino Linotype" w:hAnsi="Palatino Linotype"/>
          <w:b/>
          <w:bCs/>
          <w:sz w:val="18"/>
          <w:szCs w:val="18"/>
          <w:lang w:val="en-US"/>
        </w:rPr>
        <w:t>2018</w:t>
      </w:r>
      <w:r>
        <w:rPr>
          <w:rFonts w:cs="Arial" w:ascii="Palatino Linotype" w:hAnsi="Palatino Linotype"/>
          <w:sz w:val="18"/>
          <w:szCs w:val="18"/>
          <w:lang w:val="en-US"/>
        </w:rPr>
        <w:t xml:space="preserve">, </w:t>
      </w:r>
      <w:r>
        <w:rPr>
          <w:rFonts w:cs="Arial" w:ascii="Palatino Linotype" w:hAnsi="Palatino Linotype"/>
          <w:i/>
          <w:iCs/>
          <w:sz w:val="18"/>
          <w:szCs w:val="18"/>
          <w:lang w:val="en-US"/>
        </w:rPr>
        <w:t>5</w:t>
      </w:r>
      <w:r>
        <w:rPr>
          <w:rFonts w:cs="Arial" w:ascii="Palatino Linotype" w:hAnsi="Palatino Linotype"/>
          <w:sz w:val="18"/>
          <w:szCs w:val="18"/>
          <w:lang w:val="en-US"/>
        </w:rPr>
        <w:t>, 180242. doi.org</w:t>
      </w:r>
      <w:r>
        <w:rPr>
          <w:lang w:val="en-US"/>
        </w:rPr>
        <w:t xml:space="preserve"> </w:t>
      </w:r>
      <w:hyperlink r:id="rId22">
        <w:r>
          <w:rPr>
            <w:rStyle w:val="Hyperlink"/>
            <w:rFonts w:cs="Arial" w:ascii="Palatino Linotype" w:hAnsi="Palatino Linotype"/>
            <w:sz w:val="18"/>
            <w:szCs w:val="18"/>
            <w:lang w:val="en-US"/>
          </w:rPr>
          <w:t>https://doi.org/10.1038/sdata.2018.242</w:t>
        </w:r>
      </w:hyperlink>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cs="Arial" w:ascii="Palatino Linotype" w:hAnsi="Palatino Linotype"/>
          <w:sz w:val="18"/>
          <w:szCs w:val="18"/>
          <w:lang w:val="en-US"/>
        </w:rPr>
        <w:t>Yskak, A.; Yermoldina, G.T.; Nugmanov, A.B.; Rakhimbayev, B.S.; Suimenbayeva, Z.B.; Fominov, V.D.; Irzhanov, Z.B.; Paramonova, T.A.; Mamikhin, S.V.; Bulaev, A.G. Digital Soil Mapping of the Steppe Zone in Northern Kazakhstan: Predicting Agrochemical Properties of Soils Using Multimodal Satellite Data and Machine and Deep Learning Techniques. </w:t>
      </w:r>
      <w:r>
        <w:rPr>
          <w:rFonts w:cs="Arial" w:ascii="Palatino Linotype" w:hAnsi="Palatino Linotype"/>
          <w:i/>
          <w:iCs/>
          <w:sz w:val="18"/>
          <w:szCs w:val="18"/>
          <w:lang w:val="en-US"/>
        </w:rPr>
        <w:t>Agriculture</w:t>
      </w:r>
      <w:r>
        <w:rPr>
          <w:rFonts w:cs="Arial" w:ascii="Palatino Linotype" w:hAnsi="Palatino Linotype"/>
          <w:sz w:val="18"/>
          <w:szCs w:val="18"/>
          <w:lang w:val="en-US"/>
        </w:rPr>
        <w:t> </w:t>
      </w:r>
      <w:r>
        <w:rPr>
          <w:rFonts w:cs="Arial" w:ascii="Palatino Linotype" w:hAnsi="Palatino Linotype"/>
          <w:b/>
          <w:bCs/>
          <w:sz w:val="18"/>
          <w:szCs w:val="18"/>
          <w:lang w:val="en-US"/>
        </w:rPr>
        <w:t>2026</w:t>
      </w:r>
      <w:r>
        <w:rPr>
          <w:rFonts w:cs="Arial" w:ascii="Palatino Linotype" w:hAnsi="Palatino Linotype"/>
          <w:sz w:val="18"/>
          <w:szCs w:val="18"/>
          <w:lang w:val="en-US"/>
        </w:rPr>
        <w:t>, </w:t>
      </w:r>
      <w:r>
        <w:rPr>
          <w:rFonts w:cs="Arial" w:ascii="Palatino Linotype" w:hAnsi="Palatino Linotype"/>
          <w:i/>
          <w:iCs/>
          <w:sz w:val="18"/>
          <w:szCs w:val="18"/>
          <w:lang w:val="en-US"/>
        </w:rPr>
        <w:t>16</w:t>
      </w:r>
      <w:r>
        <w:rPr>
          <w:rFonts w:cs="Arial" w:ascii="Palatino Linotype" w:hAnsi="Palatino Linotype"/>
          <w:sz w:val="18"/>
          <w:szCs w:val="18"/>
          <w:lang w:val="en-US"/>
        </w:rPr>
        <w:t>, 1239. https://doi.org/10.3390/agriculture16111239</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Fick, S.E.; Hijmans, R.J. WorldClim 2: New 1-Km Spatial Resolution Climate Surfaces for Global Land Areas. </w:t>
      </w:r>
      <w:r>
        <w:rPr>
          <w:rStyle w:val="Emphasis"/>
          <w:rFonts w:cs="Arial" w:ascii="Palatino Linotype" w:hAnsi="Palatino Linotype"/>
          <w:sz w:val="18"/>
          <w:szCs w:val="18"/>
          <w:lang w:val="en-US"/>
        </w:rPr>
        <w:t>Int. J. Climatol.</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2017</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37(12)</w:t>
      </w:r>
      <w:r>
        <w:rPr>
          <w:rStyle w:val="t286pc"/>
          <w:rFonts w:cs="Arial" w:ascii="Palatino Linotype" w:hAnsi="Palatino Linotype"/>
          <w:sz w:val="18"/>
          <w:szCs w:val="18"/>
          <w:lang w:val="en-US"/>
        </w:rPr>
        <w:t>, 4302–4315. https://doi.org/10.1002/joc.5086</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Pribyl, D.W. A Critical Review of the Conventional SOC to SOM Conversion Factor. </w:t>
      </w:r>
      <w:r>
        <w:rPr>
          <w:rStyle w:val="Emphasis"/>
          <w:rFonts w:cs="Arial" w:ascii="Palatino Linotype" w:hAnsi="Palatino Linotype"/>
          <w:sz w:val="18"/>
          <w:szCs w:val="18"/>
          <w:lang w:val="en-US"/>
        </w:rPr>
        <w:t>Geoderma</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2010</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156</w:t>
      </w:r>
      <w:r>
        <w:rPr>
          <w:rStyle w:val="t286pc"/>
          <w:rFonts w:cs="Arial" w:ascii="Palatino Linotype" w:hAnsi="Palatino Linotype"/>
          <w:sz w:val="18"/>
          <w:szCs w:val="18"/>
          <w:lang w:val="en-US"/>
        </w:rPr>
        <w:t>, 75–83. https://doi.org/10.1016/j.geoderma.2010.02.003</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Gorelick, N.; Hancher, M.; Dixon, M.; Ilyushchenko, S.; Thau, D.; Moore, R. Google Earth Engine: Planetary-Scale Geospatial Analysis for Everyone. </w:t>
      </w:r>
      <w:r>
        <w:rPr>
          <w:rStyle w:val="Emphasis"/>
          <w:rFonts w:cs="Arial" w:ascii="Palatino Linotype" w:hAnsi="Palatino Linotype"/>
          <w:sz w:val="18"/>
          <w:szCs w:val="18"/>
          <w:lang w:val="en-US"/>
        </w:rPr>
        <w:t>Remote Sens. Environ.</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2017</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202</w:t>
      </w:r>
      <w:r>
        <w:rPr>
          <w:rStyle w:val="t286pc"/>
          <w:rFonts w:cs="Arial" w:ascii="Palatino Linotype" w:hAnsi="Palatino Linotype"/>
          <w:sz w:val="18"/>
          <w:szCs w:val="18"/>
          <w:lang w:val="en-US"/>
        </w:rPr>
        <w:t>, 18–27. https://doi.org/10.1016/j.rse.2017.06.031</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Tucker, C.J. Red and Photographic Infrared Linear Combinations for Monitoring Vegetation. </w:t>
      </w:r>
      <w:r>
        <w:rPr>
          <w:rStyle w:val="Emphasis"/>
          <w:rFonts w:cs="Arial" w:ascii="Palatino Linotype" w:hAnsi="Palatino Linotype"/>
          <w:sz w:val="18"/>
          <w:szCs w:val="18"/>
          <w:lang w:val="en-US"/>
        </w:rPr>
        <w:t>Remote Sens. Environ.</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1979</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8(2)</w:t>
      </w:r>
      <w:r>
        <w:rPr>
          <w:rStyle w:val="t286pc"/>
          <w:rFonts w:cs="Arial" w:ascii="Palatino Linotype" w:hAnsi="Palatino Linotype"/>
          <w:sz w:val="18"/>
          <w:szCs w:val="18"/>
          <w:lang w:val="en-US"/>
        </w:rPr>
        <w:t>, 127–150. https://doi.org/10.1016/0034-4257(79)90013-0</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cs="Arial" w:ascii="Palatino Linotype" w:hAnsi="Palatino Linotype"/>
          <w:sz w:val="18"/>
          <w:szCs w:val="18"/>
          <w:lang w:val="en-US"/>
        </w:rPr>
        <w:t xml:space="preserve">Zevenbergen, L.W.; Thorne, C.R. Quantitative Analysis of Land Surface Topography. </w:t>
      </w:r>
      <w:r>
        <w:rPr>
          <w:rFonts w:cs="Arial" w:ascii="Palatino Linotype" w:hAnsi="Palatino Linotype"/>
          <w:i/>
          <w:iCs/>
          <w:sz w:val="18"/>
          <w:szCs w:val="18"/>
          <w:lang w:val="en-US"/>
        </w:rPr>
        <w:t>Earth Surf. Process. Landf</w:t>
      </w:r>
      <w:r>
        <w:rPr>
          <w:rFonts w:cs="Arial" w:ascii="Palatino Linotype" w:hAnsi="Palatino Linotype"/>
          <w:sz w:val="18"/>
          <w:szCs w:val="18"/>
          <w:lang w:val="en-US"/>
        </w:rPr>
        <w:t xml:space="preserve">. </w:t>
      </w:r>
      <w:r>
        <w:rPr>
          <w:rFonts w:cs="Arial" w:ascii="Palatino Linotype" w:hAnsi="Palatino Linotype"/>
          <w:b/>
          <w:bCs/>
          <w:sz w:val="18"/>
          <w:szCs w:val="18"/>
          <w:lang w:val="en-US"/>
        </w:rPr>
        <w:t>1987</w:t>
      </w:r>
      <w:r>
        <w:rPr>
          <w:rFonts w:cs="Arial" w:ascii="Palatino Linotype" w:hAnsi="Palatino Linotype"/>
          <w:sz w:val="18"/>
          <w:szCs w:val="18"/>
          <w:lang w:val="en-US"/>
        </w:rPr>
        <w:t xml:space="preserve">, </w:t>
      </w:r>
      <w:r>
        <w:rPr>
          <w:rFonts w:cs="Arial" w:ascii="Palatino Linotype" w:hAnsi="Palatino Linotype"/>
          <w:i/>
          <w:iCs/>
          <w:sz w:val="18"/>
          <w:szCs w:val="18"/>
          <w:lang w:val="en-US"/>
        </w:rPr>
        <w:t>12(1)</w:t>
      </w:r>
      <w:r>
        <w:rPr>
          <w:rFonts w:cs="Arial" w:ascii="Palatino Linotype" w:hAnsi="Palatino Linotype"/>
          <w:sz w:val="18"/>
          <w:szCs w:val="18"/>
          <w:lang w:val="en-US"/>
        </w:rPr>
        <w:t>, 47–56. https://doi.org/10.1002/esp.3290120107</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Haralick, R.M.; Shanmugam, K.; Dinstein, I. Textural Features for Image Classification. </w:t>
      </w:r>
      <w:r>
        <w:rPr>
          <w:rStyle w:val="Emphasis"/>
          <w:rFonts w:cs="Arial" w:ascii="Palatino Linotype" w:hAnsi="Palatino Linotype"/>
          <w:sz w:val="18"/>
          <w:szCs w:val="18"/>
          <w:lang w:val="en-US"/>
        </w:rPr>
        <w:t>IEEE Trans. Syst. Man Cybern.</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1973</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SMC-3 (6)</w:t>
      </w:r>
      <w:r>
        <w:rPr>
          <w:rStyle w:val="t286pc"/>
          <w:rFonts w:cs="Arial" w:ascii="Palatino Linotype" w:hAnsi="Palatino Linotype"/>
          <w:sz w:val="18"/>
          <w:szCs w:val="18"/>
          <w:lang w:val="en-US"/>
        </w:rPr>
        <w:t>, 610–621. https://doi.org/10.1109/tsmc.1973.4309314</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Benjamini, Y.; Yekutieli, D. The Control of the False Discovery Rate in Multiple Testing Under Dependency. </w:t>
      </w:r>
      <w:r>
        <w:rPr>
          <w:rStyle w:val="Emphasis"/>
          <w:rFonts w:cs="Arial" w:ascii="Palatino Linotype" w:hAnsi="Palatino Linotype"/>
          <w:sz w:val="18"/>
          <w:szCs w:val="18"/>
          <w:lang w:val="en-US"/>
        </w:rPr>
        <w:t>Ann. Stat.</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2001</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29(4)</w:t>
      </w:r>
      <w:r>
        <w:rPr>
          <w:rStyle w:val="t286pc"/>
          <w:rFonts w:cs="Arial" w:ascii="Palatino Linotype" w:hAnsi="Palatino Linotype"/>
          <w:sz w:val="18"/>
          <w:szCs w:val="18"/>
          <w:lang w:val="en-US"/>
        </w:rPr>
        <w:t>, 1165–1188. https://doi.org/10.1214/aos/1013699998</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Clifford, P.; Richardson, S.; Hémon, D. Assessing the Significance of the Correlation Between Two Spatial Processes. </w:t>
      </w:r>
      <w:r>
        <w:rPr>
          <w:rStyle w:val="Emphasis"/>
          <w:rFonts w:cs="Arial" w:ascii="Palatino Linotype" w:hAnsi="Palatino Linotype"/>
          <w:sz w:val="18"/>
          <w:szCs w:val="18"/>
          <w:lang w:val="en-US"/>
        </w:rPr>
        <w:t>Biometrics</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1989</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45(1)</w:t>
      </w:r>
      <w:r>
        <w:rPr>
          <w:rStyle w:val="t286pc"/>
          <w:rFonts w:cs="Arial" w:ascii="Palatino Linotype" w:hAnsi="Palatino Linotype"/>
          <w:sz w:val="18"/>
          <w:szCs w:val="18"/>
          <w:lang w:val="en-US"/>
        </w:rPr>
        <w:t>, 123–134. https://doi.org/10.2307/2532039</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Dutilleul, P. Modifying the t Test for Assessing the Correlation Between Two Spatial Processes. </w:t>
      </w:r>
      <w:r>
        <w:rPr>
          <w:rStyle w:val="Emphasis"/>
          <w:rFonts w:cs="Arial" w:ascii="Palatino Linotype" w:hAnsi="Palatino Linotype"/>
          <w:sz w:val="18"/>
          <w:szCs w:val="18"/>
          <w:lang w:val="en-US"/>
        </w:rPr>
        <w:t>Biometrics</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1993</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49</w:t>
      </w:r>
      <w:r>
        <w:rPr>
          <w:rStyle w:val="t286pc"/>
          <w:rFonts w:cs="Arial" w:ascii="Palatino Linotype" w:hAnsi="Palatino Linotype"/>
          <w:sz w:val="18"/>
          <w:szCs w:val="18"/>
          <w:lang w:val="en-US"/>
        </w:rPr>
        <w:t>, 305–314. https://doi.org/10.2307/2532625</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Goovaerts, P. Geostatistics in Soil Science: State-of-the-Art and Perspectives. </w:t>
      </w:r>
      <w:r>
        <w:rPr>
          <w:rStyle w:val="Emphasis"/>
          <w:rFonts w:cs="Arial" w:ascii="Palatino Linotype" w:hAnsi="Palatino Linotype"/>
          <w:sz w:val="18"/>
          <w:szCs w:val="18"/>
          <w:lang w:val="en-US"/>
        </w:rPr>
        <w:t>Geoderma</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1999</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89 (1-2)</w:t>
      </w:r>
      <w:r>
        <w:rPr>
          <w:rStyle w:val="t286pc"/>
          <w:rFonts w:cs="Arial" w:ascii="Palatino Linotype" w:hAnsi="Palatino Linotype"/>
          <w:sz w:val="18"/>
          <w:szCs w:val="18"/>
          <w:lang w:val="en-US"/>
        </w:rPr>
        <w:t>, 1–45. https://doi.org/10.1016/S0016-7061(98)00078-0</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cs="Arial" w:ascii="Palatino Linotype" w:hAnsi="Palatino Linotype"/>
          <w:sz w:val="18"/>
          <w:szCs w:val="18"/>
          <w:lang w:val="en-US"/>
        </w:rPr>
        <w:t xml:space="preserve">Webster, R.; Oliver, M.A. </w:t>
      </w:r>
      <w:r>
        <w:rPr>
          <w:rFonts w:cs="Arial" w:ascii="Palatino Linotype" w:hAnsi="Palatino Linotype"/>
          <w:i/>
          <w:iCs/>
          <w:sz w:val="18"/>
          <w:szCs w:val="18"/>
          <w:lang w:val="en-US"/>
        </w:rPr>
        <w:t>Geostatistics for Environmental Scientists, 2nd ed</w:t>
      </w:r>
      <w:r>
        <w:rPr>
          <w:rFonts w:cs="Arial" w:ascii="Palatino Linotype" w:hAnsi="Palatino Linotype"/>
          <w:sz w:val="18"/>
          <w:szCs w:val="18"/>
          <w:lang w:val="en-US"/>
        </w:rPr>
        <w:t xml:space="preserve">.; John Wiley &amp; Sons: Chichester, UK, 2007. </w:t>
      </w:r>
      <w:hyperlink r:id="rId23">
        <w:r>
          <w:rPr>
            <w:rStyle w:val="Hyperlink"/>
            <w:rFonts w:cs="Arial" w:ascii="Palatino Linotype" w:hAnsi="Palatino Linotype"/>
            <w:color w:val="auto"/>
            <w:sz w:val="18"/>
            <w:szCs w:val="18"/>
            <w:u w:val="none"/>
            <w:lang w:val="en-US"/>
          </w:rPr>
          <w:t>https://doi.org/10.1002/9780470517277</w:t>
        </w:r>
      </w:hyperlink>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Conover, W.J. </w:t>
      </w:r>
      <w:r>
        <w:rPr>
          <w:rStyle w:val="Emphasis"/>
          <w:rFonts w:cs="Arial" w:ascii="Palatino Linotype" w:hAnsi="Palatino Linotype"/>
          <w:sz w:val="18"/>
          <w:szCs w:val="18"/>
          <w:lang w:val="en-US"/>
        </w:rPr>
        <w:t>Practical Nonparametric Statistics</w:t>
      </w:r>
      <w:r>
        <w:rPr>
          <w:rStyle w:val="t286pc"/>
          <w:rFonts w:cs="Arial" w:ascii="Palatino Linotype" w:hAnsi="Palatino Linotype"/>
          <w:sz w:val="18"/>
          <w:szCs w:val="18"/>
          <w:lang w:val="en-US"/>
        </w:rPr>
        <w:t xml:space="preserve">, 3rd ed.; John Wiley &amp; Sons: New York, NY, USA, </w:t>
      </w:r>
      <w:r>
        <w:rPr>
          <w:rStyle w:val="Strong"/>
          <w:rFonts w:cs="Arial" w:ascii="Palatino Linotype" w:hAnsi="Palatino Linotype"/>
          <w:sz w:val="18"/>
          <w:szCs w:val="18"/>
          <w:lang w:val="en-US"/>
        </w:rPr>
        <w:t>1999</w:t>
      </w:r>
      <w:r>
        <w:rPr>
          <w:rStyle w:val="t286pc"/>
          <w:rFonts w:cs="Arial" w:ascii="Palatino Linotype" w:hAnsi="Palatino Linotype"/>
          <w:sz w:val="18"/>
          <w:szCs w:val="18"/>
          <w:lang w:val="en-US"/>
        </w:rPr>
        <w:t>.</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Legendre, P.; Legendre, L. </w:t>
      </w:r>
      <w:r>
        <w:rPr>
          <w:rStyle w:val="Emphasis"/>
          <w:rFonts w:cs="Arial" w:ascii="Palatino Linotype" w:hAnsi="Palatino Linotype"/>
          <w:sz w:val="18"/>
          <w:szCs w:val="18"/>
          <w:lang w:val="en-US"/>
        </w:rPr>
        <w:t>Numerical Ecology</w:t>
      </w:r>
      <w:r>
        <w:rPr>
          <w:rStyle w:val="t286pc"/>
          <w:rFonts w:cs="Arial" w:ascii="Palatino Linotype" w:hAnsi="Palatino Linotype"/>
          <w:sz w:val="18"/>
          <w:szCs w:val="18"/>
          <w:lang w:val="en-US"/>
        </w:rPr>
        <w:t xml:space="preserve">, 3rd ed.; Elsevier: Amsterdam, The Netherlands, </w:t>
      </w:r>
      <w:r>
        <w:rPr>
          <w:rStyle w:val="Strong"/>
          <w:rFonts w:cs="Arial" w:ascii="Palatino Linotype" w:hAnsi="Palatino Linotype"/>
          <w:sz w:val="18"/>
          <w:szCs w:val="18"/>
          <w:lang w:val="en-US"/>
        </w:rPr>
        <w:t>2012</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cs="Arial" w:ascii="Palatino Linotype" w:hAnsi="Palatino Linotype"/>
          <w:sz w:val="18"/>
          <w:szCs w:val="18"/>
          <w:lang w:val="en-US"/>
        </w:rPr>
        <w:t xml:space="preserve">Wilding, L.P. Spatial Variability: Its Documentation, Accommodation, and Implication to Soil Surveys. In </w:t>
      </w:r>
      <w:r>
        <w:rPr>
          <w:rFonts w:cs="Arial" w:ascii="Palatino Linotype" w:hAnsi="Palatino Linotype"/>
          <w:i/>
          <w:iCs/>
          <w:sz w:val="18"/>
          <w:szCs w:val="18"/>
          <w:lang w:val="en-US"/>
        </w:rPr>
        <w:t>Soil Spatial Variability</w:t>
      </w:r>
      <w:r>
        <w:rPr>
          <w:rFonts w:cs="Arial" w:ascii="Palatino Linotype" w:hAnsi="Palatino Linotype"/>
          <w:sz w:val="18"/>
          <w:szCs w:val="18"/>
          <w:lang w:val="en-US"/>
        </w:rPr>
        <w:t>; Nielsen, D.R., Bouma, J., Eds.; Pudoc: Wageningen, The Netherlands, 1985; pp. 166–189.</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eastAsia="SimSun" w:cs="Arial" w:ascii="Palatino Linotype" w:hAnsi="Palatino Linotype"/>
          <w:color w:val="000000"/>
          <w:sz w:val="18"/>
          <w:szCs w:val="18"/>
          <w:lang w:val="en-US" w:eastAsia="zh-CN"/>
        </w:rPr>
        <w:t xml:space="preserve">Barré, P.; Fernandez-Ugalde, O.; Virto, I.; Velde, B.; Chenu, C. Impact of Phyllosilicate Mineralogy on Organic Carbon Stabilization in Soils: Incomplete Knowledge and Exciting Prospects. </w:t>
      </w:r>
      <w:r>
        <w:rPr>
          <w:rFonts w:eastAsia="SimSun" w:cs="Arial" w:ascii="Palatino Linotype" w:hAnsi="Palatino Linotype"/>
          <w:i/>
          <w:iCs/>
          <w:color w:val="000000"/>
          <w:sz w:val="18"/>
          <w:szCs w:val="18"/>
          <w:lang w:val="en-US" w:eastAsia="zh-CN"/>
        </w:rPr>
        <w:t>Geoderma</w:t>
      </w:r>
      <w:r>
        <w:rPr>
          <w:rFonts w:eastAsia="SimSun" w:cs="Arial" w:ascii="Palatino Linotype" w:hAnsi="Palatino Linotype"/>
          <w:color w:val="000000"/>
          <w:sz w:val="18"/>
          <w:szCs w:val="18"/>
          <w:lang w:val="en-US" w:eastAsia="zh-CN"/>
        </w:rPr>
        <w:t xml:space="preserve"> </w:t>
      </w:r>
      <w:r>
        <w:rPr>
          <w:rFonts w:eastAsia="SimSun" w:cs="Arial" w:ascii="Palatino Linotype" w:hAnsi="Palatino Linotype"/>
          <w:b/>
          <w:bCs/>
          <w:color w:val="000000"/>
          <w:sz w:val="18"/>
          <w:szCs w:val="18"/>
          <w:lang w:val="en-US" w:eastAsia="zh-CN"/>
        </w:rPr>
        <w:t>2014</w:t>
      </w:r>
      <w:r>
        <w:rPr>
          <w:rFonts w:eastAsia="SimSun" w:cs="Arial" w:ascii="Palatino Linotype" w:hAnsi="Palatino Linotype"/>
          <w:color w:val="000000"/>
          <w:sz w:val="18"/>
          <w:szCs w:val="18"/>
          <w:lang w:val="en-US" w:eastAsia="zh-CN"/>
        </w:rPr>
        <w:t xml:space="preserve">, </w:t>
      </w:r>
      <w:r>
        <w:rPr>
          <w:rFonts w:eastAsia="SimSun" w:cs="Arial" w:ascii="Palatino Linotype" w:hAnsi="Palatino Linotype"/>
          <w:i/>
          <w:iCs/>
          <w:color w:val="000000"/>
          <w:sz w:val="18"/>
          <w:szCs w:val="18"/>
          <w:lang w:val="en-US" w:eastAsia="zh-CN"/>
        </w:rPr>
        <w:t>235–236</w:t>
      </w:r>
      <w:r>
        <w:rPr>
          <w:rFonts w:eastAsia="SimSun" w:cs="Arial" w:ascii="Palatino Linotype" w:hAnsi="Palatino Linotype"/>
          <w:color w:val="000000"/>
          <w:sz w:val="18"/>
          <w:szCs w:val="18"/>
          <w:lang w:val="en-US" w:eastAsia="zh-CN"/>
        </w:rPr>
        <w:t>, 382–395. https://doi.org/10.1016/j.geoderma.2014.07.029</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Cambardella, C.A.; Moorman, T.B.; Novak, J.M.; Parkin, T.B.; Karlen, D.L.; Turco, R.F.; Konopka, A.E. Field-Scale Variability of Soil Properties in Central Iowa Soils. </w:t>
      </w:r>
      <w:r>
        <w:rPr>
          <w:rStyle w:val="Emphasis"/>
          <w:rFonts w:cs="Arial" w:ascii="Palatino Linotype" w:hAnsi="Palatino Linotype"/>
          <w:sz w:val="18"/>
          <w:szCs w:val="18"/>
          <w:lang w:val="en-US"/>
        </w:rPr>
        <w:t>Soil Sci. Soc. Am. J.</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1994</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58(5)</w:t>
      </w:r>
      <w:r>
        <w:rPr>
          <w:rStyle w:val="t286pc"/>
          <w:rFonts w:cs="Arial" w:ascii="Palatino Linotype" w:hAnsi="Palatino Linotype"/>
          <w:sz w:val="18"/>
          <w:szCs w:val="18"/>
          <w:lang w:val="en-US"/>
        </w:rPr>
        <w:t>, 1501–1511. https://doi.org/10.2136/sssaj1994.03615995005800050033x</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Kerry, R.; Oliver, M.A. Average Variograms to Guide Soil Sampling. </w:t>
      </w:r>
      <w:r>
        <w:rPr>
          <w:rStyle w:val="Emphasis"/>
          <w:rFonts w:cs="Arial" w:ascii="Palatino Linotype" w:hAnsi="Palatino Linotype"/>
          <w:sz w:val="18"/>
          <w:szCs w:val="18"/>
          <w:lang w:val="en-US"/>
        </w:rPr>
        <w:t>Int. J. Appl. Earth Obs. Geoinf.</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2004</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5(4)</w:t>
      </w:r>
      <w:r>
        <w:rPr>
          <w:rStyle w:val="t286pc"/>
          <w:rFonts w:cs="Arial" w:ascii="Palatino Linotype" w:hAnsi="Palatino Linotype"/>
          <w:sz w:val="18"/>
          <w:szCs w:val="18"/>
          <w:lang w:val="en-US"/>
        </w:rPr>
        <w:t>, 307–325. https://doi.org/10.1016/j.jag.2004.07.005</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Legendre, P. Spatial Autocorrelation: Trouble or New Paradigm? </w:t>
      </w:r>
      <w:r>
        <w:rPr>
          <w:rStyle w:val="Emphasis"/>
          <w:rFonts w:cs="Arial" w:ascii="Palatino Linotype" w:hAnsi="Palatino Linotype"/>
          <w:sz w:val="18"/>
          <w:szCs w:val="18"/>
          <w:lang w:val="en-US"/>
        </w:rPr>
        <w:t>Ecology</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1993</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74(6)</w:t>
      </w:r>
      <w:r>
        <w:rPr>
          <w:rStyle w:val="t286pc"/>
          <w:rFonts w:cs="Arial" w:ascii="Palatino Linotype" w:hAnsi="Palatino Linotype"/>
          <w:sz w:val="18"/>
          <w:szCs w:val="18"/>
          <w:lang w:val="en-US"/>
        </w:rPr>
        <w:t>, 1659–1673. https://doi.org/10.2307/1939924</w:t>
      </w:r>
    </w:p>
    <w:p>
      <w:pPr>
        <w:pStyle w:val="z1qcye"/>
        <w:numPr>
          <w:ilvl w:val="0"/>
          <w:numId w:val="9"/>
        </w:numPr>
        <w:spacing w:beforeAutospacing="0" w:before="0" w:afterAutospacing="0" w:after="0"/>
        <w:jc w:val="both"/>
        <w:rPr>
          <w:rFonts w:ascii="Palatino Linotype" w:hAnsi="Palatino Linotype" w:cs="Arial"/>
          <w:sz w:val="18"/>
          <w:szCs w:val="18"/>
        </w:rPr>
      </w:pPr>
      <w:r>
        <w:rPr>
          <w:rStyle w:val="t286pc"/>
          <w:rFonts w:cs="Arial" w:ascii="Palatino Linotype" w:hAnsi="Palatino Linotype"/>
          <w:sz w:val="18"/>
          <w:szCs w:val="18"/>
          <w:lang w:val="fr-FR"/>
        </w:rPr>
        <w:t xml:space="preserve">Roberts, D.R.; Bahn, V.; Ciuti, S.; Boyce, M.S.; Elith, J.; Guillera-Arroita, G.; Hauenstein, S.; Lahoz-Monfort, J.J.; Schröder, B.; Thuiller, W.; et al. </w:t>
      </w:r>
      <w:r>
        <w:rPr>
          <w:rStyle w:val="t286pc"/>
          <w:rFonts w:cs="Arial" w:ascii="Palatino Linotype" w:hAnsi="Palatino Linotype"/>
          <w:sz w:val="18"/>
          <w:szCs w:val="18"/>
          <w:lang w:val="en-US"/>
        </w:rPr>
        <w:t xml:space="preserve">Cross-Validation Strategies for Data with Temporal, Spatial, Hierarchical, or Phylogenetic Structure. </w:t>
      </w:r>
      <w:r>
        <w:rPr>
          <w:rStyle w:val="Emphasis"/>
          <w:rFonts w:cs="Arial" w:ascii="Palatino Linotype" w:hAnsi="Palatino Linotype"/>
          <w:sz w:val="18"/>
          <w:szCs w:val="18"/>
        </w:rPr>
        <w:t>Ecography</w:t>
      </w:r>
      <w:r>
        <w:rPr>
          <w:rStyle w:val="t286pc"/>
          <w:rFonts w:cs="Arial" w:ascii="Palatino Linotype" w:hAnsi="Palatino Linotype"/>
          <w:sz w:val="18"/>
          <w:szCs w:val="18"/>
        </w:rPr>
        <w:t xml:space="preserve"> </w:t>
      </w:r>
      <w:r>
        <w:rPr>
          <w:rStyle w:val="Strong"/>
          <w:rFonts w:cs="Arial" w:ascii="Palatino Linotype" w:hAnsi="Palatino Linotype"/>
          <w:sz w:val="18"/>
          <w:szCs w:val="18"/>
        </w:rPr>
        <w:t>2017</w:t>
      </w:r>
      <w:r>
        <w:rPr>
          <w:rStyle w:val="t286pc"/>
          <w:rFonts w:cs="Arial" w:ascii="Palatino Linotype" w:hAnsi="Palatino Linotype"/>
          <w:sz w:val="18"/>
          <w:szCs w:val="18"/>
        </w:rPr>
        <w:t xml:space="preserve">, </w:t>
      </w:r>
      <w:r>
        <w:rPr>
          <w:rStyle w:val="Emphasis"/>
          <w:rFonts w:cs="Arial" w:ascii="Palatino Linotype" w:hAnsi="Palatino Linotype"/>
          <w:sz w:val="18"/>
          <w:szCs w:val="18"/>
        </w:rPr>
        <w:t>40</w:t>
      </w:r>
      <w:r>
        <w:rPr>
          <w:rStyle w:val="t286pc"/>
          <w:rFonts w:cs="Arial" w:ascii="Palatino Linotype" w:hAnsi="Palatino Linotype"/>
          <w:sz w:val="18"/>
          <w:szCs w:val="18"/>
        </w:rPr>
        <w:t>, 913–929. https://doi.org/10.1111/ecog.02881</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Wadoux, A.M.J.C.; Heuvelink, G.B.M.; de Bruin, S.; Brus, D.J. Spatial Cross-Validation Is Not the Right Way to Evaluate Map Accuracy. </w:t>
      </w:r>
      <w:r>
        <w:rPr>
          <w:rStyle w:val="Emphasis"/>
          <w:rFonts w:cs="Arial" w:ascii="Palatino Linotype" w:hAnsi="Palatino Linotype"/>
          <w:sz w:val="18"/>
          <w:szCs w:val="18"/>
          <w:lang w:val="en-US"/>
        </w:rPr>
        <w:t>Ecol. Modell.</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2021</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457</w:t>
      </w:r>
      <w:r>
        <w:rPr>
          <w:rStyle w:val="t286pc"/>
          <w:rFonts w:cs="Arial" w:ascii="Palatino Linotype" w:hAnsi="Palatino Linotype"/>
          <w:sz w:val="18"/>
          <w:szCs w:val="18"/>
          <w:lang w:val="en-US"/>
        </w:rPr>
        <w:t>, 109692. https://doi.org/10.1016/j.ecolmodel.2021.109692</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Jenny, H. </w:t>
      </w:r>
      <w:r>
        <w:rPr>
          <w:rStyle w:val="Emphasis"/>
          <w:rFonts w:cs="Arial" w:ascii="Palatino Linotype" w:hAnsi="Palatino Linotype"/>
          <w:sz w:val="18"/>
          <w:szCs w:val="18"/>
          <w:lang w:val="en-US"/>
        </w:rPr>
        <w:t>Factors of Soil Formation: A System of Quantitative Pedology</w:t>
      </w:r>
      <w:r>
        <w:rPr>
          <w:rStyle w:val="t286pc"/>
          <w:rFonts w:cs="Arial" w:ascii="Palatino Linotype" w:hAnsi="Palatino Linotype"/>
          <w:sz w:val="18"/>
          <w:szCs w:val="18"/>
          <w:lang w:val="en-US"/>
        </w:rPr>
        <w:t xml:space="preserve">; McGraw-Hill: New York, NY, USA, </w:t>
      </w:r>
      <w:r>
        <w:rPr>
          <w:rStyle w:val="Strong"/>
          <w:rFonts w:cs="Arial" w:ascii="Palatino Linotype" w:hAnsi="Palatino Linotype"/>
          <w:sz w:val="18"/>
          <w:szCs w:val="18"/>
          <w:lang w:val="en-US"/>
        </w:rPr>
        <w:t>1941</w:t>
      </w:r>
      <w:r>
        <w:rPr>
          <w:rStyle w:val="t286pc"/>
          <w:rFonts w:cs="Arial" w:ascii="Palatino Linotype" w:hAnsi="Palatino Linotype"/>
          <w:sz w:val="18"/>
          <w:szCs w:val="18"/>
          <w:lang w:val="en-US"/>
        </w:rPr>
        <w:t>.</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Gitelson, A.A.; Merzlyak, M.N. Signature Analysis of Leaf Reflectance Spectra: Algorithm Development for Remote Sensing of Chlorophyll. </w:t>
      </w:r>
      <w:r>
        <w:rPr>
          <w:rStyle w:val="Emphasis"/>
          <w:rFonts w:cs="Arial" w:ascii="Palatino Linotype" w:hAnsi="Palatino Linotype"/>
          <w:sz w:val="18"/>
          <w:szCs w:val="18"/>
          <w:lang w:val="en-US"/>
        </w:rPr>
        <w:t>J. Plant Physiol.</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1996</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148(3-4)</w:t>
      </w:r>
      <w:r>
        <w:rPr>
          <w:rStyle w:val="t286pc"/>
          <w:rFonts w:cs="Arial" w:ascii="Palatino Linotype" w:hAnsi="Palatino Linotype"/>
          <w:sz w:val="18"/>
          <w:szCs w:val="18"/>
          <w:lang w:val="en-US"/>
        </w:rPr>
        <w:t>, 494–500. https://doi.org/10.1016/S0176-1617(96)80284-7</w:t>
      </w:r>
    </w:p>
    <w:p>
      <w:pPr>
        <w:pStyle w:val="z1qcye"/>
        <w:numPr>
          <w:ilvl w:val="0"/>
          <w:numId w:val="9"/>
        </w:numPr>
        <w:spacing w:beforeAutospacing="0" w:before="0" w:afterAutospacing="0" w:after="0"/>
        <w:jc w:val="both"/>
        <w:rPr>
          <w:rStyle w:val="t286pc"/>
          <w:rFonts w:ascii="Palatino Linotype" w:hAnsi="Palatino Linotype" w:cs="Arial"/>
          <w:sz w:val="18"/>
          <w:szCs w:val="18"/>
          <w:lang w:val="en-US"/>
        </w:rPr>
      </w:pPr>
      <w:r>
        <w:rPr>
          <w:rStyle w:val="t286pc"/>
          <w:rFonts w:cs="Arial" w:ascii="Palatino Linotype" w:hAnsi="Palatino Linotype"/>
          <w:sz w:val="18"/>
          <w:szCs w:val="18"/>
          <w:lang w:val="en-US"/>
        </w:rPr>
        <w:t xml:space="preserve">McBratney, A.B.; Mendonça Santos, M.L.; Minasny, B. On Digital Soil Mapping. </w:t>
      </w:r>
      <w:r>
        <w:rPr>
          <w:rStyle w:val="Emphasis"/>
          <w:rFonts w:cs="Arial" w:ascii="Palatino Linotype" w:hAnsi="Palatino Linotype"/>
          <w:sz w:val="18"/>
          <w:szCs w:val="18"/>
          <w:lang w:val="en-US"/>
        </w:rPr>
        <w:t>Geoderma</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2003</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117 (1-2)</w:t>
      </w:r>
      <w:r>
        <w:rPr>
          <w:rStyle w:val="t286pc"/>
          <w:rFonts w:cs="Arial" w:ascii="Palatino Linotype" w:hAnsi="Palatino Linotype"/>
          <w:sz w:val="18"/>
          <w:szCs w:val="18"/>
          <w:lang w:val="en-US"/>
        </w:rPr>
        <w:t>, 3–52. https://doi.org/10.1016/S0016-7061(03)00223-4</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Stenberg, B.; Viscarra Rossel, R.A.; Mouazen, A.M.; Wetterlind, J. Visible and Near Infrared Spectroscopy in Soil Science. </w:t>
      </w:r>
      <w:r>
        <w:rPr>
          <w:rStyle w:val="Emphasis"/>
          <w:rFonts w:cs="Arial" w:ascii="Palatino Linotype" w:hAnsi="Palatino Linotype"/>
          <w:sz w:val="18"/>
          <w:szCs w:val="18"/>
          <w:lang w:val="en-US"/>
        </w:rPr>
        <w:t>Adv. Agron.</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2010</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107</w:t>
      </w:r>
      <w:r>
        <w:rPr>
          <w:rStyle w:val="t286pc"/>
          <w:rFonts w:cs="Arial" w:ascii="Palatino Linotype" w:hAnsi="Palatino Linotype"/>
          <w:sz w:val="18"/>
          <w:szCs w:val="18"/>
          <w:lang w:val="en-US"/>
        </w:rPr>
        <w:t>, 163–215. https://doi.org/10.1016/S0065-2113(10)07005-7</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Style w:val="t286pc"/>
          <w:rFonts w:cs="Arial" w:ascii="Palatino Linotype" w:hAnsi="Palatino Linotype"/>
          <w:sz w:val="18"/>
          <w:szCs w:val="18"/>
          <w:lang w:val="en-US"/>
        </w:rPr>
        <w:t xml:space="preserve">Silvero, N.E.Q.; Demattê, J.A.M.; Amorim, M.T.A.; Santos, N.R.B.; Rizzo, R.; Safanelli, J.L.; Poppiel, R.R.; Mendes, W.S.; Bonfatti, B.R. Soil Variability and Quantification Based on Sentinel-2 and Landsat-8 Bare Soil Images: A Comparison. </w:t>
      </w:r>
      <w:r>
        <w:rPr>
          <w:rStyle w:val="Emphasis"/>
          <w:rFonts w:cs="Arial" w:ascii="Palatino Linotype" w:hAnsi="Palatino Linotype"/>
          <w:sz w:val="18"/>
          <w:szCs w:val="18"/>
          <w:lang w:val="en-US"/>
        </w:rPr>
        <w:t>Remote Sensing of Environment</w:t>
      </w:r>
      <w:r>
        <w:rPr>
          <w:rStyle w:val="t286pc"/>
          <w:rFonts w:cs="Arial" w:ascii="Palatino Linotype" w:hAnsi="Palatino Linotype"/>
          <w:sz w:val="18"/>
          <w:szCs w:val="18"/>
          <w:lang w:val="en-US"/>
        </w:rPr>
        <w:t xml:space="preserve"> </w:t>
      </w:r>
      <w:r>
        <w:rPr>
          <w:rStyle w:val="Strong"/>
          <w:rFonts w:cs="Arial" w:ascii="Palatino Linotype" w:hAnsi="Palatino Linotype"/>
          <w:sz w:val="18"/>
          <w:szCs w:val="18"/>
          <w:lang w:val="en-US"/>
        </w:rPr>
        <w:t>2021</w:t>
      </w:r>
      <w:r>
        <w:rPr>
          <w:rStyle w:val="t286pc"/>
          <w:rFonts w:cs="Arial" w:ascii="Palatino Linotype" w:hAnsi="Palatino Linotype"/>
          <w:sz w:val="18"/>
          <w:szCs w:val="18"/>
          <w:lang w:val="en-US"/>
        </w:rPr>
        <w:t xml:space="preserve">, </w:t>
      </w:r>
      <w:r>
        <w:rPr>
          <w:rStyle w:val="Emphasis"/>
          <w:rFonts w:cs="Arial" w:ascii="Palatino Linotype" w:hAnsi="Palatino Linotype"/>
          <w:sz w:val="18"/>
          <w:szCs w:val="18"/>
          <w:lang w:val="en-US"/>
        </w:rPr>
        <w:t>252</w:t>
      </w:r>
      <w:r>
        <w:rPr>
          <w:rStyle w:val="t286pc"/>
          <w:rFonts w:cs="Arial" w:ascii="Palatino Linotype" w:hAnsi="Palatino Linotype"/>
          <w:sz w:val="18"/>
          <w:szCs w:val="18"/>
          <w:lang w:val="en-US"/>
        </w:rPr>
        <w:t>, 112117. https://doi.org/10.1016/j.rse.2020.112117</w:t>
      </w:r>
    </w:p>
    <w:p>
      <w:pPr>
        <w:pStyle w:val="z1qcye"/>
        <w:numPr>
          <w:ilvl w:val="0"/>
          <w:numId w:val="9"/>
        </w:numPr>
        <w:spacing w:beforeAutospacing="0" w:before="0" w:afterAutospacing="0" w:after="0"/>
        <w:jc w:val="both"/>
        <w:rPr>
          <w:rFonts w:ascii="Palatino Linotype" w:hAnsi="Palatino Linotype" w:cs="Arial"/>
          <w:sz w:val="18"/>
          <w:szCs w:val="18"/>
          <w:lang w:val="en-US"/>
        </w:rPr>
      </w:pPr>
      <w:r>
        <w:rPr>
          <w:rFonts w:cs="Arial" w:ascii="Palatino Linotype" w:hAnsi="Palatino Linotype"/>
          <w:sz w:val="18"/>
          <w:szCs w:val="18"/>
          <w:lang w:val="en-US"/>
        </w:rPr>
        <w:t>Dvorakova, K.; Shi, P.; Limbourg, Q.; van Wesemael, B. Soil Organic Carbon Mapping from Remote Sensing: The Effect of Crop Residues. </w:t>
      </w:r>
      <w:r>
        <w:rPr>
          <w:rFonts w:cs="Arial" w:ascii="Palatino Linotype" w:hAnsi="Palatino Linotype"/>
          <w:i/>
          <w:iCs/>
          <w:sz w:val="18"/>
          <w:szCs w:val="18"/>
          <w:lang w:val="en-US"/>
        </w:rPr>
        <w:t>Remote Sens.</w:t>
      </w:r>
      <w:r>
        <w:rPr>
          <w:rFonts w:cs="Arial" w:ascii="Palatino Linotype" w:hAnsi="Palatino Linotype"/>
          <w:sz w:val="18"/>
          <w:szCs w:val="18"/>
          <w:lang w:val="en-US"/>
        </w:rPr>
        <w:t> </w:t>
      </w:r>
      <w:r>
        <w:rPr>
          <w:rFonts w:cs="Arial" w:ascii="Palatino Linotype" w:hAnsi="Palatino Linotype"/>
          <w:b/>
          <w:bCs/>
          <w:sz w:val="18"/>
          <w:szCs w:val="18"/>
          <w:lang w:val="en-US"/>
        </w:rPr>
        <w:t>2020</w:t>
      </w:r>
      <w:r>
        <w:rPr>
          <w:rFonts w:cs="Arial" w:ascii="Palatino Linotype" w:hAnsi="Palatino Linotype"/>
          <w:sz w:val="18"/>
          <w:szCs w:val="18"/>
          <w:lang w:val="en-US"/>
        </w:rPr>
        <w:t>, </w:t>
      </w:r>
      <w:r>
        <w:rPr>
          <w:rFonts w:cs="Arial" w:ascii="Palatino Linotype" w:hAnsi="Palatino Linotype"/>
          <w:i/>
          <w:iCs/>
          <w:sz w:val="18"/>
          <w:szCs w:val="18"/>
          <w:lang w:val="en-US"/>
        </w:rPr>
        <w:t>12</w:t>
      </w:r>
      <w:r>
        <w:rPr>
          <w:rFonts w:cs="Arial" w:ascii="Palatino Linotype" w:hAnsi="Palatino Linotype"/>
          <w:sz w:val="18"/>
          <w:szCs w:val="18"/>
          <w:lang w:val="en-US"/>
        </w:rPr>
        <w:t>, 1913. https://doi.org/10.3390/rs12121913</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Palatino Linotype">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Cambria Math">
    <w:charset w:val="00" w:characterSet="windows-1252"/>
    <w:family w:val="roman"/>
    <w:pitch w:val="variable"/>
  </w:font>
  <w:font w:name="Palatino Linotype">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Soil Syst. </w:t>
    </w:r>
    <w:r>
      <w:rPr>
        <w:b/>
        <w:bCs/>
        <w:i/>
        <w:iCs/>
        <w:sz w:val="16"/>
        <w:szCs w:val="16"/>
      </w:rPr>
      <w:t>2026</w:t>
    </w:r>
    <w:r>
      <w:rPr>
        <w:bCs/>
        <w:i/>
        <w:iCs/>
        <w:sz w:val="16"/>
        <w:szCs w:val="16"/>
      </w:rPr>
      <w:t>, 10,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Soil Syst. </w:t>
    </w:r>
    <w:r>
      <w:rPr>
        <w:b/>
        <w:i/>
        <w:sz w:val="16"/>
      </w:rPr>
      <w:t>2026</w:t>
    </w:r>
    <w:r>
      <w:rPr>
        <w:i/>
        <w:sz w:val="16"/>
      </w:rPr>
      <w:t>, 10, x FOR PEER REVIEW</w:t>
    </w:r>
    <w:r>
      <w:rPr>
        <w:sz w:val="16"/>
      </w:rPr>
      <w:tab/>
    </w:r>
    <w:r>
      <w:rPr>
        <w:sz w:val="16"/>
      </w:rPr>
      <w:fldChar w:fldCharType="begin"/>
    </w:r>
    <w:r>
      <w:rPr>
        <w:sz w:val="16"/>
      </w:rPr>
      <w:instrText xml:space="preserve"> PAGE </w:instrText>
    </w:r>
    <w:r>
      <w:rPr>
        <w:sz w:val="16"/>
      </w:rPr>
      <w:fldChar w:fldCharType="separate"/>
    </w:r>
    <w:r>
      <w:rPr>
        <w:sz w:val="16"/>
      </w:rPr>
      <w:t>34</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34</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87" w:type="dxa"/>
      <w:jc w:val="start"/>
      <w:tblInd w:w="0" w:type="dxa"/>
      <w:tblLayout w:type="fixed"/>
      <w:tblCellMar>
        <w:top w:w="0" w:type="dxa"/>
        <w:start w:w="0" w:type="dxa"/>
        <w:bottom w:w="0" w:type="dxa"/>
        <w:end w:w="0" w:type="dxa"/>
      </w:tblCellMar>
      <w:tblLook w:firstRow="1" w:noVBand="1" w:lastRow="0" w:firstColumn="1" w:lastColumn="0" w:noHBand="0" w:val="04a0"/>
    </w:tblPr>
    <w:tblGrid>
      <w:gridCol w:w="3677"/>
      <w:gridCol w:w="4537"/>
      <w:gridCol w:w="2273"/>
    </w:tblGrid>
    <w:tr>
      <w:trPr>
        <w:trHeight w:val="686" w:hRule="atLeast"/>
      </w:trPr>
      <w:tc>
        <w:tcPr>
          <w:tcW w:w="3677" w:type="dxa"/>
          <w:tcBorders/>
          <w:vAlign w:val="center"/>
        </w:tcPr>
        <w:p>
          <w:pPr>
            <w:pStyle w:val="Header"/>
            <w:pBdr>
              <w:bottom w:val="nil"/>
            </w:pBdr>
            <w:jc w:val="end"/>
            <w:rPr>
              <w:rFonts w:eastAsia="DengXian"/>
              <w:b/>
              <w:bCs/>
            </w:rPr>
          </w:pPr>
          <w:r>
            <w:rPr/>
            <w:drawing>
              <wp:inline distT="0" distB="0" distL="0" distR="0">
                <wp:extent cx="539750" cy="36004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1"/>
                        <a:stretch>
                          <a:fillRect/>
                        </a:stretch>
                      </pic:blipFill>
                      <pic:spPr bwMode="auto">
                        <a:xfrm>
                          <a:off x="0" y="0"/>
                          <a:ext cx="539750" cy="360045"/>
                        </a:xfrm>
                        <a:prstGeom prst="rect">
                          <a:avLst/>
                        </a:prstGeom>
                        <a:noFill/>
                      </pic:spPr>
                    </pic:pic>
                  </a:graphicData>
                </a:graphic>
              </wp:inline>
            </w:drawing>
          </w:r>
        </w:p>
      </w:tc>
      <w:tc>
        <w:tcPr>
          <w:tcW w:w="4537" w:type="dxa"/>
          <w:tcBorders/>
          <w:vAlign w:val="center"/>
        </w:tcPr>
        <w:p>
          <w:pPr>
            <w:pStyle w:val="Header"/>
            <w:pBdr>
              <w:bottom w:val="nil"/>
            </w:pBdr>
            <w:rPr>
              <w:rFonts w:eastAsia="DengXian"/>
              <w:b/>
              <w:bCs/>
            </w:rPr>
          </w:pPr>
          <w:r>
            <w:rPr>
              <w:rFonts w:eastAsia="DengXian"/>
              <w:b/>
              <w:bCs/>
            </w:rPr>
          </w:r>
        </w:p>
      </w:tc>
      <w:tc>
        <w:tcPr>
          <w:tcW w:w="2273" w:type="dxa"/>
          <w:tcBorders/>
          <w:vAlign w:val="center"/>
        </w:tcPr>
        <w:p>
          <w:pPr>
            <w:pStyle w:val="Header"/>
            <w:pBdr>
              <w:bottom w:val="nil"/>
            </w:pBdr>
            <w:jc w:val="end"/>
            <w:rPr>
              <w:rFonts w:eastAsia="DengXian"/>
              <w:b/>
              <w:bCs/>
            </w:rPr>
          </w:pPr>
          <w:r>
            <w:rPr>
              <w:rFonts w:eastAsia="DengXian"/>
              <w:b/>
              <w:bCs/>
            </w:rPr>
            <w:drawing>
              <wp:anchor distT="0" distB="0" distL="0" distR="0" simplePos="0" relativeHeight="3" behindDoc="1" locked="0" layoutInCell="1" allowOverlap="1">
                <wp:simplePos x="0" y="0"/>
                <wp:positionH relativeFrom="column">
                  <wp:posOffset>3810</wp:posOffset>
                </wp:positionH>
                <wp:positionV relativeFrom="paragraph">
                  <wp:posOffset>635</wp:posOffset>
                </wp:positionV>
                <wp:extent cx="1591310" cy="433070"/>
                <wp:effectExtent l="0" t="0" r="0" b="0"/>
                <wp:wrapNone/>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2"/>
                        <a:stretch>
                          <a:fillRect/>
                        </a:stretch>
                      </pic:blipFill>
                      <pic:spPr bwMode="auto">
                        <a:xfrm>
                          <a:off x="0" y="0"/>
                          <a:ext cx="1591310" cy="433070"/>
                        </a:xfrm>
                        <a:prstGeom prst="rect">
                          <a:avLst/>
                        </a:prstGeom>
                        <a:noFill/>
                      </pic:spPr>
                    </pic:pic>
                  </a:graphicData>
                </a:graphic>
              </wp:anchor>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033" w:hanging="425"/>
      </w:pPr>
      <w:rPr>
        <w:rFonts w:ascii="Symbol" w:hAnsi="Symbol" w:cs="Symbol" w:hint="default"/>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033" w:hanging="425"/>
      </w:pPr>
      <w:rPr>
        <w:b w:val="false"/>
        <w:i w:val="false"/>
        <w:position w:val="0"/>
        <w:sz w:val="20"/>
        <w:vertAlign w:val="baselin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4">
    <w:lvl w:ilvl="0">
      <w:start w:val="1"/>
      <w:numFmt w:val="decimal"/>
      <w:lvlText w:val="%1."/>
      <w:lvlJc w:val="start"/>
      <w:pPr>
        <w:tabs>
          <w:tab w:val="num" w:pos="0"/>
        </w:tabs>
        <w:ind w:start="425" w:hanging="425"/>
      </w:pPr>
      <w:rPr>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start w:val="1"/>
      <w:numFmt w:val="bullet"/>
      <w:lvlText w:val=""/>
      <w:lvlJc w:val="start"/>
      <w:pPr>
        <w:tabs>
          <w:tab w:val="num" w:pos="0"/>
        </w:tabs>
        <w:ind w:start="3753" w:hanging="360"/>
      </w:pPr>
      <w:rPr>
        <w:rFonts w:ascii="Symbol" w:hAnsi="Symbol" w:cs="Symbol" w:hint="default"/>
      </w:rPr>
    </w:lvl>
    <w:lvl w:ilvl="1">
      <w:start w:val="1"/>
      <w:numFmt w:val="bullet"/>
      <w:lvlText w:val="o"/>
      <w:lvlJc w:val="start"/>
      <w:pPr>
        <w:tabs>
          <w:tab w:val="num" w:pos="0"/>
        </w:tabs>
        <w:ind w:start="4473" w:hanging="360"/>
      </w:pPr>
      <w:rPr>
        <w:rFonts w:ascii="Courier New" w:hAnsi="Courier New" w:cs="Courier New" w:hint="default"/>
      </w:rPr>
    </w:lvl>
    <w:lvl w:ilvl="2">
      <w:start w:val="1"/>
      <w:numFmt w:val="bullet"/>
      <w:lvlText w:val=""/>
      <w:lvlJc w:val="start"/>
      <w:pPr>
        <w:tabs>
          <w:tab w:val="num" w:pos="0"/>
        </w:tabs>
        <w:ind w:start="5193" w:hanging="360"/>
      </w:pPr>
      <w:rPr>
        <w:rFonts w:ascii="Wingdings" w:hAnsi="Wingdings" w:cs="Wingdings" w:hint="default"/>
      </w:rPr>
    </w:lvl>
    <w:lvl w:ilvl="3">
      <w:start w:val="1"/>
      <w:numFmt w:val="bullet"/>
      <w:lvlText w:val=""/>
      <w:lvlJc w:val="start"/>
      <w:pPr>
        <w:tabs>
          <w:tab w:val="num" w:pos="0"/>
        </w:tabs>
        <w:ind w:start="5913" w:hanging="360"/>
      </w:pPr>
      <w:rPr>
        <w:rFonts w:ascii="Symbol" w:hAnsi="Symbol" w:cs="Symbol" w:hint="default"/>
      </w:rPr>
    </w:lvl>
    <w:lvl w:ilvl="4">
      <w:start w:val="1"/>
      <w:numFmt w:val="bullet"/>
      <w:lvlText w:val="o"/>
      <w:lvlJc w:val="start"/>
      <w:pPr>
        <w:tabs>
          <w:tab w:val="num" w:pos="0"/>
        </w:tabs>
        <w:ind w:start="6633" w:hanging="360"/>
      </w:pPr>
      <w:rPr>
        <w:rFonts w:ascii="Courier New" w:hAnsi="Courier New" w:cs="Courier New" w:hint="default"/>
      </w:rPr>
    </w:lvl>
    <w:lvl w:ilvl="5">
      <w:start w:val="1"/>
      <w:numFmt w:val="bullet"/>
      <w:lvlText w:val=""/>
      <w:lvlJc w:val="start"/>
      <w:pPr>
        <w:tabs>
          <w:tab w:val="num" w:pos="0"/>
        </w:tabs>
        <w:ind w:start="7353" w:hanging="360"/>
      </w:pPr>
      <w:rPr>
        <w:rFonts w:ascii="Wingdings" w:hAnsi="Wingdings" w:cs="Wingdings" w:hint="default"/>
      </w:rPr>
    </w:lvl>
    <w:lvl w:ilvl="6">
      <w:start w:val="1"/>
      <w:numFmt w:val="bullet"/>
      <w:lvlText w:val=""/>
      <w:lvlJc w:val="start"/>
      <w:pPr>
        <w:tabs>
          <w:tab w:val="num" w:pos="0"/>
        </w:tabs>
        <w:ind w:start="8073" w:hanging="360"/>
      </w:pPr>
      <w:rPr>
        <w:rFonts w:ascii="Symbol" w:hAnsi="Symbol" w:cs="Symbol" w:hint="default"/>
      </w:rPr>
    </w:lvl>
    <w:lvl w:ilvl="7">
      <w:start w:val="1"/>
      <w:numFmt w:val="bullet"/>
      <w:lvlText w:val="o"/>
      <w:lvlJc w:val="start"/>
      <w:pPr>
        <w:tabs>
          <w:tab w:val="num" w:pos="0"/>
        </w:tabs>
        <w:ind w:start="8793" w:hanging="360"/>
      </w:pPr>
      <w:rPr>
        <w:rFonts w:ascii="Courier New" w:hAnsi="Courier New" w:cs="Courier New" w:hint="default"/>
      </w:rPr>
    </w:lvl>
    <w:lvl w:ilvl="8">
      <w:start w:val="1"/>
      <w:numFmt w:val="bullet"/>
      <w:lvlText w:val=""/>
      <w:lvlJc w:val="start"/>
      <w:pPr>
        <w:tabs>
          <w:tab w:val="num" w:pos="0"/>
        </w:tabs>
        <w:ind w:start="9513" w:hanging="360"/>
      </w:pPr>
      <w:rPr>
        <w:rFonts w:ascii="Wingdings" w:hAnsi="Wingdings" w:cs="Wingdings" w:hint="default"/>
      </w:rPr>
    </w:lvl>
  </w:abstractNum>
  <w:abstractNum w:abstractNumId="7">
    <w:lvl w:ilvl="0">
      <w:start w:val="1"/>
      <w:numFmt w:val="bullet"/>
      <w:lvlText w:val=""/>
      <w:lvlJc w:val="start"/>
      <w:pPr>
        <w:tabs>
          <w:tab w:val="num" w:pos="0"/>
        </w:tabs>
        <w:ind w:start="3753" w:hanging="360"/>
      </w:pPr>
      <w:rPr>
        <w:rFonts w:ascii="Symbol" w:hAnsi="Symbol" w:cs="Symbol" w:hint="default"/>
      </w:rPr>
    </w:lvl>
    <w:lvl w:ilvl="1">
      <w:start w:val="1"/>
      <w:numFmt w:val="bullet"/>
      <w:lvlText w:val="o"/>
      <w:lvlJc w:val="start"/>
      <w:pPr>
        <w:tabs>
          <w:tab w:val="num" w:pos="0"/>
        </w:tabs>
        <w:ind w:start="4473" w:hanging="360"/>
      </w:pPr>
      <w:rPr>
        <w:rFonts w:ascii="Courier New" w:hAnsi="Courier New" w:cs="Courier New" w:hint="default"/>
      </w:rPr>
    </w:lvl>
    <w:lvl w:ilvl="2">
      <w:start w:val="1"/>
      <w:numFmt w:val="bullet"/>
      <w:lvlText w:val=""/>
      <w:lvlJc w:val="start"/>
      <w:pPr>
        <w:tabs>
          <w:tab w:val="num" w:pos="0"/>
        </w:tabs>
        <w:ind w:start="5193" w:hanging="360"/>
      </w:pPr>
      <w:rPr>
        <w:rFonts w:ascii="Wingdings" w:hAnsi="Wingdings" w:cs="Wingdings" w:hint="default"/>
      </w:rPr>
    </w:lvl>
    <w:lvl w:ilvl="3">
      <w:start w:val="1"/>
      <w:numFmt w:val="bullet"/>
      <w:lvlText w:val=""/>
      <w:lvlJc w:val="start"/>
      <w:pPr>
        <w:tabs>
          <w:tab w:val="num" w:pos="0"/>
        </w:tabs>
        <w:ind w:start="5913" w:hanging="360"/>
      </w:pPr>
      <w:rPr>
        <w:rFonts w:ascii="Symbol" w:hAnsi="Symbol" w:cs="Symbol" w:hint="default"/>
      </w:rPr>
    </w:lvl>
    <w:lvl w:ilvl="4">
      <w:start w:val="1"/>
      <w:numFmt w:val="bullet"/>
      <w:lvlText w:val="o"/>
      <w:lvlJc w:val="start"/>
      <w:pPr>
        <w:tabs>
          <w:tab w:val="num" w:pos="0"/>
        </w:tabs>
        <w:ind w:start="6633" w:hanging="360"/>
      </w:pPr>
      <w:rPr>
        <w:rFonts w:ascii="Courier New" w:hAnsi="Courier New" w:cs="Courier New" w:hint="default"/>
      </w:rPr>
    </w:lvl>
    <w:lvl w:ilvl="5">
      <w:start w:val="1"/>
      <w:numFmt w:val="bullet"/>
      <w:lvlText w:val=""/>
      <w:lvlJc w:val="start"/>
      <w:pPr>
        <w:tabs>
          <w:tab w:val="num" w:pos="0"/>
        </w:tabs>
        <w:ind w:start="7353" w:hanging="360"/>
      </w:pPr>
      <w:rPr>
        <w:rFonts w:ascii="Wingdings" w:hAnsi="Wingdings" w:cs="Wingdings" w:hint="default"/>
      </w:rPr>
    </w:lvl>
    <w:lvl w:ilvl="6">
      <w:start w:val="1"/>
      <w:numFmt w:val="bullet"/>
      <w:lvlText w:val=""/>
      <w:lvlJc w:val="start"/>
      <w:pPr>
        <w:tabs>
          <w:tab w:val="num" w:pos="0"/>
        </w:tabs>
        <w:ind w:start="8073" w:hanging="360"/>
      </w:pPr>
      <w:rPr>
        <w:rFonts w:ascii="Symbol" w:hAnsi="Symbol" w:cs="Symbol" w:hint="default"/>
      </w:rPr>
    </w:lvl>
    <w:lvl w:ilvl="7">
      <w:start w:val="1"/>
      <w:numFmt w:val="bullet"/>
      <w:lvlText w:val="o"/>
      <w:lvlJc w:val="start"/>
      <w:pPr>
        <w:tabs>
          <w:tab w:val="num" w:pos="0"/>
        </w:tabs>
        <w:ind w:start="8793" w:hanging="360"/>
      </w:pPr>
      <w:rPr>
        <w:rFonts w:ascii="Courier New" w:hAnsi="Courier New" w:cs="Courier New" w:hint="default"/>
      </w:rPr>
    </w:lvl>
    <w:lvl w:ilvl="8">
      <w:start w:val="1"/>
      <w:numFmt w:val="bullet"/>
      <w:lvlText w:val=""/>
      <w:lvlJc w:val="start"/>
      <w:pPr>
        <w:tabs>
          <w:tab w:val="num" w:pos="0"/>
        </w:tabs>
        <w:ind w:start="9513" w:hanging="360"/>
      </w:pPr>
      <w:rPr>
        <w:rFonts w:ascii="Wingdings" w:hAnsi="Wingdings" w:cs="Wingdings" w:hint="default"/>
      </w:rPr>
    </w:lvl>
  </w:abstractNum>
  <w:abstractNum w:abstractNumId="8">
    <w:lvl w:ilvl="0">
      <w:start w:val="1"/>
      <w:numFmt w:val="bullet"/>
      <w:lvlText w:val=""/>
      <w:lvlJc w:val="start"/>
      <w:pPr>
        <w:tabs>
          <w:tab w:val="num" w:pos="0"/>
        </w:tabs>
        <w:ind w:start="3753" w:hanging="360"/>
      </w:pPr>
      <w:rPr>
        <w:rFonts w:ascii="Symbol" w:hAnsi="Symbol" w:cs="Symbol" w:hint="default"/>
      </w:rPr>
    </w:lvl>
    <w:lvl w:ilvl="1">
      <w:start w:val="1"/>
      <w:numFmt w:val="bullet"/>
      <w:lvlText w:val="o"/>
      <w:lvlJc w:val="start"/>
      <w:pPr>
        <w:tabs>
          <w:tab w:val="num" w:pos="0"/>
        </w:tabs>
        <w:ind w:start="4473" w:hanging="360"/>
      </w:pPr>
      <w:rPr>
        <w:rFonts w:ascii="Courier New" w:hAnsi="Courier New" w:cs="Courier New" w:hint="default"/>
      </w:rPr>
    </w:lvl>
    <w:lvl w:ilvl="2">
      <w:start w:val="1"/>
      <w:numFmt w:val="bullet"/>
      <w:lvlText w:val=""/>
      <w:lvlJc w:val="start"/>
      <w:pPr>
        <w:tabs>
          <w:tab w:val="num" w:pos="0"/>
        </w:tabs>
        <w:ind w:start="5193" w:hanging="360"/>
      </w:pPr>
      <w:rPr>
        <w:rFonts w:ascii="Wingdings" w:hAnsi="Wingdings" w:cs="Wingdings" w:hint="default"/>
      </w:rPr>
    </w:lvl>
    <w:lvl w:ilvl="3">
      <w:start w:val="1"/>
      <w:numFmt w:val="bullet"/>
      <w:lvlText w:val=""/>
      <w:lvlJc w:val="start"/>
      <w:pPr>
        <w:tabs>
          <w:tab w:val="num" w:pos="0"/>
        </w:tabs>
        <w:ind w:start="5913" w:hanging="360"/>
      </w:pPr>
      <w:rPr>
        <w:rFonts w:ascii="Symbol" w:hAnsi="Symbol" w:cs="Symbol" w:hint="default"/>
      </w:rPr>
    </w:lvl>
    <w:lvl w:ilvl="4">
      <w:start w:val="1"/>
      <w:numFmt w:val="bullet"/>
      <w:lvlText w:val="o"/>
      <w:lvlJc w:val="start"/>
      <w:pPr>
        <w:tabs>
          <w:tab w:val="num" w:pos="0"/>
        </w:tabs>
        <w:ind w:start="6633" w:hanging="360"/>
      </w:pPr>
      <w:rPr>
        <w:rFonts w:ascii="Courier New" w:hAnsi="Courier New" w:cs="Courier New" w:hint="default"/>
      </w:rPr>
    </w:lvl>
    <w:lvl w:ilvl="5">
      <w:start w:val="1"/>
      <w:numFmt w:val="bullet"/>
      <w:lvlText w:val=""/>
      <w:lvlJc w:val="start"/>
      <w:pPr>
        <w:tabs>
          <w:tab w:val="num" w:pos="0"/>
        </w:tabs>
        <w:ind w:start="7353" w:hanging="360"/>
      </w:pPr>
      <w:rPr>
        <w:rFonts w:ascii="Wingdings" w:hAnsi="Wingdings" w:cs="Wingdings" w:hint="default"/>
      </w:rPr>
    </w:lvl>
    <w:lvl w:ilvl="6">
      <w:start w:val="1"/>
      <w:numFmt w:val="bullet"/>
      <w:lvlText w:val=""/>
      <w:lvlJc w:val="start"/>
      <w:pPr>
        <w:tabs>
          <w:tab w:val="num" w:pos="0"/>
        </w:tabs>
        <w:ind w:start="8073" w:hanging="360"/>
      </w:pPr>
      <w:rPr>
        <w:rFonts w:ascii="Symbol" w:hAnsi="Symbol" w:cs="Symbol" w:hint="default"/>
      </w:rPr>
    </w:lvl>
    <w:lvl w:ilvl="7">
      <w:start w:val="1"/>
      <w:numFmt w:val="bullet"/>
      <w:lvlText w:val="o"/>
      <w:lvlJc w:val="start"/>
      <w:pPr>
        <w:tabs>
          <w:tab w:val="num" w:pos="0"/>
        </w:tabs>
        <w:ind w:start="8793" w:hanging="360"/>
      </w:pPr>
      <w:rPr>
        <w:rFonts w:ascii="Courier New" w:hAnsi="Courier New" w:cs="Courier New" w:hint="default"/>
      </w:rPr>
    </w:lvl>
    <w:lvl w:ilvl="8">
      <w:start w:val="1"/>
      <w:numFmt w:val="bullet"/>
      <w:lvlText w:val=""/>
      <w:lvlJc w:val="start"/>
      <w:pPr>
        <w:tabs>
          <w:tab w:val="num" w:pos="0"/>
        </w:tabs>
        <w:ind w:start="9513" w:hanging="360"/>
      </w:pPr>
      <w:rPr>
        <w:rFonts w:ascii="Wingdings" w:hAnsi="Wingdings" w:cs="Wingdings"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510"/>
  <w:autoHyphenation w:val="true"/>
  <w:hyphenationZone w:val="36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75c6"/>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character" w:styleId="DefaultParagraphFont" w:default="1">
    <w:name w:val="Default Paragraph Font"/>
    <w:uiPriority w:val="1"/>
    <w:unhideWhenUsed/>
    <w:qFormat/>
    <w:rPr/>
  </w:style>
  <w:style w:type="character" w:styleId="Style14" w:customStyle="1">
    <w:name w:val="Нижний колонтитул Знак"/>
    <w:link w:val="Footer"/>
    <w:uiPriority w:val="99"/>
    <w:qFormat/>
    <w:rsid w:val="005975c6"/>
    <w:rPr>
      <w:rFonts w:ascii="Palatino Linotype" w:hAnsi="Palatino Linotype"/>
      <w:color w:val="000000"/>
      <w:szCs w:val="18"/>
    </w:rPr>
  </w:style>
  <w:style w:type="character" w:styleId="Style15" w:customStyle="1">
    <w:name w:val="Верхний колонтитул Знак"/>
    <w:link w:val="Header"/>
    <w:uiPriority w:val="99"/>
    <w:qFormat/>
    <w:rsid w:val="005975c6"/>
    <w:rPr>
      <w:rFonts w:ascii="Palatino Linotype" w:hAnsi="Palatino Linotype"/>
      <w:color w:val="000000"/>
      <w:szCs w:val="18"/>
    </w:rPr>
  </w:style>
  <w:style w:type="character" w:styleId="Style16" w:customStyle="1">
    <w:name w:val="Текст выноски Знак"/>
    <w:link w:val="BalloonText"/>
    <w:uiPriority w:val="99"/>
    <w:qFormat/>
    <w:rsid w:val="005975c6"/>
    <w:rPr>
      <w:rFonts w:ascii="Palatino Linotype" w:hAnsi="Palatino Linotype" w:cs="Tahoma"/>
      <w:color w:val="000000"/>
      <w:szCs w:val="18"/>
    </w:rPr>
  </w:style>
  <w:style w:type="character" w:styleId="LineNumber">
    <w:name w:val="line number"/>
    <w:uiPriority w:val="99"/>
    <w:rsid w:val="0012585d"/>
    <w:rPr>
      <w:rFonts w:ascii="Palatino Linotype" w:hAnsi="Palatino Linotype"/>
      <w:sz w:val="16"/>
    </w:rPr>
  </w:style>
  <w:style w:type="character" w:styleId="Hyperlink">
    <w:name w:val="Hyperlink"/>
    <w:uiPriority w:val="99"/>
    <w:rsid w:val="005975c6"/>
    <w:rPr>
      <w:color w:val="0000FF"/>
      <w:u w:val="single"/>
    </w:rPr>
  </w:style>
  <w:style w:type="character" w:styleId="UnresolvedMention">
    <w:name w:val="Unresolved Mention"/>
    <w:uiPriority w:val="99"/>
    <w:semiHidden/>
    <w:unhideWhenUsed/>
    <w:qFormat/>
    <w:rsid w:val="00ca6b7a"/>
    <w:rPr>
      <w:color w:val="605E5C"/>
      <w:shd w:fill="E1DFDD" w:val="clear"/>
    </w:rPr>
  </w:style>
  <w:style w:type="character" w:styleId="apple-converted-space" w:customStyle="1">
    <w:name w:val="apple-converted-space"/>
    <w:qFormat/>
    <w:rsid w:val="005975c6"/>
    <w:rPr/>
  </w:style>
  <w:style w:type="character" w:styleId="Style17" w:customStyle="1">
    <w:name w:val="Основной текст Знак"/>
    <w:qFormat/>
    <w:rsid w:val="005975c6"/>
    <w:rPr>
      <w:rFonts w:ascii="Palatino Linotype" w:hAnsi="Palatino Linotype"/>
      <w:color w:val="000000"/>
      <w:sz w:val="24"/>
      <w:lang w:eastAsia="de-DE"/>
    </w:rPr>
  </w:style>
  <w:style w:type="character" w:styleId="CommentReference">
    <w:name w:val="annotation reference"/>
    <w:qFormat/>
    <w:rsid w:val="005975c6"/>
    <w:rPr>
      <w:sz w:val="21"/>
      <w:szCs w:val="21"/>
    </w:rPr>
  </w:style>
  <w:style w:type="character" w:styleId="Style18" w:customStyle="1">
    <w:name w:val="Текст примечания Знак"/>
    <w:link w:val="CommentText"/>
    <w:qFormat/>
    <w:rsid w:val="005975c6"/>
    <w:rPr>
      <w:rFonts w:ascii="Palatino Linotype" w:hAnsi="Palatino Linotype"/>
      <w:color w:val="000000"/>
    </w:rPr>
  </w:style>
  <w:style w:type="character" w:styleId="Style19" w:customStyle="1">
    <w:name w:val="Тема примечания Знак"/>
    <w:link w:val="annotationsubject"/>
    <w:qFormat/>
    <w:rsid w:val="005975c6"/>
    <w:rPr>
      <w:rFonts w:ascii="Palatino Linotype" w:hAnsi="Palatino Linotype"/>
      <w:b/>
      <w:bCs/>
      <w:color w:val="000000"/>
    </w:rPr>
  </w:style>
  <w:style w:type="character" w:styleId="EndnoteCharactersuser" w:customStyle="1">
    <w:name w:val="Endnote Characters (user)"/>
    <w:qFormat/>
    <w:rsid w:val="005975c6"/>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yle20" w:customStyle="1">
    <w:name w:val="Текст концевой сноски Знак"/>
    <w:link w:val="EndnoteText"/>
    <w:semiHidden/>
    <w:qFormat/>
    <w:rsid w:val="005975c6"/>
    <w:rPr>
      <w:rFonts w:ascii="Palatino Linotype" w:hAnsi="Palatino Linotype"/>
      <w:color w:val="000000"/>
    </w:rPr>
  </w:style>
  <w:style w:type="character" w:styleId="FollowedHyperlink">
    <w:name w:val="FollowedHyperlink"/>
    <w:rsid w:val="005975c6"/>
    <w:rPr>
      <w:color w:val="954F72"/>
      <w:u w:val="single"/>
    </w:rPr>
  </w:style>
  <w:style w:type="character" w:styleId="Style21" w:customStyle="1">
    <w:name w:val="Текст сноски Знак"/>
    <w:link w:val="FootnoteText"/>
    <w:semiHidden/>
    <w:qFormat/>
    <w:rsid w:val="005975c6"/>
    <w:rPr>
      <w:rFonts w:ascii="Palatino Linotype" w:hAnsi="Palatino Linotype"/>
      <w:color w:val="000000"/>
    </w:rPr>
  </w:style>
  <w:style w:type="character" w:styleId="PageNumber">
    <w:name w:val="page number"/>
    <w:rsid w:val="005975c6"/>
    <w:rPr/>
  </w:style>
  <w:style w:type="character" w:styleId="PlaceholderText">
    <w:name w:val="Placeholder Text"/>
    <w:uiPriority w:val="99"/>
    <w:semiHidden/>
    <w:qFormat/>
    <w:rsid w:val="005975c6"/>
    <w:rPr>
      <w:color w:val="808080"/>
    </w:rPr>
  </w:style>
  <w:style w:type="character" w:styleId="Strong">
    <w:name w:val="Strong"/>
    <w:basedOn w:val="DefaultParagraphFont"/>
    <w:uiPriority w:val="22"/>
    <w:qFormat/>
    <w:rsid w:val="00ff4038"/>
    <w:rPr>
      <w:b/>
      <w:bCs/>
    </w:rPr>
  </w:style>
  <w:style w:type="character" w:styleId="t286pc" w:customStyle="1">
    <w:name w:val="t286pc"/>
    <w:basedOn w:val="DefaultParagraphFont"/>
    <w:qFormat/>
    <w:rsid w:val="00701b89"/>
    <w:rPr/>
  </w:style>
  <w:style w:type="character" w:styleId="Emphasis">
    <w:name w:val="Emphasis"/>
    <w:basedOn w:val="DefaultParagraphFont"/>
    <w:uiPriority w:val="20"/>
    <w:qFormat/>
    <w:rsid w:val="00701b89"/>
    <w:rPr>
      <w:i/>
      <w:iCs/>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link w:val="Style17"/>
    <w:rsid w:val="005975c6"/>
    <w:pPr>
      <w:widowControl/>
      <w:suppressAutoHyphens w:val="true"/>
      <w:bidi w:val="0"/>
      <w:spacing w:lineRule="atLeast" w:line="340" w:before="0" w:after="120"/>
      <w:jc w:val="both"/>
    </w:pPr>
    <w:rPr>
      <w:rFonts w:ascii="Palatino Linotype" w:hAnsi="Palatino Linotype" w:eastAsia="SimSun" w:cs="Times New Roman"/>
      <w:color w:val="000000"/>
      <w:kern w:val="0"/>
      <w:sz w:val="24"/>
      <w:szCs w:val="20"/>
      <w:lang w:eastAsia="de-DE" w:val="en-US" w:bidi="ar-SA"/>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fa1f18"/>
    <w:pPr>
      <w:spacing w:lineRule="auto" w:line="240" w:before="0" w:after="200"/>
    </w:pPr>
    <w:rPr>
      <w:i/>
      <w:iCs/>
      <w:color w:themeColor="text2" w:val="44546A"/>
      <w:sz w:val="18"/>
      <w:szCs w:val="18"/>
    </w:rPr>
  </w:style>
  <w:style w:type="paragraph" w:styleId="Index" w:customStyle="1">
    <w:name w:val="Index"/>
    <w:basedOn w:val="Normal"/>
    <w:qFormat/>
    <w:pPr>
      <w:suppressLineNumbers/>
    </w:pPr>
    <w:rPr>
      <w:rFonts w:cs="Arial"/>
    </w:rPr>
  </w:style>
  <w:style w:type="paragraph" w:styleId="MDPI11articletype" w:customStyle="1">
    <w:name w:val="MDPI_1.1_article_type"/>
    <w:next w:val="Normal"/>
    <w:qFormat/>
    <w:rsid w:val="005975c6"/>
    <w:pPr>
      <w:widowControl/>
      <w:suppressAutoHyphens w:val="true"/>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975c6"/>
    <w:pPr>
      <w:widowControl/>
      <w:suppressAutoHyphens w:val="true"/>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975c6"/>
    <w:pPr>
      <w:widowControl/>
      <w:suppressAutoHyphens w:val="true"/>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975c6"/>
    <w:pPr>
      <w:snapToGrid w:val="false"/>
      <w:spacing w:lineRule="atLeast" w:line="240"/>
      <w:ind w:end="113"/>
      <w:jc w:val="start"/>
    </w:pPr>
    <w:rPr>
      <w:rFonts w:eastAsia="Times New Roman"/>
      <w:sz w:val="14"/>
      <w:lang w:eastAsia="de-DE" w:bidi="en-US"/>
    </w:rPr>
  </w:style>
  <w:style w:type="paragraph" w:styleId="MDPI16affiliation" w:customStyle="1">
    <w:name w:val="MDPI_1.6_affiliation"/>
    <w:qFormat/>
    <w:rsid w:val="005975c6"/>
    <w:pPr>
      <w:widowControl/>
      <w:suppressAutoHyphens w:val="true"/>
      <w:bidi w:val="0"/>
      <w:snapToGrid w:val="false"/>
      <w:spacing w:lineRule="atLeast" w:line="200" w:before="0" w:after="0"/>
      <w:ind w:hanging="198" w:start="2806"/>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975c6"/>
    <w:pPr>
      <w:widowControl/>
      <w:suppressAutoHyphens w:val="true"/>
      <w:bidi w:val="0"/>
      <w:snapToGrid w:val="false"/>
      <w:spacing w:lineRule="atLeast" w:line="280" w:before="240" w:after="12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975c6"/>
    <w:pPr>
      <w:widowControl/>
      <w:suppressAutoHyphens w:val="true"/>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975c6"/>
    <w:pPr>
      <w:widowControl/>
      <w:pBdr>
        <w:bottom w:val="single" w:sz="6" w:space="1" w:color="000000"/>
      </w:pBdr>
      <w:suppressAutoHyphens w:val="true"/>
      <w:bidi w:val="0"/>
      <w:snapToGrid w:val="false"/>
      <w:spacing w:lineRule="atLeast" w:line="280" w:before="0" w:after="480"/>
      <w:ind w:start="2608"/>
      <w:jc w:val="both"/>
    </w:pPr>
    <w:rPr>
      <w:rFonts w:ascii="Palatino Linotype" w:hAnsi="Palatino Linotype" w:eastAsia="Times New Roman" w:cs="Cordia New"/>
      <w:color w:val="000000"/>
      <w:kern w:val="0"/>
      <w:sz w:val="20"/>
      <w:szCs w:val="24"/>
      <w:lang w:eastAsia="de-DE" w:bidi="en-US" w:val="en-US"/>
    </w:rPr>
  </w:style>
  <w:style w:type="paragraph" w:styleId="HeaderandFooter" w:customStyle="1">
    <w:name w:val="Header and Footer"/>
    <w:basedOn w:val="Normal"/>
    <w:qFormat/>
    <w:pPr/>
    <w:rPr/>
  </w:style>
  <w:style w:type="paragraph" w:styleId="Footer">
    <w:name w:val="footer"/>
    <w:basedOn w:val="Normal"/>
    <w:link w:val="Style14"/>
    <w:uiPriority w:val="99"/>
    <w:rsid w:val="005975c6"/>
    <w:pPr>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Style15"/>
    <w:uiPriority w:val="99"/>
    <w:rsid w:val="005975c6"/>
    <w:pPr>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975c6"/>
    <w:pPr>
      <w:ind w:hanging="0"/>
    </w:pPr>
    <w:rPr/>
  </w:style>
  <w:style w:type="paragraph" w:styleId="MDPI31text" w:customStyle="1">
    <w:name w:val="MDPI_3.1_text"/>
    <w:qFormat/>
    <w:rsid w:val="00271103"/>
    <w:pPr>
      <w:widowControl/>
      <w:suppressAutoHyphens w:val="true"/>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975c6"/>
    <w:pPr>
      <w:widowControl/>
      <w:suppressAutoHyphens w:val="true"/>
      <w:bidi w:val="0"/>
      <w:snapToGrid w:val="false"/>
      <w:spacing w:lineRule="atLeast" w:line="280" w:before="0" w:after="24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975c6"/>
    <w:pPr>
      <w:widowControl/>
      <w:suppressAutoHyphens w:val="true"/>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975c6"/>
    <w:pPr>
      <w:widowControl/>
      <w:suppressAutoHyphens w:val="true"/>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975c6"/>
    <w:pPr>
      <w:widowControl/>
      <w:suppressAutoHyphens w:val="true"/>
      <w:bidi w:val="0"/>
      <w:snapToGrid w:val="false"/>
      <w:spacing w:lineRule="atLeast" w:line="280" w:before="12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f3499"/>
    <w:pPr>
      <w:widowControl/>
      <w:numPr>
        <w:ilvl w:val="0"/>
        <w:numId w:val="3"/>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f3499"/>
    <w:pPr>
      <w:widowControl/>
      <w:numPr>
        <w:ilvl w:val="0"/>
        <w:numId w:val="1"/>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975c6"/>
    <w:pPr>
      <w:widowControl/>
      <w:suppressAutoHyphens w:val="true"/>
      <w:bidi w:val="0"/>
      <w:snapToGrid w:val="false"/>
      <w:spacing w:lineRule="atLeast" w:line="280" w:before="120" w:after="120"/>
      <w:ind w:star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975c6"/>
    <w:pPr>
      <w:widowControl/>
      <w:suppressAutoHyphens w:val="true"/>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975c6"/>
    <w:pPr>
      <w:widowControl/>
      <w:suppressAutoHyphens w:val="true"/>
      <w:bidi w:val="0"/>
      <w:snapToGrid w:val="false"/>
      <w:spacing w:lineRule="atLeast" w:line="280" w:before="240" w:after="120"/>
      <w:ind w:star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e000e3"/>
    <w:pPr>
      <w:widowControl/>
      <w:suppressAutoHyphens w:val="true"/>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975c6"/>
    <w:pPr>
      <w:widowControl/>
      <w:suppressAutoHyphens w:val="true"/>
      <w:bidi w:val="0"/>
      <w:snapToGrid w:val="false"/>
      <w:spacing w:lineRule="atLeast" w:line="280" w:before="0" w:after="0"/>
      <w:ind w:star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975c6"/>
    <w:pPr>
      <w:widowControl/>
      <w:suppressAutoHyphens w:val="true"/>
      <w:bidi w:val="0"/>
      <w:snapToGrid w:val="false"/>
      <w:spacing w:lineRule="atLeast" w:line="280" w:before="120" w:after="240"/>
      <w:ind w:star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975c6"/>
    <w:pPr>
      <w:widowControl/>
      <w:suppressAutoHyphens w:val="true"/>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975c6"/>
    <w:pPr>
      <w:widowControl/>
      <w:suppressAutoHyphens w:val="true"/>
      <w:bidi w:val="0"/>
      <w:snapToGrid w:val="false"/>
      <w:spacing w:lineRule="atLeast" w:line="280" w:before="0" w:after="0"/>
      <w:ind w:star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975c6"/>
    <w:pPr>
      <w:widowControl/>
      <w:suppressAutoHyphens w:val="true"/>
      <w:bidi w:val="0"/>
      <w:snapToGrid w:val="false"/>
      <w:spacing w:lineRule="atLeast" w:line="280" w:before="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975c6"/>
    <w:pPr>
      <w:widowControl/>
      <w:suppressAutoHyphens w:val="true"/>
      <w:bidi w:val="0"/>
      <w:snapToGrid w:val="false"/>
      <w:spacing w:lineRule="atLeast" w:line="280" w:before="60" w:after="60"/>
      <w:ind w:start="2608"/>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975c6"/>
    <w:pPr>
      <w:widowControl/>
      <w:suppressAutoHyphens w:val="true"/>
      <w:bidi w:val="0"/>
      <w:snapToGrid w:val="false"/>
      <w:spacing w:lineRule="atLeast" w:line="280" w:before="240" w:after="60"/>
      <w:ind w:start="2608"/>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975c6"/>
    <w:pPr>
      <w:widowControl/>
      <w:suppressAutoHyphens w:val="true"/>
      <w:bidi w:val="0"/>
      <w:snapToGrid w:val="false"/>
      <w:spacing w:lineRule="atLeast" w:line="280" w:before="60" w:after="60"/>
      <w:ind w:start="2608"/>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b0c38"/>
    <w:pPr>
      <w:widowControl/>
      <w:numPr>
        <w:ilvl w:val="0"/>
        <w:numId w:val="4"/>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Style16"/>
    <w:uiPriority w:val="99"/>
    <w:qFormat/>
    <w:rsid w:val="005975c6"/>
    <w:pPr/>
    <w:rPr>
      <w:rFonts w:cs="Tahoma"/>
      <w:szCs w:val="18"/>
    </w:rPr>
  </w:style>
  <w:style w:type="paragraph" w:styleId="MDPI61citation" w:customStyle="1">
    <w:name w:val="MDPI_6.1_citation"/>
    <w:qFormat/>
    <w:rsid w:val="005975c6"/>
    <w:pPr>
      <w:widowControl/>
      <w:suppressAutoHyphens w:val="true"/>
      <w:bidi w:val="0"/>
      <w:snapToGrid w:val="false"/>
      <w:spacing w:lineRule="atLeast" w:line="240" w:before="120" w:after="120"/>
      <w:ind w:end="113"/>
      <w:jc w:val="start"/>
    </w:pPr>
    <w:rPr>
      <w:rFonts w:ascii="Palatino Linotype" w:hAnsi="Palatino Linotype" w:cs="Cordia New" w:eastAsia="SimSun"/>
      <w:color w:val="auto"/>
      <w:kern w:val="0"/>
      <w:sz w:val="14"/>
      <w:szCs w:val="22"/>
      <w:lang w:val="en-US" w:eastAsia="zh-CN" w:bidi="ar-SA"/>
    </w:rPr>
  </w:style>
  <w:style w:type="paragraph" w:styleId="MDPI62backmatter" w:customStyle="1">
    <w:name w:val="MDPI_6.2_back_matter"/>
    <w:qFormat/>
    <w:rsid w:val="005975c6"/>
    <w:pPr>
      <w:widowControl/>
      <w:suppressAutoHyphens w:val="true"/>
      <w:bidi w:val="0"/>
      <w:snapToGrid w:val="false"/>
      <w:spacing w:lineRule="atLeast" w:line="280" w:before="0" w:after="120"/>
      <w:ind w:start="2608"/>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975c6"/>
    <w:pPr>
      <w:widowControl/>
      <w:suppressAutoHyphens w:val="true"/>
      <w:bidi w:val="0"/>
      <w:snapToGrid w:val="false"/>
      <w:spacing w:lineRule="atLeast" w:line="280" w:before="240" w:after="0"/>
      <w:jc w:val="both"/>
    </w:pPr>
    <w:rPr>
      <w:rFonts w:ascii="Palatino Linotype" w:hAnsi="Palatino Linotype" w:eastAsia="SimSun" w:cs="Times New Roman"/>
      <w:color w:val="000000"/>
      <w:kern w:val="0"/>
      <w:sz w:val="18"/>
      <w:szCs w:val="20"/>
      <w:lang w:eastAsia="en-US" w:bidi="en-US" w:val="en-US"/>
    </w:rPr>
  </w:style>
  <w:style w:type="paragraph" w:styleId="MDPI15academiceditor" w:customStyle="1">
    <w:name w:val="MDPI_1.5_academic_editor"/>
    <w:qFormat/>
    <w:rsid w:val="00d722d5"/>
    <w:pPr>
      <w:widowControl/>
      <w:suppressAutoHyphens w:val="true"/>
      <w:bidi w:val="0"/>
      <w:snapToGrid w:val="false"/>
      <w:spacing w:lineRule="atLeast" w:line="240" w:before="120" w:after="0"/>
      <w:ind w:end="113"/>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975c6"/>
    <w:pPr>
      <w:widowControl/>
      <w:suppressAutoHyphens w:val="true"/>
      <w:bidi w:val="0"/>
      <w:snapToGrid w:val="false"/>
      <w:spacing w:lineRule="atLeast" w:line="280" w:before="240" w:after="120"/>
      <w:jc w:val="center"/>
    </w:pPr>
    <w:rPr>
      <w:rFonts w:ascii="Palatino Linotype" w:hAnsi="Palatino Linotype" w:cs="Cordia New" w:eastAsia="SimSun"/>
      <w:color w:val="000000"/>
      <w:kern w:val="0"/>
      <w:sz w:val="18"/>
      <w:szCs w:val="22"/>
      <w:lang w:bidi="en-US" w:val="en-US" w:eastAsia="zh-CN"/>
    </w:rPr>
  </w:style>
  <w:style w:type="paragraph" w:styleId="MDPI511onefigurecaption" w:customStyle="1">
    <w:name w:val="MDPI_5.1.1_one_figure_caption"/>
    <w:qFormat/>
    <w:rsid w:val="005975c6"/>
    <w:pPr>
      <w:widowControl/>
      <w:suppressAutoHyphens w:val="true"/>
      <w:bidi w:val="0"/>
      <w:snapToGrid w:val="false"/>
      <w:spacing w:lineRule="atLeast" w:line="280" w:before="240" w:after="120"/>
      <w:jc w:val="center"/>
    </w:pPr>
    <w:rPr>
      <w:rFonts w:ascii="Palatino Linotype" w:hAnsi="Palatino Linotype" w:eastAsia="SimSun" w:cs="Times New Roman"/>
      <w:color w:val="000000"/>
      <w:kern w:val="0"/>
      <w:sz w:val="18"/>
      <w:szCs w:val="20"/>
      <w:lang w:bidi="en-US" w:val="en-US" w:eastAsia="zh-CN"/>
    </w:rPr>
  </w:style>
  <w:style w:type="paragraph" w:styleId="MDPI72copyright" w:customStyle="1">
    <w:name w:val="MDPI_7.2_copyright"/>
    <w:qFormat/>
    <w:rsid w:val="005b639f"/>
    <w:pPr>
      <w:widowControl/>
      <w:suppressAutoHyphens w:val="true"/>
      <w:bidi w:val="0"/>
      <w:snapToGrid w:val="false"/>
      <w:spacing w:lineRule="atLeast" w:line="240" w:before="120" w:after="0"/>
      <w:ind w:end="113"/>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975c6"/>
    <w:pPr/>
    <w:rPr/>
  </w:style>
  <w:style w:type="paragraph" w:styleId="CommentText">
    <w:name w:val="annotation text"/>
    <w:basedOn w:val="Normal"/>
    <w:link w:val="Style18"/>
    <w:rsid w:val="005975c6"/>
    <w:pPr/>
    <w:rPr/>
  </w:style>
  <w:style w:type="paragraph" w:styleId="annotationsubject">
    <w:name w:val="annotation subject"/>
    <w:basedOn w:val="CommentText"/>
    <w:next w:val="CommentText"/>
    <w:link w:val="Style19"/>
    <w:qFormat/>
    <w:rsid w:val="005975c6"/>
    <w:pPr/>
    <w:rPr>
      <w:b/>
      <w:bCs/>
    </w:rPr>
  </w:style>
  <w:style w:type="paragraph" w:styleId="EndnoteText">
    <w:name w:val="endnote text"/>
    <w:basedOn w:val="Normal"/>
    <w:link w:val="Style20"/>
    <w:semiHidden/>
    <w:unhideWhenUsed/>
    <w:rsid w:val="005975c6"/>
    <w:pPr>
      <w:spacing w:lineRule="auto" w:line="240"/>
    </w:pPr>
    <w:rPr/>
  </w:style>
  <w:style w:type="paragraph" w:styleId="FootnoteText">
    <w:name w:val="footnote text"/>
    <w:basedOn w:val="Normal"/>
    <w:link w:val="Style21"/>
    <w:semiHidden/>
    <w:unhideWhenUsed/>
    <w:rsid w:val="005975c6"/>
    <w:pPr>
      <w:spacing w:lineRule="auto" w:line="240"/>
    </w:pPr>
    <w:rPr/>
  </w:style>
  <w:style w:type="paragraph" w:styleId="NormalWeb">
    <w:name w:val="Normal (Web)"/>
    <w:basedOn w:val="Normal"/>
    <w:uiPriority w:val="99"/>
    <w:qFormat/>
    <w:rsid w:val="005975c6"/>
    <w:pPr/>
    <w:rPr>
      <w:szCs w:val="24"/>
    </w:rPr>
  </w:style>
  <w:style w:type="paragraph" w:styleId="MsoFootnoteText" w:customStyle="1">
    <w:name w:val="MsoFootnoteText"/>
    <w:basedOn w:val="NormalWeb"/>
    <w:qFormat/>
    <w:rsid w:val="005975c6"/>
    <w:pPr/>
    <w:rPr>
      <w:rFonts w:ascii="Times New Roman" w:hAnsi="Times New Roman"/>
    </w:rPr>
  </w:style>
  <w:style w:type="paragraph" w:styleId="MDPI71footnotes" w:customStyle="1">
    <w:name w:val="MDPI_7.1_footnotes"/>
    <w:qFormat/>
    <w:rsid w:val="00ed0606"/>
    <w:pPr>
      <w:widowControl/>
      <w:numPr>
        <w:ilvl w:val="0"/>
        <w:numId w:val="2"/>
      </w:numPr>
      <w:suppressAutoHyphens w:val="true"/>
      <w:bidi w:val="0"/>
      <w:snapToGrid w:val="false"/>
      <w:spacing w:lineRule="atLeast" w:line="280" w:before="0" w:after="0"/>
      <w:jc w:val="start"/>
    </w:pPr>
    <w:rPr>
      <w:rFonts w:ascii="Palatino Linotype" w:hAnsi="Palatino Linotype" w:eastAsia="" w:eastAsiaTheme="minorEastAsia" w:cs="Times New Roman"/>
      <w:color w:val="000000"/>
      <w:kern w:val="0"/>
      <w:sz w:val="18"/>
      <w:szCs w:val="20"/>
      <w:lang w:val="en-US" w:eastAsia="zh-CN" w:bidi="ar-SA"/>
    </w:rPr>
  </w:style>
  <w:style w:type="paragraph" w:styleId="Compact" w:customStyle="1">
    <w:name w:val="Compact"/>
    <w:basedOn w:val="BodyText"/>
    <w:qFormat/>
    <w:rsid w:val="00df18ef"/>
    <w:pPr>
      <w:spacing w:lineRule="auto" w:line="240" w:before="36" w:after="36"/>
      <w:jc w:val="start"/>
    </w:pPr>
    <w:rPr>
      <w:rFonts w:ascii="Calibri" w:hAnsi="Calibri" w:eastAsia="Calibri" w:cs="" w:asciiTheme="minorHAnsi" w:cstheme="minorBidi" w:eastAsiaTheme="minorHAnsi" w:hAnsiTheme="minorHAnsi"/>
      <w:color w:val="auto"/>
      <w:szCs w:val="24"/>
      <w:lang w:eastAsia="en-US"/>
    </w:rPr>
  </w:style>
  <w:style w:type="paragraph" w:styleId="ImageCaption" w:customStyle="1">
    <w:name w:val="Image Caption"/>
    <w:basedOn w:val="Caption"/>
    <w:qFormat/>
    <w:rsid w:val="00fa1f18"/>
    <w:pPr>
      <w:suppressAutoHyphens w:val="true"/>
      <w:spacing w:before="120" w:after="120"/>
      <w:jc w:val="start"/>
    </w:pPr>
    <w:rPr>
      <w:rFonts w:ascii="Calibri" w:hAnsi="Calibri" w:eastAsia="Calibri" w:cs="" w:asciiTheme="minorHAnsi" w:cstheme="minorBidi" w:eastAsiaTheme="minorHAnsi" w:hAnsiTheme="minorHAnsi"/>
      <w:iCs w:val="false"/>
      <w:color w:val="auto"/>
      <w:sz w:val="24"/>
      <w:szCs w:val="24"/>
      <w:lang w:eastAsia="en-US"/>
    </w:rPr>
  </w:style>
  <w:style w:type="paragraph" w:styleId="CaptionedFigure" w:customStyle="1">
    <w:name w:val="Captioned Figure"/>
    <w:basedOn w:val="Normal"/>
    <w:qFormat/>
    <w:rsid w:val="00fa1f18"/>
    <w:pPr>
      <w:keepNext w:val="true"/>
      <w:suppressAutoHyphens w:val="true"/>
      <w:spacing w:lineRule="auto" w:line="240" w:before="0" w:after="200"/>
      <w:jc w:val="start"/>
    </w:pPr>
    <w:rPr>
      <w:rFonts w:ascii="Calibri" w:hAnsi="Calibri" w:eastAsia="Calibri" w:cs="" w:asciiTheme="minorHAnsi" w:cstheme="minorBidi" w:eastAsiaTheme="minorHAnsi" w:hAnsiTheme="minorHAnsi"/>
      <w:color w:val="auto"/>
      <w:sz w:val="24"/>
      <w:szCs w:val="24"/>
      <w:lang w:eastAsia="en-US"/>
    </w:rPr>
  </w:style>
  <w:style w:type="paragraph" w:styleId="z1qcye" w:customStyle="1">
    <w:name w:val="z1qcye"/>
    <w:basedOn w:val="Normal"/>
    <w:qFormat/>
    <w:rsid w:val="00701b89"/>
    <w:pPr>
      <w:spacing w:lineRule="auto" w:line="240" w:beforeAutospacing="1" w:afterAutospacing="1"/>
      <w:jc w:val="start"/>
    </w:pPr>
    <w:rPr>
      <w:rFonts w:ascii="Times New Roman" w:hAnsi="Times New Roman" w:eastAsia="Times New Roman"/>
      <w:color w:val="auto"/>
      <w:sz w:val="24"/>
      <w:szCs w:val="24"/>
      <w:lang w:val="ru-RU" w:eastAsia="ru-RU"/>
    </w:rPr>
  </w:style>
  <w:style w:type="paragraph" w:styleId="FrameContentsuser" w:customStyle="1">
    <w:name w:val="Frame Contents (user)"/>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a1"/>
    <w:uiPriority w:val="99"/>
    <w:rsid w:val="005975c6"/>
    <w:pPr>
      <w:snapToGrid w:val="0"/>
      <w:spacing w:line="280" w:lineRule="atLeast"/>
      <w:jc w:val="center"/>
    </w:p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aff1">
    <w:name w:val="Table Grid"/>
    <w:basedOn w:val="a1"/>
    <w:uiPriority w:val="39"/>
    <w:rsid w:val="005975c6"/>
    <w:pPr>
      <w:spacing w:line="260" w:lineRule="atLeas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
    <w:name w:val="Plain Table 4"/>
    <w:basedOn w:val="a1"/>
    <w:uiPriority w:val="44"/>
    <w:rsid w:val="00d86ef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a1"/>
    <w:uiPriority w:val="99"/>
    <w:rsid w:val="005975c6"/>
    <w:rPr>
      <w:lang w:val="en-CA" w:eastAsia="en-US"/>
    </w:rPr>
    <w:tblPr>
      <w:tblCellMar>
        <w:left w:w="0" w:type="dxa"/>
        <w:right w:w="0" w:type="dxa"/>
      </w:tblCellMar>
    </w:tblPr>
  </w:style>
  <w:style w:type="table" w:customStyle="1" w:styleId="Table">
    <w:name w:val="Table"/>
    <w:semiHidden/>
    <w:unhideWhenUsed/>
    <w:qFormat/>
    <w:rsid w:val="00df18ef"/>
    <w:rPr>
      <w:rFonts w:asciiTheme="minorHAnsi" w:hAnsiTheme="minorHAnsi" w:eastAsiaTheme="minorHAnsi" w:cstheme="minorBidi"/>
      <w:sz w:val="24"/>
      <w:szCs w:val="24"/>
      <w:lang w:val="ru-RU"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h621l/dsm-northern-kazakhstan"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yperlink" Target="https://github.com/vel5id/science_SOC_predicting" TargetMode="External"/><Relationship Id="rId18" Type="http://schemas.openxmlformats.org/officeDocument/2006/relationships/hyperlink" Target="https://zenodo.org/records/19496423" TargetMode="External"/><Relationship Id="rId19" Type="http://schemas.openxmlformats.org/officeDocument/2006/relationships/hyperlink" Target="https://zenodo.org/records/19496443" TargetMode="External"/><Relationship Id="rId20" Type="http://schemas.openxmlformats.org/officeDocument/2006/relationships/hyperlink" Target="https://doi.org/10.1016/j.rse.2011.05.028" TargetMode="External"/><Relationship Id="rId21" Type="http://schemas.openxmlformats.org/officeDocument/2006/relationships/hyperlink" Target="https://doi.org/10.1016/j.earscirev.2020.103359" TargetMode="External"/><Relationship Id="rId22" Type="http://schemas.openxmlformats.org/officeDocument/2006/relationships/hyperlink" Target="https://doi.org/10.1038/sdata.2018.242" TargetMode="External"/><Relationship Id="rId23" Type="http://schemas.openxmlformats.org/officeDocument/2006/relationships/hyperlink" Target="https://doi.org/10.1002/9780470517277"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1BF15-FF7C-43E3-8A62-D6EF55855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2073</TotalTime>
  <Application>LibreOffice/25.8.7.3$Windows_X86_64 LibreOffice_project/30742500f2d3eb4366ac312fa33d3dcabdb3eba5</Application>
  <AppVersion>15.0000</AppVersion>
  <Pages>34</Pages>
  <Words>11895</Words>
  <Characters>69646</Characters>
  <CharactersWithSpaces>80231</CharactersWithSpaces>
  <Paragraphs>1151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2026-05-04T10:26:00Z</dcterms:created>
  <dc:creator>Admin</dc:creator>
  <dc:description/>
  <dc:language>en-US</dc:language>
  <cp:lastModifiedBy/>
  <cp:lastPrinted>2026-06-01T14:41:00Z</cp:lastPrinted>
  <dcterms:modified xsi:type="dcterms:W3CDTF">2026-06-20T00:47:22Z</dcterms:modified>
  <cp:revision>294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