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Noto Sans" w:hAnsi="Noto Sans"/>
          <w:b/>
          <w:color w:val="40265C"/>
          <w:sz w:val="17"/>
        </w:rPr>
        <w:t>ПСИХОЛОГИЯ · НЕЙРОНАУКА · ТЕОРИЯ ОБУЧЕНИЯ</w:t>
      </w:r>
    </w:p>
    <w:p>
      <w:pPr>
        <w:pStyle w:val="Title"/>
        <w:spacing w:before="0" w:after="140"/>
        <w:jc w:val="center"/>
      </w:pPr>
      <w:r>
        <w:rPr>
          <w:sz w:val="70"/>
        </w:rPr>
        <w:t>Книги</w:t>
        <w:br/>
        <w:t>о познании</w:t>
      </w:r>
    </w:p>
    <w:p>
      <w:pPr>
        <w:pStyle w:val="Subtitle"/>
        <w:spacing w:before="0" w:after="200"/>
        <w:jc w:val="center"/>
      </w:pPr>
      <w:r>
        <w:rPr>
          <w:sz w:val="27"/>
        </w:rPr>
        <w:t>12 классических работ</w:t>
        <w:br/>
        <w:t>о памяти, мышлении и обучении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09"/>
        <w:gridCol w:w="3798"/>
      </w:tblGrid>
      <w:tr>
        <w:trPr>
          <w:cantSplit/>
        </w:trPr>
        <w:tc>
          <w:tcPr>
            <w:tcW w:type="dxa" w:w="6009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36000" cy="48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ve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000" cy="48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98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Heading2"/>
              <w:spacing w:before="0" w:after="60"/>
            </w:pPr>
            <w:r>
              <w:rPr>
                <w:sz w:val="32"/>
              </w:rPr>
              <w:t>Аннотированный каталог</w:t>
            </w:r>
          </w:p>
          <w:p>
            <w:pPr>
              <w:spacing w:before="0" w:after="60"/>
            </w:pPr>
            <w:r>
              <w:rPr>
                <w:sz w:val="20"/>
              </w:rPr>
              <w:t>От экспериментальной психологии XIX века</w:t>
              <w:br/>
              <w:t>к математическим моделям обобщения.</w:t>
            </w:r>
          </w:p>
          <w:p>
            <w:pPr>
              <w:spacing w:line="324" w:lineRule="auto" w:before="0" w:after="60"/>
            </w:pPr>
            <w:r>
              <w:rPr>
                <w:sz w:val="20"/>
              </w:rPr>
              <w:t>Четыре тематических раздела</w:t>
              <w:br/>
              <w:t>Краткие аннотации на русском языке</w:t>
              <w:br/>
              <w:t>Названия и годы с оговорками об изданиях</w:t>
            </w:r>
          </w:p>
        </w:tc>
      </w:tr>
    </w:tbl>
    <w:p>
      <w:pPr>
        <w:pStyle w:val="Caption"/>
        <w:spacing w:before="120" w:after="60"/>
        <w:jc w:val="center"/>
      </w:pPr>
      <w:r>
        <w:rPr>
          <w:sz w:val="16"/>
        </w:rPr>
        <w:t>Подборка к «Энциклопедии познания», версия 4.1</w:t>
      </w:r>
    </w:p>
    <w:p>
      <w:pPr>
        <w:pStyle w:val="Caption"/>
        <w:spacing w:before="120" w:after="60"/>
        <w:jc w:val="center"/>
      </w:pPr>
      <w:r>
        <w:rPr>
          <w:sz w:val="16"/>
        </w:rPr>
        <w:t>Это каталог, а не собрание полных текстов книг.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p>
      <w:pPr>
        <w:spacing w:after="100"/>
      </w:pPr>
      <w:r>
        <w:rPr>
          <w:rFonts w:ascii="Noto Sans" w:hAnsi="Noto Sans"/>
          <w:b/>
          <w:color w:val="40265C"/>
          <w:sz w:val="18"/>
        </w:rPr>
        <w:t>НАВИГАЦИЯ</w:t>
      </w:r>
    </w:p>
    <w:p>
      <w:pPr>
        <w:pStyle w:val="Heading1"/>
      </w:pPr>
      <w:r>
        <w:t>Как устроена подборка</w:t>
      </w:r>
    </w:p>
    <w:p>
      <w:pPr>
        <w:spacing w:line="276" w:lineRule="auto" w:after="140"/>
        <w:ind w:left="369" w:right="369"/>
      </w:pPr>
      <w:r>
        <w:rPr>
          <w:sz w:val="24"/>
        </w:rPr>
        <w:t>Эти книги предлагают разные способы понять познание: измерить память, объяснить научение, исследовать развитие речи и описать обучение математически. Разделы объединяют близкие вопросы, а не выстраивают единственную историю науки.</w:t>
      </w:r>
    </w:p>
    <w:p>
      <w:pPr>
        <w:spacing w:after="0" w:before="0" w:line="20" w:lineRule="exact"/>
        <w:pBdr>
          <w:bottom w:val="single" w:sz="4" w:color="B18A47" w:space="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3"/>
        <w:gridCol w:w="3005"/>
      </w:tblGrid>
      <w:tr>
        <w:trPr>
          <w:cantSplit/>
        </w:trPr>
        <w:tc>
          <w:tcPr>
            <w:tcW w:type="dxa" w:w="6803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F2EDF7"/>
          </w:tcPr>
          <w:p>
            <w:pPr>
              <w:spacing w:after="60" w:before="0"/>
            </w:pPr>
            <w:r>
              <w:rPr>
                <w:rFonts w:ascii="Noto Sans" w:hAnsi="Noto Sans"/>
                <w:b/>
                <w:color w:val="73549A"/>
                <w:sz w:val="18"/>
              </w:rPr>
              <w:t>01  /  СТРАНИЦА 3</w:t>
            </w:r>
          </w:p>
          <w:p>
            <w:pPr>
              <w:pStyle w:val="Heading2"/>
              <w:spacing w:before="0" w:after="60"/>
            </w:pPr>
            <w:r>
              <w:rPr>
                <w:color w:val="73549A"/>
                <w:sz w:val="24"/>
              </w:rPr>
              <w:t>Память и внимание</w:t>
            </w:r>
          </w:p>
          <w:p>
            <w:pPr>
              <w:spacing w:before="0" w:after="60"/>
            </w:pPr>
            <w:r>
              <w:t>Эббингауз · Джеймс · Бродбент</w:t>
            </w:r>
          </w:p>
        </w:tc>
        <w:tc>
          <w:tcPr>
            <w:tcW w:type="dxa" w:w="3005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F2EDF7"/>
          </w:tcPr>
          <w:p>
            <w:pPr>
              <w:spacing w:before="0" w:after="20"/>
            </w:pPr>
            <w:r>
              <w:drawing>
                <wp:inline xmlns:a="http://schemas.openxmlformats.org/drawingml/2006/main" xmlns:pic="http://schemas.openxmlformats.org/drawingml/2006/picture">
                  <wp:extent cx="1440000" cy="616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mory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61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  <w:pBdr>
          <w:bottom w:val="single" w:sz="4" w:color="B18A47" w:space="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3"/>
        <w:gridCol w:w="3005"/>
      </w:tblGrid>
      <w:tr>
        <w:trPr>
          <w:cantSplit/>
        </w:trPr>
        <w:tc>
          <w:tcPr>
            <w:tcW w:type="dxa" w:w="6803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EAF4F2"/>
          </w:tcPr>
          <w:p>
            <w:pPr>
              <w:spacing w:after="60" w:before="0"/>
            </w:pPr>
            <w:r>
              <w:rPr>
                <w:rFonts w:ascii="Noto Sans" w:hAnsi="Noto Sans"/>
                <w:b/>
                <w:color w:val="287D83"/>
                <w:sz w:val="18"/>
              </w:rPr>
              <w:t>02  /  СТРАНИЦА 5</w:t>
            </w:r>
          </w:p>
          <w:p>
            <w:pPr>
              <w:pStyle w:val="Heading2"/>
              <w:spacing w:before="0" w:after="60"/>
            </w:pPr>
            <w:r>
              <w:rPr>
                <w:color w:val="287D83"/>
                <w:sz w:val="24"/>
              </w:rPr>
              <w:t>Научение и целостное восприятие</w:t>
            </w:r>
          </w:p>
          <w:p>
            <w:pPr>
              <w:spacing w:before="0" w:after="60"/>
            </w:pPr>
            <w:r>
              <w:t>Павлов · Кёлер · Кёлер</w:t>
            </w:r>
          </w:p>
        </w:tc>
        <w:tc>
          <w:tcPr>
            <w:tcW w:type="dxa" w:w="3005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EAF4F2"/>
          </w:tcPr>
          <w:p>
            <w:pPr>
              <w:spacing w:before="0" w:after="20"/>
            </w:pPr>
            <w:r>
              <w:drawing>
                <wp:inline xmlns:a="http://schemas.openxmlformats.org/drawingml/2006/main" xmlns:pic="http://schemas.openxmlformats.org/drawingml/2006/picture">
                  <wp:extent cx="1440000" cy="616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rning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61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  <w:pBdr>
          <w:bottom w:val="single" w:sz="4" w:color="B18A47" w:space="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3"/>
        <w:gridCol w:w="3005"/>
      </w:tblGrid>
      <w:tr>
        <w:trPr>
          <w:cantSplit/>
        </w:trPr>
        <w:tc>
          <w:tcPr>
            <w:tcW w:type="dxa" w:w="6803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FAF0E9"/>
          </w:tcPr>
          <w:p>
            <w:pPr>
              <w:spacing w:after="60" w:before="0"/>
            </w:pPr>
            <w:r>
              <w:rPr>
                <w:rFonts w:ascii="Noto Sans" w:hAnsi="Noto Sans"/>
                <w:b/>
                <w:color w:val="B16B51"/>
                <w:sz w:val="18"/>
              </w:rPr>
              <w:t>03  /  СТРАНИЦА 7</w:t>
            </w:r>
          </w:p>
          <w:p>
            <w:pPr>
              <w:pStyle w:val="Heading2"/>
              <w:spacing w:before="0" w:after="60"/>
            </w:pPr>
            <w:r>
              <w:rPr>
                <w:color w:val="B16B51"/>
                <w:sz w:val="24"/>
              </w:rPr>
              <w:t>Речь, развитие и мозг</w:t>
            </w:r>
          </w:p>
          <w:p>
            <w:pPr>
              <w:spacing w:before="0" w:after="60"/>
            </w:pPr>
            <w:r>
              <w:t>Пиаже · Выготский · Лурия</w:t>
            </w:r>
          </w:p>
        </w:tc>
        <w:tc>
          <w:tcPr>
            <w:tcW w:type="dxa" w:w="3005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FAF0E9"/>
          </w:tcPr>
          <w:p>
            <w:pPr>
              <w:spacing w:before="0" w:after="20"/>
            </w:pPr>
            <w:r>
              <w:drawing>
                <wp:inline xmlns:a="http://schemas.openxmlformats.org/drawingml/2006/main" xmlns:pic="http://schemas.openxmlformats.org/drawingml/2006/picture">
                  <wp:extent cx="1440000" cy="616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ngu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61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  <w:pBdr>
          <w:bottom w:val="single" w:sz="4" w:color="B18A47" w:space="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3"/>
        <w:gridCol w:w="3005"/>
      </w:tblGrid>
      <w:tr>
        <w:trPr>
          <w:cantSplit/>
        </w:trPr>
        <w:tc>
          <w:tcPr>
            <w:tcW w:type="dxa" w:w="6803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EDF1F8"/>
          </w:tcPr>
          <w:p>
            <w:pPr>
              <w:spacing w:after="60" w:before="0"/>
            </w:pPr>
            <w:r>
              <w:rPr>
                <w:rFonts w:ascii="Noto Sans" w:hAnsi="Noto Sans"/>
                <w:b/>
                <w:color w:val="4C6295"/>
                <w:sz w:val="18"/>
              </w:rPr>
              <w:t>04  /  СТРАНИЦА 9</w:t>
            </w:r>
          </w:p>
          <w:p>
            <w:pPr>
              <w:pStyle w:val="Heading2"/>
              <w:spacing w:before="0" w:after="60"/>
            </w:pPr>
            <w:r>
              <w:rPr>
                <w:color w:val="4C6295"/>
                <w:sz w:val="24"/>
              </w:rPr>
              <w:t>Управление и предсказание</w:t>
            </w:r>
          </w:p>
          <w:p>
            <w:pPr>
              <w:spacing w:before="0" w:after="60"/>
            </w:pPr>
            <w:r>
              <w:t>Винер · Мишел · Вапник</w:t>
            </w:r>
          </w:p>
        </w:tc>
        <w:tc>
          <w:tcPr>
            <w:tcW w:type="dxa" w:w="3005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  <w:shd w:fill="EDF1F8"/>
          </w:tcPr>
          <w:p>
            <w:pPr>
              <w:spacing w:before="0" w:after="20"/>
            </w:pPr>
            <w:r>
              <w:drawing>
                <wp:inline xmlns:a="http://schemas.openxmlformats.org/drawingml/2006/main" xmlns:pic="http://schemas.openxmlformats.org/drawingml/2006/picture">
                  <wp:extent cx="1440000" cy="616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diction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61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  <w:pBdr>
          <w:bottom w:val="single" w:sz="4" w:color="B18A47" w:space="5"/>
        </w:pBdr>
      </w:pPr>
    </w:p>
    <w:p>
      <w:pPr>
        <w:pStyle w:val="Heading2"/>
      </w:pPr>
      <w:r>
        <w:t>Что важно знать</w:t>
      </w:r>
    </w:p>
    <w:p>
      <w:pPr>
        <w:shd w:fill="F4F0F7"/>
        <w:spacing w:before="0" w:after="140" w:line="276" w:lineRule="auto"/>
        <w:ind w:left="369" w:right="369"/>
      </w:pPr>
      <w:r>
        <w:rPr>
          <w:sz w:val="24"/>
        </w:rPr>
        <w:t>В подборке — 12 самостоятельных произведений. Две архивные записи Выготского представляют переводы одной книги «Мышление и речь»; здесь она приведена один раз.</w:t>
      </w:r>
    </w:p>
    <w:p>
      <w:pPr>
        <w:shd w:fill="F4F0F7"/>
        <w:spacing w:before="0" w:after="140" w:line="276" w:lineRule="auto"/>
        <w:ind w:left="369" w:right="369"/>
      </w:pPr>
      <w:r>
        <w:rPr>
          <w:sz w:val="24"/>
        </w:rPr>
        <w:t>Годы могут относиться к оригиналу или к англоязычному изданию. Часть архивных сведений о конкретном издании и переводе не проверена до конца. Неуточнённые данные отмечены в карточках и не дополнены догадками.</w:t>
      </w:r>
    </w:p>
    <w:p>
      <w:pPr>
        <w:pStyle w:val="Caption"/>
        <w:shd w:fill="F4F0F7"/>
        <w:spacing w:before="0" w:after="100" w:line="269" w:lineRule="auto"/>
      </w:pPr>
      <w:r>
        <w:rPr>
          <w:sz w:val="20"/>
        </w:rPr>
        <w:t>Названия сохранены на языке исходного списка. Аннотации — краткий тематический пересказ, а не цитаты из книг. Историческое значение работы не означает, что все её положения принимаются современной наукой.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5386"/>
      </w:tblGrid>
      <w:tr>
        <w:trPr>
          <w:cantSplit/>
        </w:trPr>
        <w:tc>
          <w:tcPr>
            <w:tcW w:type="dxa" w:w="4422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0"/>
            </w:pPr>
            <w:r>
              <w:rPr>
                <w:rFonts w:ascii="Noto Sans" w:hAnsi="Noto Sans"/>
                <w:b/>
                <w:color w:val="73549A"/>
                <w:sz w:val="17"/>
              </w:rPr>
              <w:t>РАЗДЕЛ 01</w:t>
            </w:r>
          </w:p>
          <w:p>
            <w:pPr>
              <w:pStyle w:val="Heading1"/>
              <w:spacing w:before="0" w:after="60"/>
            </w:pPr>
            <w:r>
              <w:rPr>
                <w:color w:val="73549A"/>
                <w:sz w:val="36"/>
              </w:rPr>
              <w:t>Память и внимание</w:t>
            </w:r>
          </w:p>
          <w:p>
            <w:pPr>
              <w:spacing w:before="0" w:after="60"/>
            </w:pPr>
            <w:r>
              <w:rPr>
                <w:sz w:val="18"/>
              </w:rPr>
              <w:t>Как измерять сохранение опыта и объяснять отбор информации.</w:t>
            </w:r>
          </w:p>
        </w:tc>
        <w:tc>
          <w:tcPr>
            <w:tcW w:type="dxa" w:w="5386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3311999" cy="14186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mory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999" cy="1418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  <w:pBdr>
          <w:bottom w:val="single" w:sz="4" w:color="B18A47" w:space="5"/>
        </w:pBdr>
      </w:pPr>
    </w:p>
    <w:p>
      <w:pPr>
        <w:pStyle w:val="Heading2"/>
        <w:spacing w:before="300" w:after="120"/>
        <w:shd w:fill="F2EDF7"/>
        <w:keepNext/>
        <w:widowControl/>
        <w:pBdr>
          <w:left w:val="single" w:sz="18" w:color="73549A" w:space="5"/>
        </w:pBdr>
        <w:ind w:left="652" w:right="652"/>
      </w:pPr>
      <w:r>
        <w:rPr>
          <w:color w:val="73549A"/>
          <w:sz w:val="28"/>
        </w:rPr>
        <w:t>01  /  Герман Эббингауз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Memory: A Contribution to Experimental Psychology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1885 — оригинальная работа; 1913 — английский перевод.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73549A"/>
          <w:sz w:val="19"/>
        </w:rPr>
        <w:t>ПАМЯТЬ · ПОВТОРЕНИЕ · ЗАБЫВАНИЕ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Одна из первых систематических экспериментальных работ о памяти. Эббингауз использует преимущественно бессмысленные слоги, чтобы уменьшить влияние прежних знаний, и количественно исследует заучивание, забывание и повторное обучение. Книга показывает, как процессы памяти можно изучать с помощью воспроизводимых процедур и численных показателей. Её центральная тема — связь между условиями учения и сохранением материала.</w:t>
      </w:r>
    </w:p>
    <w:p>
      <w:pPr>
        <w:pStyle w:val="Caption"/>
        <w:spacing w:after="240" w:before="0" w:line="276" w:lineRule="auto"/>
        <w:keepNext w:val="0"/>
        <w:widowControl/>
        <w:shd w:fill="F2EDF7"/>
        <w:ind w:left="652" w:right="652"/>
      </w:pPr>
      <w:r>
        <w:rPr>
          <w:sz w:val="21"/>
        </w:rPr>
        <w:t>Об издании. Важное различие: английское название относится к переводу немецкой работы 1885 года.</w:t>
      </w:r>
    </w:p>
    <w:p>
      <w:pPr>
        <w:pStyle w:val="Heading2"/>
        <w:spacing w:before="300" w:after="120"/>
        <w:shd w:fill="F2EDF7"/>
        <w:keepNext/>
        <w:pageBreakBefore/>
        <w:widowControl/>
        <w:pBdr>
          <w:left w:val="single" w:sz="18" w:color="73549A" w:space="5"/>
        </w:pBdr>
        <w:ind w:left="652" w:right="652"/>
      </w:pPr>
      <w:r>
        <w:rPr>
          <w:color w:val="73549A"/>
          <w:sz w:val="28"/>
        </w:rPr>
        <w:t>02  /  Уильям Джеймс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The Principles of Psychology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1890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73549A"/>
          <w:sz w:val="19"/>
        </w:rPr>
        <w:t>СОЗНАНИЕ · ВНИМАНИЕ · ПРИВЫЧКА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Масштабный труд о сознании, памяти, привычке, эмоциях и воле. Для этой подборки особенно важен анализ внимания как выбора между возможными объектами и направлениями мысли. Джеймс соединяет наблюдение за опытом, философскую аргументацию и результаты ранних исследований. Книга помогает увидеть, как формировался язык научной психологии до появления современных когнитивных моделей.</w:t>
      </w:r>
    </w:p>
    <w:p>
      <w:pPr>
        <w:pStyle w:val="Caption"/>
        <w:spacing w:after="240" w:before="0" w:line="276" w:lineRule="auto"/>
        <w:keepNext w:val="0"/>
        <w:widowControl/>
        <w:shd w:fill="F2EDF7"/>
        <w:ind w:left="652" w:right="652"/>
      </w:pPr>
      <w:r>
        <w:rPr>
          <w:sz w:val="21"/>
        </w:rPr>
        <w:t>Об издании. В материалах V4.1 отдельно выделена глава XI «Attention» первого тома; карточка здесь описывает весь труд.</w:t>
      </w:r>
    </w:p>
    <w:p>
      <w:pPr>
        <w:keepNext/>
        <w:spacing w:before="0" w:after="0" w:lineRule="exact" w:line="120"/>
      </w:pPr>
    </w:p>
    <w:p>
      <w:pPr>
        <w:pStyle w:val="Heading2"/>
        <w:spacing w:before="300" w:after="120"/>
        <w:shd w:fill="F2EDF7"/>
        <w:keepNext/>
        <w:widowControl/>
        <w:pBdr>
          <w:left w:val="single" w:sz="18" w:color="73549A" w:space="5"/>
        </w:pBdr>
        <w:ind w:left="652" w:right="652"/>
      </w:pPr>
      <w:r>
        <w:rPr>
          <w:color w:val="73549A"/>
          <w:sz w:val="28"/>
        </w:rPr>
        <w:t>03  /  Дональд Бродбент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Perception and Communication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1958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73549A"/>
          <w:sz w:val="19"/>
        </w:rPr>
        <w:t>ВНИМАНИЕ · ОТБОР · ОБРАБОТКА ИНФОРМАЦИИ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Бродбент рассматривает восприятие как переработку информации при ограниченной пропускной способности. На основе исследований слухового внимания он развивает модель фильтра, отбирающего сообщения для дальнейшей обработки. Книга стала важной вехой когнитивной психологии: вместо общего описания внимательности она предлагает проверяемую схему отбора сигналов. Это историческая модель, которую позднейшие исследования уточняли и пересматривали.</w:t>
      </w:r>
    </w:p>
    <w:p>
      <w:pPr>
        <w:pStyle w:val="Caption"/>
        <w:spacing w:after="240" w:before="0" w:line="276" w:lineRule="auto"/>
        <w:keepNext w:val="0"/>
        <w:widowControl/>
        <w:shd w:fill="F2EDF7"/>
        <w:ind w:left="652" w:right="652"/>
      </w:pPr>
      <w:r>
        <w:rPr>
          <w:sz w:val="21"/>
        </w:rPr>
        <w:t>Об издании. Год приведён по исходной подборке; конкретный архивный экземпляр здесь не идентифицирован.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5386"/>
      </w:tblGrid>
      <w:tr>
        <w:trPr>
          <w:cantSplit/>
        </w:trPr>
        <w:tc>
          <w:tcPr>
            <w:tcW w:type="dxa" w:w="4422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0"/>
            </w:pPr>
            <w:r>
              <w:rPr>
                <w:rFonts w:ascii="Noto Sans" w:hAnsi="Noto Sans"/>
                <w:b/>
                <w:color w:val="287D83"/>
                <w:sz w:val="17"/>
              </w:rPr>
              <w:t>РАЗДЕЛ 02</w:t>
            </w:r>
          </w:p>
          <w:p>
            <w:pPr>
              <w:pStyle w:val="Heading1"/>
              <w:spacing w:before="0" w:after="60"/>
            </w:pPr>
            <w:r>
              <w:rPr>
                <w:color w:val="287D83"/>
                <w:sz w:val="36"/>
              </w:rPr>
              <w:t>Научение и целостное восприятие</w:t>
            </w:r>
          </w:p>
          <w:p>
            <w:pPr>
              <w:spacing w:before="0" w:after="60"/>
            </w:pPr>
            <w:r>
              <w:rPr>
                <w:sz w:val="18"/>
              </w:rPr>
              <w:t>От условных связей к структуре задачи и инсайту.</w:t>
            </w:r>
          </w:p>
        </w:tc>
        <w:tc>
          <w:tcPr>
            <w:tcW w:type="dxa" w:w="5386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3311999" cy="14186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rning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999" cy="1418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  <w:pBdr>
          <w:bottom w:val="single" w:sz="4" w:color="B18A47" w:space="5"/>
        </w:pBdr>
      </w:pPr>
    </w:p>
    <w:p>
      <w:pPr>
        <w:pStyle w:val="Heading2"/>
        <w:spacing w:before="300" w:after="120"/>
        <w:shd w:fill="EAF4F2"/>
        <w:keepNext/>
        <w:widowControl/>
        <w:pBdr>
          <w:left w:val="single" w:sz="18" w:color="287D83" w:space="5"/>
        </w:pBdr>
        <w:ind w:left="652" w:right="652"/>
      </w:pPr>
      <w:r>
        <w:rPr>
          <w:color w:val="287D83"/>
          <w:sz w:val="28"/>
        </w:rPr>
        <w:t>04  /  Иван Павлов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Conditioned Reflexes: An Investigation of the Physiological Activity of the Cerebral Cortex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1927 — английское издание.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287D83"/>
          <w:sz w:val="19"/>
        </w:rPr>
        <w:t>УСЛОВНЫЕ РЕФЛЕКСЫ · СИГНАЛЫ · ТОРМОЖЕНИЕ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Павлов обобщает физиологические исследования условных рефлексов и рассматривает образование, торможение и взаимодействие условных связей. Центральный вопрос — как ранее нейтральный сигнал начинает вызывать реакцию в определённых условиях обучения. Труд оказал большое влияние на экспериментальное изучение поведения. При чтении важно различать результаты конкретных опытов и более широкие психологические объяснения человеческой деятельности.</w:t>
      </w:r>
    </w:p>
    <w:p>
      <w:pPr>
        <w:pStyle w:val="Caption"/>
        <w:spacing w:after="240" w:before="0" w:line="276" w:lineRule="auto"/>
        <w:keepNext w:val="0"/>
        <w:widowControl/>
        <w:shd w:fill="EAF4F2"/>
        <w:ind w:left="652" w:right="652"/>
      </w:pPr>
      <w:r>
        <w:rPr>
          <w:sz w:val="21"/>
        </w:rPr>
        <w:t>Об издании. В архивном аудите отдельно обсуждается лекция II; транскрипция и поздняя перепечатка не равнозначны первому изданию.</w:t>
      </w:r>
    </w:p>
    <w:p>
      <w:pPr>
        <w:pStyle w:val="Heading2"/>
        <w:spacing w:before="300" w:after="120"/>
        <w:shd w:fill="EAF4F2"/>
        <w:keepNext/>
        <w:pageBreakBefore/>
        <w:widowControl/>
        <w:pBdr>
          <w:left w:val="single" w:sz="18" w:color="287D83" w:space="5"/>
        </w:pBdr>
        <w:ind w:left="652" w:right="652"/>
      </w:pPr>
      <w:r>
        <w:rPr>
          <w:color w:val="287D83"/>
          <w:sz w:val="28"/>
        </w:rPr>
        <w:t>05  /  Вольфганг Кёлер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The Mentality of Apes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1925 — англоязычное издание в исходной подборке.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287D83"/>
          <w:sz w:val="19"/>
        </w:rPr>
        <w:t>ИНСАЙТ · РЕШЕНИЕ ЗАДАЧ · СРАВНИТЕЛЬНАЯ ПСИХОЛОГИЯ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Кёлер исследует, как человекообразные обезьяны решают задачи с предметами и орудиями. Особое место занимает инсайт — обнаружение отношений, позволяющее перестроить ситуацию и найти решение. Наблюдения над использованием палок и ящиков стали классическим материалом гештальт-психологии. Книга ставит вопрос о том, когда поведение можно объяснить постепенным научением, а когда требуется анализ структуры задачи.</w:t>
      </w:r>
    </w:p>
    <w:p>
      <w:pPr>
        <w:pStyle w:val="Caption"/>
        <w:spacing w:after="240" w:before="0" w:line="276" w:lineRule="auto"/>
        <w:keepNext w:val="0"/>
        <w:widowControl/>
        <w:shd w:fill="EAF4F2"/>
        <w:ind w:left="652" w:right="652"/>
      </w:pPr>
      <w:r>
        <w:rPr>
          <w:sz w:val="21"/>
        </w:rPr>
        <w:t>Об издании. Дату не следует автоматически считать годом первой публикации оригинального немецкого текста.</w:t>
      </w:r>
    </w:p>
    <w:p>
      <w:pPr>
        <w:keepNext/>
        <w:spacing w:before="0" w:after="0" w:lineRule="exact" w:line="120"/>
      </w:pPr>
    </w:p>
    <w:p>
      <w:pPr>
        <w:pStyle w:val="Heading2"/>
        <w:spacing w:before="300" w:after="120"/>
        <w:shd w:fill="EAF4F2"/>
        <w:keepNext/>
        <w:widowControl/>
        <w:pBdr>
          <w:left w:val="single" w:sz="18" w:color="287D83" w:space="5"/>
        </w:pBdr>
        <w:ind w:left="652" w:right="652"/>
      </w:pPr>
      <w:r>
        <w:rPr>
          <w:color w:val="287D83"/>
          <w:sz w:val="28"/>
        </w:rPr>
        <w:t>06  /  Вольфганг Кёлер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Gestalt Psychology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1929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287D83"/>
          <w:sz w:val="19"/>
        </w:rPr>
        <w:t>ЦЕЛОСТНОСТЬ · ОРГАНИЗАЦИЯ ВОСПРИЯТИЯ · СТРУКТУРА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Книга излагает основы гештальт-подхода: психические явления нельзя удовлетворительно объяснить простым сложением изолированных элементов. Кёлер рассматривает восприятие и мышление как организованные процессы, в которых свойства части зависят от целого. Работа помогает понять теоретический контекст исследований инсайта и споры о природе психологического объяснения. Это классика гештальт-психологии, а не руководство по гештальт-терапии.</w:t>
      </w:r>
    </w:p>
    <w:p>
      <w:pPr>
        <w:pStyle w:val="Caption"/>
        <w:spacing w:after="240" w:before="0" w:line="276" w:lineRule="auto"/>
        <w:keepNext w:val="0"/>
        <w:widowControl/>
        <w:shd w:fill="EAF4F2"/>
        <w:ind w:left="652" w:right="652"/>
      </w:pPr>
      <w:r>
        <w:rPr>
          <w:sz w:val="21"/>
        </w:rPr>
        <w:t>Об издании. Название и год сохранены по исходной подборке; сведения о конкретном издании не расширялись.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5386"/>
      </w:tblGrid>
      <w:tr>
        <w:trPr>
          <w:cantSplit/>
        </w:trPr>
        <w:tc>
          <w:tcPr>
            <w:tcW w:type="dxa" w:w="4422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0"/>
            </w:pPr>
            <w:r>
              <w:rPr>
                <w:rFonts w:ascii="Noto Sans" w:hAnsi="Noto Sans"/>
                <w:b/>
                <w:color w:val="B16B51"/>
                <w:sz w:val="17"/>
              </w:rPr>
              <w:t>РАЗДЕЛ 03</w:t>
            </w:r>
          </w:p>
          <w:p>
            <w:pPr>
              <w:pStyle w:val="Heading1"/>
              <w:spacing w:before="0" w:after="60"/>
            </w:pPr>
            <w:r>
              <w:rPr>
                <w:color w:val="B16B51"/>
                <w:sz w:val="36"/>
              </w:rPr>
              <w:t>Речь, развитие и мозг</w:t>
            </w:r>
          </w:p>
          <w:p>
            <w:pPr>
              <w:spacing w:before="0" w:after="60"/>
            </w:pPr>
            <w:r>
              <w:rPr>
                <w:sz w:val="18"/>
              </w:rPr>
              <w:t>Как формируются мысль и речь — и как они организованы в мозге.</w:t>
            </w:r>
          </w:p>
        </w:tc>
        <w:tc>
          <w:tcPr>
            <w:tcW w:type="dxa" w:w="5386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3311999" cy="141864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ngu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999" cy="1418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  <w:pBdr>
          <w:bottom w:val="single" w:sz="4" w:color="B18A47" w:space="5"/>
        </w:pBdr>
      </w:pPr>
    </w:p>
    <w:p>
      <w:pPr>
        <w:pStyle w:val="Heading2"/>
        <w:spacing w:before="300" w:after="120"/>
        <w:shd w:fill="FAF0E9"/>
        <w:keepNext/>
        <w:widowControl/>
        <w:pBdr>
          <w:left w:val="single" w:sz="18" w:color="B16B51" w:space="5"/>
        </w:pBdr>
        <w:ind w:left="652" w:right="652"/>
      </w:pPr>
      <w:r>
        <w:rPr>
          <w:color w:val="B16B51"/>
          <w:sz w:val="28"/>
        </w:rPr>
        <w:t>07  /  Жан Пиаже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The Language and Thought of the Child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1923 — год в архивном реестре.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B16B51"/>
          <w:sz w:val="19"/>
        </w:rPr>
        <w:t>ДЕТСКАЯ РЕЧЬ · РАССУЖДЕНИЕ · РАЗВИТИЕ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Пиаже исследует детскую речь, объяснения, вопросы и способы рассуждения, сравнивая их с мышлением взрослого. В центре внимания — особенности детской точки зрения и изменения, сопровождающие интеллектуальное развитие. Работа относится к раннему этапу его исследований и связана с формированием клинического метода беседы с ребёнком. Её полезно читать как исторический источник вопросов о развитии, а не как окончательную картину детского мышления.</w:t>
      </w:r>
    </w:p>
    <w:p>
      <w:pPr>
        <w:pStyle w:val="Caption"/>
        <w:spacing w:after="240" w:before="0" w:line="276" w:lineRule="auto"/>
        <w:keepNext w:val="0"/>
        <w:widowControl/>
        <w:shd w:fill="FAF0E9"/>
        <w:ind w:left="652" w:right="652"/>
      </w:pPr>
      <w:r>
        <w:rPr>
          <w:sz w:val="21"/>
        </w:rPr>
        <w:t>Об издании. Связь года 1923 с конкретным англоязычным переводом не подтверждена; оригинал и перевод нельзя смешивать.</w:t>
      </w:r>
    </w:p>
    <w:p>
      <w:pPr>
        <w:pStyle w:val="Heading2"/>
        <w:spacing w:before="300" w:after="120"/>
        <w:shd w:fill="FAF0E9"/>
        <w:keepNext/>
        <w:pageBreakBefore/>
        <w:widowControl/>
        <w:pBdr>
          <w:left w:val="single" w:sz="18" w:color="B16B51" w:space="5"/>
        </w:pBdr>
        <w:ind w:left="652" w:right="652"/>
      </w:pPr>
      <w:r>
        <w:rPr>
          <w:color w:val="B16B51"/>
          <w:sz w:val="28"/>
        </w:rPr>
        <w:t>08  /  Лев Выготский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Мышление и речь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1934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B16B51"/>
          <w:sz w:val="19"/>
        </w:rPr>
        <w:t>ПОНЯТИЯ · ВНУТРЕННЯЯ РЕЧЬ · РАЗВИТИЕ МЫШЛЕНИЯ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Выготский рассматривает отношения мышления и речи как развивающуюся систему, а не как простое совпадение двух процессов. Он анализирует образование понятий, значения слов и внутреннюю речь, показывая, как язык участвует в организации мысли. Книга помогает связать развитие ребёнка с общением и культурными средствами. Это один из центральных текстов культурно-исторического подхода к психологии.</w:t>
      </w:r>
    </w:p>
    <w:p>
      <w:pPr>
        <w:pStyle w:val="Caption"/>
        <w:spacing w:after="240" w:before="0" w:line="276" w:lineRule="auto"/>
        <w:keepNext w:val="0"/>
        <w:widowControl/>
        <w:shd w:fill="FAF0E9"/>
        <w:ind w:left="652" w:right="652"/>
      </w:pPr>
      <w:r>
        <w:rPr>
          <w:sz w:val="21"/>
        </w:rPr>
        <w:t>Об издании. Две архивные записи — переводы одного произведения. В каталоге это одна книга, а не две независимые работы.</w:t>
      </w:r>
    </w:p>
    <w:p>
      <w:pPr>
        <w:keepNext/>
        <w:spacing w:before="0" w:after="0" w:lineRule="exact" w:line="120"/>
      </w:pPr>
    </w:p>
    <w:p>
      <w:pPr>
        <w:pStyle w:val="Heading2"/>
        <w:spacing w:before="300" w:after="120"/>
        <w:shd w:fill="FAF0E9"/>
        <w:keepNext/>
        <w:widowControl/>
        <w:pBdr>
          <w:left w:val="single" w:sz="18" w:color="B16B51" w:space="5"/>
        </w:pBdr>
        <w:ind w:left="652" w:right="652"/>
      </w:pPr>
      <w:r>
        <w:rPr>
          <w:color w:val="B16B51"/>
          <w:sz w:val="28"/>
        </w:rPr>
        <w:t>09  /  Александр Лурия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Higher Cortical Functions in Man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Год в исходной подборке не указан.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B16B51"/>
          <w:sz w:val="19"/>
        </w:rPr>
        <w:t>НЕЙРОПСИХОЛОГИЯ · ФУНКЦИОНАЛЬНЫЕ СИСТЕМЫ · НАРУШЕНИЯ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Лурия описывает высшие психические функции через работу взаимодействующих мозговых систем. Речь, восприятие, память и произвольное действие рассматриваются не как способности одного изолированного участка, а как сложные процессы с несколькими звеньями. Анализ нарушений после локальных поражений мозга связывает теорию с клиническим наблюдением. Книга важна для понимания системного подхода к мозговой организации психической деятельности.</w:t>
      </w:r>
    </w:p>
    <w:p>
      <w:pPr>
        <w:pStyle w:val="Caption"/>
        <w:spacing w:after="240" w:before="0" w:line="276" w:lineRule="auto"/>
        <w:keepNext w:val="0"/>
        <w:widowControl/>
        <w:shd w:fill="FAF0E9"/>
        <w:ind w:left="652" w:right="652"/>
      </w:pPr>
      <w:r>
        <w:rPr>
          <w:sz w:val="21"/>
        </w:rPr>
        <w:t>Об издании. Год, издатель и идентификатор конкретного английского перевода требуют уточнения; здесь они намеренно не восстановлены.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5386"/>
      </w:tblGrid>
      <w:tr>
        <w:trPr>
          <w:cantSplit/>
        </w:trPr>
        <w:tc>
          <w:tcPr>
            <w:tcW w:type="dxa" w:w="4422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60" w:before="0"/>
            </w:pPr>
            <w:r>
              <w:rPr>
                <w:rFonts w:ascii="Noto Sans" w:hAnsi="Noto Sans"/>
                <w:b/>
                <w:color w:val="4C6295"/>
                <w:sz w:val="17"/>
              </w:rPr>
              <w:t>РАЗДЕЛ 04</w:t>
            </w:r>
          </w:p>
          <w:p>
            <w:pPr>
              <w:pStyle w:val="Heading1"/>
              <w:spacing w:before="0" w:after="60"/>
            </w:pPr>
            <w:r>
              <w:rPr>
                <w:color w:val="4C6295"/>
                <w:sz w:val="36"/>
              </w:rPr>
              <w:t>Управление и предсказание</w:t>
            </w:r>
          </w:p>
          <w:p>
            <w:pPr>
              <w:spacing w:before="0" w:after="60"/>
            </w:pPr>
            <w:r>
              <w:rPr>
                <w:sz w:val="18"/>
              </w:rPr>
              <w:t>Обратная связь, контекст поведения и обучение по данным.</w:t>
            </w:r>
          </w:p>
        </w:tc>
        <w:tc>
          <w:tcPr>
            <w:tcW w:type="dxa" w:w="5386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3311999" cy="14186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diction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999" cy="1418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  <w:pBdr>
          <w:bottom w:val="single" w:sz="4" w:color="B18A47" w:space="5"/>
        </w:pBdr>
      </w:pPr>
    </w:p>
    <w:p>
      <w:pPr>
        <w:pStyle w:val="Heading2"/>
        <w:spacing w:before="300" w:after="120"/>
        <w:shd w:fill="EDF1F8"/>
        <w:keepNext/>
        <w:widowControl/>
        <w:pBdr>
          <w:left w:val="single" w:sz="18" w:color="4C6295" w:space="5"/>
        </w:pBdr>
        <w:ind w:left="652" w:right="652"/>
      </w:pPr>
      <w:r>
        <w:rPr>
          <w:color w:val="4C6295"/>
          <w:sz w:val="28"/>
        </w:rPr>
        <w:t>10  /  Норберт Винер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Cybernetics: Or Control and Communication in the Animal and the Machine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1948 — первое издание.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4C6295"/>
          <w:sz w:val="19"/>
        </w:rPr>
        <w:t>ОБРАТНАЯ СВЯЗЬ · УПРАВЛЕНИЕ · КОММУНИКАЦИЯ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Винер предлагает общий язык для описания управления и связи в живых организмах и машинах. Обратная связь позволяет системе изменять действия с учётом полученного результата; вероятностные методы помогают анализировать сигналы и неопределённость. Книга объединяет инженерные, математические и физиологические вопросы. Её значение для изучения познания — в системном подходе к регулированию поведения и обмену информацией.</w:t>
      </w:r>
    </w:p>
    <w:p>
      <w:pPr>
        <w:pStyle w:val="Caption"/>
        <w:spacing w:after="240" w:before="0" w:line="276" w:lineRule="auto"/>
        <w:keepNext w:val="0"/>
        <w:widowControl/>
        <w:shd w:fill="EDF1F8"/>
        <w:ind w:left="652" w:right="652"/>
      </w:pPr>
      <w:r>
        <w:rPr>
          <w:sz w:val="21"/>
        </w:rPr>
        <w:t>Об издании. Архивная ссылка может вести к более позднему изданию. Год 1948 не удостоверяет идентичность конкретной цифровой копии.</w:t>
      </w:r>
    </w:p>
    <w:p>
      <w:pPr>
        <w:pStyle w:val="Heading2"/>
        <w:spacing w:before="300" w:after="120"/>
        <w:shd w:fill="EDF1F8"/>
        <w:keepNext/>
        <w:pageBreakBefore/>
        <w:widowControl/>
        <w:pBdr>
          <w:left w:val="single" w:sz="18" w:color="4C6295" w:space="5"/>
        </w:pBdr>
        <w:ind w:left="652" w:right="652"/>
      </w:pPr>
      <w:r>
        <w:rPr>
          <w:color w:val="4C6295"/>
          <w:sz w:val="28"/>
        </w:rPr>
        <w:t>11  /  Уолтер Мишел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Personality and Assessment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1968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4C6295"/>
          <w:sz w:val="19"/>
        </w:rPr>
        <w:t>ЛИЧНОСТЬ · СИТУАЦИЯ · ПРЕДСКАЗАНИЕ ПОВЕДЕНИЯ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Мишел критически рассматривает возможность предсказывать поведение только по обобщённым личностным чертам. Он подчёркивает значение ситуации и ограниченность переноса результатов оценки между разными обстоятельствами. Книга стала одним из источников дискуссии о согласованности поведения и подготовила развитие социально-когнитивных подходов к личности. Её главный вопрос — какие сведения о человеке действительно помогают предсказать его поступки в определённом контексте.</w:t>
      </w:r>
    </w:p>
    <w:p>
      <w:pPr>
        <w:pStyle w:val="Caption"/>
        <w:spacing w:after="240" w:before="0" w:line="276" w:lineRule="auto"/>
        <w:keepNext w:val="0"/>
        <w:widowControl/>
        <w:shd w:fill="EDF1F8"/>
        <w:ind w:left="652" w:right="652"/>
      </w:pPr>
      <w:r>
        <w:rPr>
          <w:sz w:val="21"/>
        </w:rPr>
        <w:t>Об издании. Библиографическая идентификация в архиве не означает, что полный текст оригинала находится в открытом доступе.</w:t>
      </w:r>
    </w:p>
    <w:p>
      <w:pPr>
        <w:keepNext/>
        <w:spacing w:before="0" w:after="0" w:lineRule="exact" w:line="120"/>
      </w:pPr>
    </w:p>
    <w:p>
      <w:pPr>
        <w:pStyle w:val="Heading2"/>
        <w:spacing w:before="300" w:after="120"/>
        <w:shd w:fill="EDF1F8"/>
        <w:keepNext/>
        <w:widowControl/>
        <w:pBdr>
          <w:left w:val="single" w:sz="18" w:color="4C6295" w:space="5"/>
        </w:pBdr>
        <w:ind w:left="652" w:right="652"/>
      </w:pPr>
      <w:r>
        <w:rPr>
          <w:color w:val="4C6295"/>
          <w:sz w:val="28"/>
        </w:rPr>
        <w:t>12  /  Владимир Вапник</w:t>
      </w:r>
    </w:p>
    <w:p>
      <w:pPr>
        <w:keepNext/>
        <w:widowControl/>
        <w:spacing w:after="120" w:before="0"/>
        <w:ind w:left="652" w:right="652"/>
      </w:pPr>
      <w:r>
        <w:rPr>
          <w:i/>
          <w:sz w:val="24"/>
        </w:rPr>
        <w:t>The Nature of Statistical Learning Theory</w:t>
      </w:r>
    </w:p>
    <w:p>
      <w:pPr>
        <w:pStyle w:val="Caption"/>
        <w:keepNext/>
        <w:widowControl/>
        <w:spacing w:before="0" w:after="120"/>
        <w:ind w:left="652" w:right="652"/>
      </w:pPr>
      <w:r>
        <w:rPr>
          <w:sz w:val="21"/>
        </w:rPr>
        <w:t>1995</w:t>
      </w:r>
    </w:p>
    <w:p>
      <w:pPr>
        <w:keepNext/>
        <w:widowControl/>
        <w:spacing w:after="120" w:before="0"/>
        <w:ind w:left="652" w:right="652"/>
      </w:pPr>
      <w:r>
        <w:rPr>
          <w:rFonts w:ascii="Noto Sans" w:hAnsi="Noto Sans"/>
          <w:b/>
          <w:color w:val="4C6295"/>
          <w:sz w:val="19"/>
        </w:rPr>
        <w:t>ОБОБЩЕНИЕ · СЛОЖНОСТЬ МОДЕЛИ · СТАТИСТИЧЕСКОЕ ОБУЧЕНИЕ</w:t>
      </w:r>
    </w:p>
    <w:p>
      <w:pPr>
        <w:keepNext/>
        <w:widowControl/>
        <w:spacing w:before="0" w:after="180" w:line="283" w:lineRule="auto"/>
        <w:ind w:left="652" w:right="652"/>
      </w:pPr>
      <w:r>
        <w:rPr>
          <w:sz w:val="26"/>
        </w:rPr>
        <w:t>Вапник излагает математические основания обучения по данным и исследует, при каких условиях модель способна работать за пределами обучающей выборки. Важны понятия эмпирического и структурного риска, сложности класса функций и размерности Вапника—Червоненкиса. Книга связывает статистику и машинное обучение. В отличие от остальных работ подборки, она требует заметной математической подготовки и посвящена формальной теории, а не описанию человеческого опыта.</w:t>
      </w:r>
    </w:p>
    <w:p>
      <w:pPr>
        <w:pStyle w:val="Caption"/>
        <w:spacing w:after="240" w:before="0" w:line="276" w:lineRule="auto"/>
        <w:keepNext w:val="0"/>
        <w:widowControl/>
        <w:shd w:fill="EDF1F8"/>
        <w:ind w:left="652" w:right="652"/>
      </w:pPr>
      <w:r>
        <w:rPr>
          <w:sz w:val="21"/>
        </w:rPr>
        <w:t>Об издании. Запись сохранена как отдельная монография; её нельзя подменять тематически близкой статьёй или обзором.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p>
      <w:pPr>
        <w:spacing w:after="140" w:line="276" w:lineRule="auto"/>
        <w:ind w:left="369" w:right="369"/>
      </w:pPr>
      <w:r>
        <w:rPr>
          <w:rFonts w:ascii="Noto Sans" w:hAnsi="Noto Sans"/>
          <w:b/>
          <w:color w:val="40265C"/>
          <w:sz w:val="18"/>
        </w:rPr>
        <w:t>ИСТОЧНИКИ И ОГОВОРКИ</w:t>
      </w:r>
    </w:p>
    <w:p>
      <w:pPr>
        <w:pStyle w:val="Heading1"/>
      </w:pPr>
      <w:r>
        <w:t>Библиографические примечания</w:t>
      </w:r>
    </w:p>
    <w:p>
      <w:pPr>
        <w:spacing w:line="276" w:lineRule="auto" w:after="140"/>
        <w:ind w:left="369" w:right="369"/>
      </w:pPr>
      <w:r>
        <w:rPr>
          <w:sz w:val="24"/>
        </w:rPr>
        <w:t>Основа каталога — переданная подборка из 12 произведений и материалы проекта «Энциклопедия познания» V4.1. Архивные статусы относятся к конкретным записям и цифровым копиям: они не означают автоматической проверки каждого издания, перевода или всех тезисов книги.</w:t>
      </w:r>
    </w:p>
    <w:p>
      <w:pPr>
        <w:pStyle w:val="Heading2"/>
      </w:pPr>
      <w:r>
        <w:t>Материалы проекта</w:t>
      </w:r>
    </w:p>
    <w:p>
      <w:pPr>
        <w:spacing w:before="0" w:after="140" w:line="276" w:lineRule="auto"/>
        <w:ind w:left="369" w:right="369"/>
      </w:pPr>
      <w:hyperlink r:id="rId11">
        <w:r>
          <w:rPr>
            <w:color w:val="40265C"/>
          </w:rPr>
          <w:t>«Энциклопедия познания» V4.1 — документ Word</w:t>
        </w:r>
      </w:hyperlink>
    </w:p>
    <w:p>
      <w:pPr>
        <w:spacing w:before="0" w:after="140" w:line="276" w:lineRule="auto"/>
        <w:ind w:left="369" w:right="369"/>
      </w:pPr>
      <w:hyperlink r:id="rId12">
        <w:r>
          <w:rPr>
            <w:color w:val="40265C"/>
          </w:rPr>
          <w:t>Архивный реестр библиографии V4.1 — таблица Excel</w:t>
        </w:r>
      </w:hyperlink>
    </w:p>
    <w:p>
      <w:pPr>
        <w:spacing w:before="0" w:after="140" w:line="276" w:lineRule="auto"/>
        <w:ind w:left="369" w:right="369"/>
      </w:pPr>
      <w:hyperlink r:id="rId13">
        <w:r>
          <w:rPr>
            <w:color w:val="40265C"/>
          </w:rPr>
          <w:t>Папка проекта в GitHub</w:t>
        </w:r>
      </w:hyperlink>
    </w:p>
    <w:p>
      <w:pPr>
        <w:pStyle w:val="Caption"/>
        <w:spacing w:line="269" w:lineRule="auto"/>
      </w:pPr>
      <w:r>
        <w:rPr>
          <w:sz w:val="20"/>
        </w:rPr>
        <w:t>Репозиторий приватный: для открытия ссылок нужен доступ к нему.</w:t>
      </w:r>
    </w:p>
    <w:p>
      <w:pPr>
        <w:pStyle w:val="Heading2"/>
      </w:pPr>
      <w:r>
        <w:t>Открытая библиографическая опора</w:t>
      </w:r>
    </w:p>
    <w:p>
      <w:pPr>
        <w:spacing w:before="0" w:after="140" w:line="276" w:lineRule="auto"/>
        <w:ind w:left="369" w:right="369"/>
      </w:pPr>
      <w:hyperlink r:id="rId14">
        <w:r>
          <w:rPr>
            <w:color w:val="40265C"/>
          </w:rPr>
          <w:t>Эббингауз: оригинал 1885 года, перевод Ruger и Bussenius 1913 года — York University</w:t>
        </w:r>
      </w:hyperlink>
    </w:p>
    <w:p>
      <w:pPr>
        <w:spacing w:after="0" w:before="0" w:line="20" w:lineRule="exact"/>
        <w:pBdr>
          <w:bottom w:val="single" w:sz="4" w:color="B18A47" w:space="5"/>
        </w:pBdr>
      </w:pPr>
    </w:p>
    <w:p>
      <w:pPr>
        <w:pStyle w:val="Heading2"/>
      </w:pPr>
      <w:r>
        <w:t>Что остаётся уточнить</w:t>
      </w:r>
    </w:p>
    <w:p>
      <w:pPr>
        <w:shd w:fill="F2EDF7"/>
        <w:spacing w:before="80" w:after="140" w:line="276" w:lineRule="auto"/>
        <w:ind w:left="369" w:right="369"/>
      </w:pPr>
      <w:r>
        <w:rPr>
          <w:sz w:val="24"/>
        </w:rPr>
        <w:t>— Пиаже: год 1923 сохранён как архивная дата; конкретный английский перевод и его год требуют отдельной сверки.</w:t>
      </w:r>
    </w:p>
    <w:p>
      <w:pPr>
        <w:shd w:fill="EAF4F2"/>
        <w:spacing w:before="80" w:after="140" w:line="276" w:lineRule="auto"/>
        <w:ind w:left="369" w:right="369"/>
      </w:pPr>
      <w:r>
        <w:rPr>
          <w:sz w:val="24"/>
        </w:rPr>
        <w:t>— Лурия: год и данные английского издания в исходном списке отсутствуют; они не добавлены предположительно.</w:t>
      </w:r>
    </w:p>
    <w:p>
      <w:pPr>
        <w:shd w:fill="FAF0E9"/>
        <w:spacing w:before="80" w:after="140" w:line="276" w:lineRule="auto"/>
        <w:ind w:left="369" w:right="369"/>
      </w:pPr>
      <w:r>
        <w:rPr>
          <w:sz w:val="24"/>
        </w:rPr>
        <w:t>— Винер и другие архивные копии: дата первой публикации не гарантирует, что доступный файл воспроизводит именно первое издание.</w:t>
      </w:r>
    </w:p>
    <w:p>
      <w:pPr>
        <w:shd w:fill="EDF1F8"/>
        <w:spacing w:before="80" w:after="140" w:line="276" w:lineRule="auto"/>
        <w:ind w:left="369" w:right="369"/>
      </w:pPr>
      <w:r>
        <w:rPr>
          <w:sz w:val="24"/>
        </w:rPr>
        <w:t>— Выготский: переводные названия могут различаться, но обе архивные записи относятся к «Мышлению и речи» (1934).</w:t>
      </w:r>
    </w:p>
    <w:p>
      <w:pPr>
        <w:pStyle w:val="Heading2"/>
      </w:pPr>
      <w:r>
        <w:t>Об использовании</w:t>
      </w:r>
    </w:p>
    <w:p>
      <w:pPr>
        <w:shd w:fill="F4F0F7"/>
        <w:pBdr>
          <w:left w:val="single" w:sz="12" w:color="B18A47" w:space="5"/>
        </w:pBdr>
        <w:spacing w:line="276" w:lineRule="auto" w:after="140"/>
        <w:ind w:left="369" w:right="369"/>
      </w:pPr>
      <w:r>
        <w:rPr>
          <w:sz w:val="24"/>
        </w:rPr>
        <w:t>Каталог содержит только библиографические сведения и краткие авторские аннотации. Полные тексты, сканы и обложки книг не включены. Наличие архивной ссылки само по себе не подтверждает свободный правовой статус цифровой копии.</w:t>
      </w:r>
    </w:p>
    <w:p>
      <w:r>
        <w:br w:type="page"/>
      </w:r>
    </w:p>
    <w:p>
      <w:pPr>
        <w:spacing w:after="100"/>
      </w:pPr>
      <w:r>
        <w:rPr>
          <w:rFonts w:ascii="Noto Sans" w:hAnsi="Noto Sans"/>
          <w:b/>
          <w:color w:val="40265C"/>
          <w:sz w:val="18"/>
        </w:rPr>
        <w:t>ДОПОЛНЕНИЕ  /  ОТ КЛАССИКИ К ИИ-АГЕНТАМ</w:t>
      </w:r>
    </w:p>
    <w:p>
      <w:pPr>
        <w:pStyle w:val="Heading1"/>
      </w:pPr>
      <w:r>
        <w:t>Карта исследовательских пробелов</w:t>
      </w:r>
    </w:p>
    <w:p>
      <w:pPr>
        <w:spacing w:after="140" w:line="269" w:lineRule="auto"/>
      </w:pPr>
      <w:r>
        <w:rPr>
          <w:sz w:val="26"/>
        </w:rPr>
        <w:t>Классические работы помогают ставить вопросы о памяти, обучении и инициативе. Современные исследования ниже предлагают способы проверять эти способности у ИИ-агентов — но не дают основания приравнивать их к человеческому переживанию.</w:t>
      </w:r>
    </w:p>
    <w:p>
      <w:pPr>
        <w:pStyle w:val="Heading2"/>
        <w:spacing w:before="180" w:after="100"/>
      </w:pPr>
      <w:r>
        <w:rPr>
          <w:color w:val="40265C"/>
          <w:sz w:val="28"/>
        </w:rPr>
        <w:t>1. Память: хранить — не значит использовать</w:t>
      </w:r>
    </w:p>
    <w:p>
      <w:pPr>
        <w:spacing w:after="140" w:line="269" w:lineRule="auto"/>
      </w:pPr>
      <w:r>
        <w:rPr>
          <w:sz w:val="26"/>
        </w:rPr>
        <w:t>Разделяйте сохранение опыта, извлечение нужного воспоминания и его применение в действии. Проверяйте актуальность сведений, устойчивость к нерелевантным и отвлекающим воспоминаниям, а также отказ от ответа при недостатке данных. Опора: LongMemEval и MemoryAgentBench.</w:t>
      </w:r>
    </w:p>
    <w:p>
      <w:pPr>
        <w:pStyle w:val="Heading2"/>
        <w:spacing w:before="180" w:after="100"/>
      </w:pPr>
      <w:r>
        <w:rPr>
          <w:color w:val="40265C"/>
          <w:sz w:val="28"/>
        </w:rPr>
        <w:t>2. Меняет ли опыт выбор?</w:t>
      </w:r>
    </w:p>
    <w:p>
      <w:pPr>
        <w:spacing w:after="140" w:line="269" w:lineRule="auto"/>
      </w:pPr>
      <w:r>
        <w:rPr>
          <w:sz w:val="26"/>
        </w:rPr>
        <w:t>Чтобы проверить причинный вклад памяти, сравнивайте одинаковые задачи с правильной, отсутствующей, нерелевантной и ошибочной памятью. Оценивайте не только воспроизведение истории, но и перенос на новые задачи, включая отрицательный перенос — случаи, когда прошлый опыт мешает. Опора: MemoryArena и LongMemEval-V2.</w:t>
      </w:r>
    </w:p>
    <w:p>
      <w:pPr>
        <w:pStyle w:val="Heading2"/>
        <w:spacing w:before="180" w:after="100"/>
      </w:pPr>
      <w:r>
        <w:rPr>
          <w:color w:val="40265C"/>
          <w:sz w:val="28"/>
        </w:rPr>
        <w:t>3. Вопросы, поручения и собственные цели</w:t>
      </w:r>
    </w:p>
    <w:p>
      <w:pPr>
        <w:spacing w:after="140" w:line="269" w:lineRule="auto"/>
      </w:pPr>
      <w:r>
        <w:rPr>
          <w:sz w:val="26"/>
        </w:rPr>
        <w:t>Не смешивайте формирование вопросов, исполнение отложенных поручений и самостоятельное принятие целей. Это разные способности; оценивать их нужно раздельно. Успешное выполнение намерения пользователя в нужный момент не показывает, что агент сам выбрал цель. Опора для отложенных поручений: PM-Bench.</w:t>
      </w:r>
    </w:p>
    <w:p>
      <w:pPr>
        <w:pStyle w:val="Heading2"/>
        <w:spacing w:before="180" w:after="100"/>
      </w:pPr>
      <w:r>
        <w:rPr>
          <w:color w:val="40265C"/>
          <w:sz w:val="28"/>
        </w:rPr>
        <w:t>4. Самомодель — ещё не субъективный опыт</w:t>
      </w:r>
    </w:p>
    <w:p>
      <w:pPr>
        <w:spacing w:after="140" w:line="269" w:lineRule="auto"/>
      </w:pPr>
      <w:r>
        <w:rPr>
          <w:sz w:val="26"/>
        </w:rPr>
        <w:t>Функциональные проявления самомодели и инициативы сами по себе не доказывают сознание. Для вывода о субъективном опыте нужна отдельная теоретическая аргументация. Индикаторы, связанные с теориями сознания, следует обсуждать с учётом неопределённости, а не как бинарный тест.</w:t>
      </w:r>
    </w:p>
    <w:p>
      <w:r>
        <w:br w:type="page"/>
      </w:r>
    </w:p>
    <w:p>
      <w:pPr>
        <w:spacing w:after="100"/>
      </w:pPr>
      <w:r>
        <w:rPr>
          <w:rFonts w:ascii="Noto Sans" w:hAnsi="Noto Sans"/>
          <w:b/>
          <w:color w:val="40265C"/>
          <w:sz w:val="18"/>
        </w:rPr>
        <w:t>НОВЫЕ ИСТОЧНИКИ  /  1–3 ИЗ 8</w:t>
      </w:r>
    </w:p>
    <w:p>
      <w:pPr>
        <w:pStyle w:val="Heading1"/>
      </w:pPr>
      <w:r>
        <w:t>Как устроена память агентов</w:t>
      </w:r>
    </w:p>
    <w:p>
      <w:pPr>
        <w:spacing w:after="140" w:line="269" w:lineRule="auto"/>
      </w:pPr>
      <w:r>
        <w:rPr>
          <w:sz w:val="24"/>
        </w:rPr>
        <w:t>Это исследовательские статьи и обзор, а не дополнительные классические книги. Даты препринтов и конференций указаны раздельно.</w:t>
      </w:r>
    </w:p>
    <w:p>
      <w:pPr>
        <w:pStyle w:val="Heading2"/>
        <w:spacing w:before="180" w:after="100"/>
      </w:pPr>
      <w:r>
        <w:rPr>
          <w:color w:val="287D83"/>
          <w:sz w:val="28"/>
        </w:rPr>
        <w:t>01  /  Memory in the Age of AI Agents</w:t>
      </w:r>
    </w:p>
    <w:p>
      <w:pPr>
        <w:spacing w:after="100" w:line="269" w:lineRule="auto"/>
      </w:pPr>
      <w:r>
        <w:rPr>
          <w:rFonts w:ascii="Noto Sans" w:hAnsi="Noto Sans"/>
          <w:color w:val="62596D"/>
          <w:sz w:val="22"/>
        </w:rPr>
        <w:t>2025</w:t>
      </w:r>
    </w:p>
    <w:p>
      <w:pPr>
        <w:spacing w:after="140" w:line="269" w:lineRule="auto"/>
      </w:pPr>
      <w:r>
        <w:rPr>
          <w:sz w:val="26"/>
        </w:rPr>
        <w:t>Обзор форм, функций и динамики памяти агентов. Различает фактическую, опытную и рабочую память; рассматривает формирование, обновление и извлечение сведений. Подходит как словарь и структура для всего раздела.</w:t>
      </w:r>
    </w:p>
    <w:p>
      <w:pPr>
        <w:keepNext w:val="0"/>
        <w:spacing w:after="180"/>
      </w:pPr>
      <w:hyperlink r:id="rId20">
        <w:r>
          <w:rPr>
            <w:rFonts w:ascii="Noto Sans" w:hAnsi="Noto Sans"/>
            <w:color w:val="287D83"/>
            <w:sz w:val="21"/>
            <w:u w:val="single"/>
          </w:rPr>
          <w:t>https://arxiv.org/abs/2512.13564</w:t>
        </w:r>
      </w:hyperlink>
    </w:p>
    <w:p>
      <w:pPr>
        <w:pStyle w:val="Heading2"/>
        <w:spacing w:before="180" w:after="100"/>
      </w:pPr>
      <w:r>
        <w:rPr>
          <w:color w:val="287D83"/>
          <w:sz w:val="28"/>
        </w:rPr>
        <w:t>02  /  A-MEM: Agentic Memory for LLM Agents</w:t>
      </w:r>
    </w:p>
    <w:p>
      <w:pPr>
        <w:spacing w:after="100" w:line="269" w:lineRule="auto"/>
      </w:pPr>
      <w:r>
        <w:rPr>
          <w:rFonts w:ascii="Noto Sans" w:hAnsi="Noto Sans"/>
          <w:color w:val="62596D"/>
          <w:sz w:val="22"/>
        </w:rPr>
        <w:t>2025</w:t>
      </w:r>
    </w:p>
    <w:p>
      <w:pPr>
        <w:spacing w:after="140" w:line="269" w:lineRule="auto"/>
      </w:pPr>
      <w:r>
        <w:rPr>
          <w:sz w:val="26"/>
        </w:rPr>
        <w:t>Система организует опыт в сеть связанных заметок. Новое воспоминание не просто сохраняется: оно связывается с прежними и может обновлять их контекст и атрибуты. Полезна как пример механизма, но сама архитектура ещё не доказывает надёжность памяти в любых задачах.</w:t>
      </w:r>
    </w:p>
    <w:p>
      <w:pPr>
        <w:keepNext w:val="0"/>
        <w:spacing w:after="180"/>
      </w:pPr>
      <w:hyperlink r:id="rId21">
        <w:r>
          <w:rPr>
            <w:rFonts w:ascii="Noto Sans" w:hAnsi="Noto Sans"/>
            <w:color w:val="287D83"/>
            <w:sz w:val="21"/>
            <w:u w:val="single"/>
          </w:rPr>
          <w:t>https://arxiv.org/abs/2502.12110</w:t>
        </w:r>
      </w:hyperlink>
    </w:p>
    <w:p>
      <w:pPr>
        <w:pStyle w:val="Heading2"/>
        <w:spacing w:before="180" w:after="100"/>
      </w:pPr>
      <w:r>
        <w:rPr>
          <w:color w:val="287D83"/>
          <w:sz w:val="28"/>
        </w:rPr>
        <w:t>03  /  LongMemEval: Benchmarking Chat Assistants on Long-Term Interactive Memory</w:t>
      </w:r>
    </w:p>
    <w:p>
      <w:pPr>
        <w:spacing w:after="100" w:line="269" w:lineRule="auto"/>
      </w:pPr>
      <w:r>
        <w:rPr>
          <w:rFonts w:ascii="Noto Sans" w:hAnsi="Noto Sans"/>
          <w:color w:val="62596D"/>
          <w:sz w:val="22"/>
        </w:rPr>
        <w:t>2024 — препринт; ICLR 2025</w:t>
      </w:r>
    </w:p>
    <w:p>
      <w:pPr>
        <w:spacing w:after="140" w:line="269" w:lineRule="auto"/>
      </w:pPr>
      <w:r>
        <w:rPr>
          <w:sz w:val="26"/>
        </w:rPr>
        <w:t>Бенчмарк долгосрочной интерактивной памяти: извлечение информации, рассуждение между сессиями и во времени, обновление знаний и отказ от неподтверждённого ответа. Помогает отделить доступность истории от способности дать обоснованный ответ.</w:t>
      </w:r>
    </w:p>
    <w:p>
      <w:pPr>
        <w:keepNext w:val="0"/>
        <w:spacing w:after="180"/>
      </w:pPr>
      <w:hyperlink r:id="rId22">
        <w:r>
          <w:rPr>
            <w:rFonts w:ascii="Noto Sans" w:hAnsi="Noto Sans"/>
            <w:color w:val="287D83"/>
            <w:sz w:val="21"/>
            <w:u w:val="single"/>
          </w:rPr>
          <w:t>https://arxiv.org/abs/2410.10813</w:t>
        </w:r>
      </w:hyperlink>
    </w:p>
    <w:p>
      <w:r>
        <w:br w:type="page"/>
      </w:r>
    </w:p>
    <w:p>
      <w:pPr>
        <w:spacing w:after="100"/>
      </w:pPr>
      <w:r>
        <w:rPr>
          <w:rFonts w:ascii="Noto Sans" w:hAnsi="Noto Sans"/>
          <w:b/>
          <w:color w:val="40265C"/>
          <w:sz w:val="18"/>
        </w:rPr>
        <w:t>НОВЫЕ ИСТОЧНИКИ  /  4–6 ИЗ 8</w:t>
      </w:r>
    </w:p>
    <w:p>
      <w:pPr>
        <w:pStyle w:val="Heading1"/>
      </w:pPr>
      <w:r>
        <w:t>Когда опыт помогает действовать</w:t>
      </w:r>
    </w:p>
    <w:p>
      <w:pPr>
        <w:pStyle w:val="Heading2"/>
        <w:spacing w:before="180" w:after="100"/>
      </w:pPr>
      <w:r>
        <w:rPr>
          <w:color w:val="287D83"/>
          <w:sz w:val="28"/>
        </w:rPr>
        <w:t>04  /  Evaluating Memory in LLM Agents via Incremental Multi-Turn Interactions</w:t>
      </w:r>
    </w:p>
    <w:p>
      <w:pPr>
        <w:spacing w:after="100" w:line="269" w:lineRule="auto"/>
      </w:pPr>
      <w:r>
        <w:rPr>
          <w:rFonts w:ascii="Noto Sans" w:hAnsi="Noto Sans"/>
          <w:color w:val="62596D"/>
          <w:sz w:val="22"/>
        </w:rPr>
        <w:t>2025 — препринт; ICLR 2026. Бенчмарк: MemoryAgentBench.</w:t>
      </w:r>
    </w:p>
    <w:p>
      <w:pPr>
        <w:spacing w:after="140" w:line="269" w:lineRule="auto"/>
      </w:pPr>
      <w:r>
        <w:rPr>
          <w:sz w:val="26"/>
        </w:rPr>
        <w:t>Проверяет четыре способности: точное извлечение, обучение на ходу, понимание дальних связей и избирательное забывание. Информация поступает постепенно в многошаговом взаимодействии, а не единым готовым текстом. Полезен для раздельной диагностики слабых звеньев памяти.</w:t>
      </w:r>
    </w:p>
    <w:p>
      <w:pPr>
        <w:keepNext w:val="0"/>
        <w:spacing w:after="180"/>
      </w:pPr>
      <w:hyperlink r:id="rId23">
        <w:r>
          <w:rPr>
            <w:rFonts w:ascii="Noto Sans" w:hAnsi="Noto Sans"/>
            <w:color w:val="287D83"/>
            <w:sz w:val="21"/>
            <w:u w:val="single"/>
          </w:rPr>
          <w:t>https://arxiv.org/abs/2507.05257</w:t>
        </w:r>
      </w:hyperlink>
    </w:p>
    <w:p>
      <w:pPr>
        <w:pStyle w:val="Heading2"/>
        <w:spacing w:before="180" w:after="100"/>
      </w:pPr>
      <w:r>
        <w:rPr>
          <w:color w:val="287D83"/>
          <w:sz w:val="28"/>
        </w:rPr>
        <w:t>05  /  MemoryArena: Benchmarking Agent Memory in Interdependent Multi-Session Agentic Tasks</w:t>
      </w:r>
    </w:p>
    <w:p>
      <w:pPr>
        <w:spacing w:after="100" w:line="269" w:lineRule="auto"/>
      </w:pPr>
      <w:r>
        <w:rPr>
          <w:rFonts w:ascii="Noto Sans" w:hAnsi="Noto Sans"/>
          <w:color w:val="62596D"/>
          <w:sz w:val="22"/>
        </w:rPr>
        <w:t>2026 — препринт</w:t>
      </w:r>
    </w:p>
    <w:p>
      <w:pPr>
        <w:spacing w:after="140" w:line="269" w:lineRule="auto"/>
      </w:pPr>
      <w:r>
        <w:rPr>
          <w:sz w:val="26"/>
        </w:rPr>
        <w:t>Связывает память с действиями в нескольких сессиях: агент должен использовать опыт ранних действий и обратную связь в последующих взаимозависимых задачах. Помогает проверить разрыв между хорошим воспроизведением прошлого и практической пользой памяти.</w:t>
      </w:r>
    </w:p>
    <w:p>
      <w:pPr>
        <w:keepNext w:val="0"/>
        <w:spacing w:after="180"/>
      </w:pPr>
      <w:hyperlink r:id="rId24">
        <w:r>
          <w:rPr>
            <w:rFonts w:ascii="Noto Sans" w:hAnsi="Noto Sans"/>
            <w:color w:val="287D83"/>
            <w:sz w:val="21"/>
            <w:u w:val="single"/>
          </w:rPr>
          <w:t>https://arxiv.org/abs/2602.16313</w:t>
        </w:r>
      </w:hyperlink>
    </w:p>
    <w:p>
      <w:pPr>
        <w:pStyle w:val="Heading2"/>
        <w:spacing w:before="180" w:after="100"/>
      </w:pPr>
      <w:r>
        <w:rPr>
          <w:color w:val="287D83"/>
          <w:sz w:val="28"/>
        </w:rPr>
        <w:t>06  /  LongMemEval-V2: Evaluating Long-Term Agent Memory Toward Experienced Colleagues</w:t>
      </w:r>
    </w:p>
    <w:p>
      <w:pPr>
        <w:spacing w:after="100" w:line="269" w:lineRule="auto"/>
      </w:pPr>
      <w:r>
        <w:rPr>
          <w:rFonts w:ascii="Noto Sans" w:hAnsi="Noto Sans"/>
          <w:color w:val="62596D"/>
          <w:sz w:val="22"/>
        </w:rPr>
        <w:t>2026 — препринт</w:t>
      </w:r>
    </w:p>
    <w:p>
      <w:pPr>
        <w:spacing w:after="140" w:line="269" w:lineRule="auto"/>
      </w:pPr>
      <w:r>
        <w:rPr>
          <w:sz w:val="26"/>
        </w:rPr>
        <w:t>Оценивает усвоение особенностей рабочей среды: состояния интерфейса, изменения, рабочие процедуры и типичные ловушки. Вопрос не только в том, помнит ли агент историю, но и в том, накопил ли он полезный опыт работы в конкретном окружении.</w:t>
      </w:r>
    </w:p>
    <w:p>
      <w:pPr>
        <w:keepNext w:val="0"/>
        <w:spacing w:after="180"/>
      </w:pPr>
      <w:hyperlink r:id="rId25">
        <w:r>
          <w:rPr>
            <w:rFonts w:ascii="Noto Sans" w:hAnsi="Noto Sans"/>
            <w:color w:val="287D83"/>
            <w:sz w:val="21"/>
            <w:u w:val="single"/>
          </w:rPr>
          <w:t>https://arxiv.org/abs/2605.12493</w:t>
        </w:r>
      </w:hyperlink>
    </w:p>
    <w:p>
      <w:r>
        <w:br w:type="page"/>
      </w:r>
    </w:p>
    <w:p>
      <w:pPr>
        <w:spacing w:after="100"/>
      </w:pPr>
      <w:r>
        <w:rPr>
          <w:rFonts w:ascii="Noto Sans" w:hAnsi="Noto Sans"/>
          <w:b/>
          <w:color w:val="40265C"/>
          <w:sz w:val="18"/>
        </w:rPr>
        <w:t>НОВЫЕ ИСТОЧНИКИ  /  7–8 ИЗ 8</w:t>
      </w:r>
    </w:p>
    <w:p>
      <w:pPr>
        <w:pStyle w:val="Heading1"/>
      </w:pPr>
      <w:r>
        <w:t>Намерения и границы выводов</w:t>
      </w:r>
    </w:p>
    <w:p>
      <w:pPr>
        <w:pStyle w:val="Heading2"/>
        <w:spacing w:before="180" w:after="100"/>
      </w:pPr>
      <w:r>
        <w:rPr>
          <w:color w:val="287D83"/>
          <w:sz w:val="28"/>
        </w:rPr>
        <w:t>07  /  PM-Bench: Evaluating Prospective Memory in LLM Agents</w:t>
      </w:r>
    </w:p>
    <w:p>
      <w:pPr>
        <w:spacing w:after="100" w:line="269" w:lineRule="auto"/>
      </w:pPr>
      <w:r>
        <w:rPr>
          <w:rFonts w:ascii="Noto Sans" w:hAnsi="Noto Sans"/>
          <w:color w:val="62596D"/>
          <w:sz w:val="22"/>
        </w:rPr>
        <w:t>2026 — препринт</w:t>
      </w:r>
    </w:p>
    <w:p>
      <w:pPr>
        <w:spacing w:after="140" w:line="269" w:lineRule="auto"/>
      </w:pPr>
      <w:r>
        <w:rPr>
          <w:sz w:val="26"/>
        </w:rPr>
        <w:t>Бенчмарк проспективной памяти — исполнения намерений в нужное время или при нужном условии на фоне текущих дел. Для карты пробелов важны также отмены и переносы поручений. Это проверка удержания и исполнения намерений, а не самостоятельного происхождения целей.</w:t>
      </w:r>
    </w:p>
    <w:p>
      <w:pPr>
        <w:keepNext w:val="0"/>
        <w:spacing w:after="180"/>
      </w:pPr>
      <w:hyperlink r:id="rId26">
        <w:r>
          <w:rPr>
            <w:rFonts w:ascii="Noto Sans" w:hAnsi="Noto Sans"/>
            <w:color w:val="287D83"/>
            <w:sz w:val="21"/>
            <w:u w:val="single"/>
          </w:rPr>
          <w:t>https://arxiv.org/abs/2607.12385</w:t>
        </w:r>
      </w:hyperlink>
    </w:p>
    <w:p>
      <w:pPr>
        <w:pStyle w:val="Heading2"/>
        <w:spacing w:before="180" w:after="100"/>
      </w:pPr>
      <w:r>
        <w:rPr>
          <w:color w:val="287D83"/>
          <w:sz w:val="28"/>
        </w:rPr>
        <w:t>08  /  Identifying indicators of consciousness in AI systems</w:t>
      </w:r>
    </w:p>
    <w:p>
      <w:pPr>
        <w:spacing w:after="100" w:line="269" w:lineRule="auto"/>
      </w:pPr>
      <w:r>
        <w:rPr>
          <w:rFonts w:ascii="Noto Sans" w:hAnsi="Noto Sans"/>
          <w:color w:val="62596D"/>
          <w:sz w:val="22"/>
        </w:rPr>
        <w:t>2025</w:t>
      </w:r>
    </w:p>
    <w:p>
      <w:pPr>
        <w:spacing w:after="140" w:line="269" w:lineRule="auto"/>
      </w:pPr>
      <w:r>
        <w:rPr>
          <w:sz w:val="26"/>
        </w:rPr>
        <w:t>Методологическая рамка для обсуждения индикаторов сознания, выводимых из нейронаучных теорий. Такие индикаторы могут менять оценку вероятности сознания, но не превращаются в бинарное доказательство. Полезна для отделения наблюдаемой функции от вывода о субъективном опыте.</w:t>
      </w:r>
    </w:p>
    <w:p>
      <w:pPr>
        <w:keepNext w:val="0"/>
        <w:spacing w:after="180"/>
      </w:pPr>
      <w:hyperlink r:id="rId27">
        <w:r>
          <w:rPr>
            <w:rFonts w:ascii="Noto Sans" w:hAnsi="Noto Sans"/>
            <w:color w:val="287D83"/>
            <w:sz w:val="21"/>
            <w:u w:val="single"/>
          </w:rPr>
          <w:t>https://doi.org/10.1016/j.tics.2025.10.011</w:t>
        </w:r>
      </w:hyperlink>
    </w:p>
    <w:p>
      <w:pPr>
        <w:pStyle w:val="Heading2"/>
        <w:spacing w:before="180" w:after="100"/>
      </w:pPr>
      <w:r>
        <w:rPr>
          <w:color w:val="40265C"/>
          <w:sz w:val="28"/>
        </w:rPr>
        <w:t>В каком порядке читать</w:t>
      </w:r>
    </w:p>
    <w:p>
      <w:pPr>
        <w:spacing w:after="140" w:line="269" w:lineRule="auto"/>
      </w:pPr>
      <w:r>
        <w:rPr>
          <w:sz w:val="26"/>
        </w:rPr>
        <w:t>MemoryArena → MemoryAgentBench → PM-Bench → Identifying indicators of consciousness in AI systems. Сначала — связь опыта с действием, затем отдельные способности памяти и отложенные намерения; в конце — методологические границы выводов о сознании.</w:t>
      </w:r>
    </w:p>
    <w:p>
      <w:pPr>
        <w:pStyle w:val="Heading2"/>
        <w:spacing w:before="180" w:after="100"/>
      </w:pPr>
      <w:r>
        <w:rPr>
          <w:color w:val="40265C"/>
          <w:sz w:val="28"/>
        </w:rPr>
        <w:t>Главная оговорка</w:t>
      </w:r>
    </w:p>
    <w:p>
      <w:pPr>
        <w:spacing w:after="140" w:line="269" w:lineRule="auto"/>
      </w:pPr>
      <w:r>
        <w:rPr>
          <w:b/>
          <w:sz w:val="26"/>
        </w:rPr>
        <w:t>Бенчмарки памяти и поведения не доказывают сознание. Правильное извлечение сведений, успешный перенос опыта и исполнение поручений — результаты функциональных проверок, а не свидетельство субъективного переживания.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22" w:left="964" w:header="340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/>
        <w:color w:val="40265C"/>
        <w:sz w:val="16"/>
      </w:rPr>
      <w:t xml:space="preserve">КНИГИ О ПОЗНАНИИ     •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pBdr>
        <w:bottom w:val="single" w:sz="4" w:color="B18A47" w:space="5"/>
      </w:pBdr>
    </w:pPr>
    <w:r>
      <w:rPr>
        <w:color w:val="40265C"/>
      </w:rPr>
      <w:t>БИБЛИОТЕКА ПОЗНАНИЯ  /  12 КЛАССИЧЕСКИХ РАБОТ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Noto Serif" w:hAnsi="Noto Serif"/>
      <w:color w:val="282333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80"/>
      <w:outlineLvl w:val="0"/>
    </w:pPr>
    <w:rPr>
      <w:rFonts w:asciiTheme="majorHAnsi" w:eastAsiaTheme="majorEastAsia" w:hAnsiTheme="majorHAnsi" w:cstheme="majorBidi" w:ascii="Noto Sans" w:hAnsi="Noto Sans"/>
      <w:b/>
      <w:bCs/>
      <w:color w:val="40265C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/>
      <w:outlineLvl w:val="1"/>
    </w:pPr>
    <w:rPr>
      <w:rFonts w:asciiTheme="majorHAnsi" w:eastAsiaTheme="majorEastAsia" w:hAnsiTheme="majorHAnsi" w:cstheme="majorBidi" w:ascii="Noto Sans" w:hAnsi="Noto Sans"/>
      <w:b/>
      <w:bCs/>
      <w:color w:val="40265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80"/>
      <w:outlineLvl w:val="2"/>
    </w:pPr>
    <w:rPr>
      <w:rFonts w:asciiTheme="majorHAnsi" w:eastAsiaTheme="majorEastAsia" w:hAnsiTheme="majorHAnsi" w:cstheme="majorBidi" w:ascii="Noto Sans" w:hAnsi="Noto Sans"/>
      <w:b/>
      <w:bCs/>
      <w:color w:val="4026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Noto Sans" w:hAnsi="Noto Sans"/>
      <w:color w:val="40265C"/>
      <w:spacing w:val="5"/>
      <w:kern w:val="28"/>
      <w:sz w:val="7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80" w:after="80"/>
    </w:pPr>
    <w:rPr>
      <w:rFonts w:asciiTheme="majorHAnsi" w:eastAsiaTheme="majorEastAsia" w:hAnsiTheme="majorHAnsi" w:cstheme="majorBidi" w:ascii="Noto Sans" w:hAnsi="Noto Sans"/>
      <w:i/>
      <w:iCs/>
      <w:color w:val="40265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60" w:line="283" w:lineRule="auto"/>
    </w:pPr>
    <w:rPr>
      <w:rFonts w:ascii="Noto Serif" w:hAnsi="Noto Serif"/>
      <w:color w:val="282333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80" w:after="80"/>
    </w:pPr>
    <w:rPr>
      <w:rFonts w:ascii="Noto Sans" w:hAnsi="Noto Sans"/>
      <w:b/>
      <w:bCs/>
      <w:color w:val="62596D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velantrian/Velantrim-Memory-Ruslan/blob/main/book-collections/encyclopedia-of-cognition-v4.1/Encyclopedia_of_Cognition_V4.1.docx" TargetMode="External"/><Relationship Id="rId12" Type="http://schemas.openxmlformats.org/officeDocument/2006/relationships/hyperlink" Target="https://github.com/velantrian/Velantrim-Memory-Ruslan/blob/main/book-collections/encyclopedia-of-cognition-v4.1/Bibliography_Audit_V4.1.xlsx" TargetMode="External"/><Relationship Id="rId13" Type="http://schemas.openxmlformats.org/officeDocument/2006/relationships/hyperlink" Target="https://github.com/velantrian/Velantrim-Memory-Ruslan/tree/main/Encyclopedia_of_Cognition_Project" TargetMode="External"/><Relationship Id="rId14" Type="http://schemas.openxmlformats.org/officeDocument/2006/relationships/hyperlink" Target="https://psychclassics.yorku.ca/Ebbinghaus/index.htm" TargetMode="External"/><Relationship Id="rId15" Type="http://schemas.openxmlformats.org/officeDocument/2006/relationships/image" Target="media/image1.jpg"/><Relationship Id="rId16" Type="http://schemas.openxmlformats.org/officeDocument/2006/relationships/image" Target="media/image2.jpg"/><Relationship Id="rId17" Type="http://schemas.openxmlformats.org/officeDocument/2006/relationships/image" Target="media/image3.jpg"/><Relationship Id="rId18" Type="http://schemas.openxmlformats.org/officeDocument/2006/relationships/image" Target="media/image4.jpg"/><Relationship Id="rId19" Type="http://schemas.openxmlformats.org/officeDocument/2006/relationships/image" Target="media/image5.jpg"/><Relationship Id="rId20" Type="http://schemas.openxmlformats.org/officeDocument/2006/relationships/hyperlink" Target="https://arxiv.org/abs/2512.13564" TargetMode="External"/><Relationship Id="rId21" Type="http://schemas.openxmlformats.org/officeDocument/2006/relationships/hyperlink" Target="https://arxiv.org/abs/2502.12110" TargetMode="External"/><Relationship Id="rId22" Type="http://schemas.openxmlformats.org/officeDocument/2006/relationships/hyperlink" Target="https://arxiv.org/abs/2410.10813" TargetMode="External"/><Relationship Id="rId23" Type="http://schemas.openxmlformats.org/officeDocument/2006/relationships/hyperlink" Target="https://arxiv.org/abs/2507.05257" TargetMode="External"/><Relationship Id="rId24" Type="http://schemas.openxmlformats.org/officeDocument/2006/relationships/hyperlink" Target="https://arxiv.org/abs/2602.16313" TargetMode="External"/><Relationship Id="rId25" Type="http://schemas.openxmlformats.org/officeDocument/2006/relationships/hyperlink" Target="https://arxiv.org/abs/2605.12493" TargetMode="External"/><Relationship Id="rId26" Type="http://schemas.openxmlformats.org/officeDocument/2006/relationships/hyperlink" Target="https://arxiv.org/abs/2607.12385" TargetMode="External"/><Relationship Id="rId27" Type="http://schemas.openxmlformats.org/officeDocument/2006/relationships/hyperlink" Target="https://doi.org/10.1016/j.tics.2025.10.0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Книги о познании — расширенный иллюстрированный каталог</dc:title>
  <dc:subject>12 классических работ, карта исследовательских пробелов и 8 новых источников</dc:subject>
  <dc:creator>Cue</dc:creator>
  <cp:keywords>познание, психология, библиография, нейропсихология, машинное обучение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