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Мозг, память, сознание и ИИ: СССР, США, Европа, Азия и независимые исследователи</w:t>
      </w:r>
    </w:p>
    <w:p>
      <w:r>
        <w:rPr>
          <w:b/>
          <w:i w:val="0"/>
        </w:rPr>
        <w:t>Самое полезное для «Заучита» — не искать одну «забытую теорию мозга», а соединять проверяемые результаты разных школ.</w:t>
      </w:r>
      <w:r>
        <w:rPr>
          <w:b w:val="0"/>
          <w:i w:val="0"/>
        </w:rPr>
        <w:t xml:space="preserve"> Условное научение, работа внешних подсказок, разделение систем памяти, синаптическая пластичность и обучение через обратную связь изучены значительно надёжнее, чем происхождение субъективного опыта. Из первого можно выводить исследовательские задачи. Второе пока нельзя превращать в обещание «создать сознание».</w:t>
      </w:r>
    </w:p>
    <w:p>
      <w:r>
        <w:rPr>
          <w:b w:val="0"/>
          <w:i w:val="0"/>
        </w:rPr>
        <w:t>Ниже сравниваются направления, а не национальности. Павлов начал работать до СССР; Хебб и Тульвинг работали в Канаде; американец О’Киф сделал ключевые открытия в Великобритании; японец Тонегава проводил знаменитые эксперименты памяти в MIT. Такая международность — часть истории, а не исключение.</w:t>
      </w:r>
    </w:p>
    <w:p>
      <w:pPr>
        <w:pStyle w:val="Heading2"/>
      </w:pPr>
      <w:r>
        <w:rPr>
          <w:b w:val="0"/>
          <w:i w:val="0"/>
        </w:rPr>
        <w:t>СССР: от рефлекса к целенаправленной функциональной системе</w:t>
      </w:r>
    </w:p>
    <w:p>
      <w:pPr>
        <w:pStyle w:val="Heading3"/>
      </w:pPr>
      <w:r>
        <w:rPr>
          <w:b w:val="0"/>
          <w:i w:val="0"/>
        </w:rPr>
        <w:t>Павлов и Бехтерев: сделать обучение наблюдаемым</w:t>
      </w:r>
    </w:p>
    <w:p>
      <w:r>
        <w:rPr>
          <w:b/>
          <w:i w:val="0"/>
        </w:rPr>
        <w:t>Иван Павлов</w:t>
      </w:r>
      <w:r>
        <w:rPr>
          <w:b w:val="0"/>
          <w:i w:val="0"/>
        </w:rPr>
        <w:t xml:space="preserve"> превратил приобретение сигнальной связи в контролируемый эксперимент: предъявлял собаке сигнал вместе с пищей и регистрировал слюноотделение. После обучения сигнал сам вызывал реакцию; отсутствие подкрепления позволяло изучать её угасание. Важно не перепутать даты: Нобелевская премия 1904 года была за физиологию пищеварения, а не за «открытие сознания» или даже непосредственно за условные рефлексы. Его лекция показывает, как физиология пищеварения привела к исследованию сигналов и обучения </w:t>
      </w:r>
      <w:hyperlink r:id="rId9">
        <w:r>
          <w:rPr>
            <w:rStyle w:val="Hyperlink"/>
          </w:rPr>
          <w:t>1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>Подтверждён сам феномен условного научения. Но тезис «любое мышление — цепь рефлексов» из этих опытов не следует. Угасание реакции тоже нельзя автоматически считать стиранием воспоминания. Для современного исследования ценен метод: раздельно измерять приобретение связи, её выражение в поведении и изменение при новых условиях.</w:t>
      </w:r>
    </w:p>
    <w:p>
      <w:r>
        <w:rPr>
          <w:b/>
          <w:i w:val="0"/>
        </w:rPr>
        <w:t>Владимир Бехтерев</w:t>
      </w:r>
      <w:r>
        <w:rPr>
          <w:b w:val="0"/>
          <w:i w:val="0"/>
        </w:rPr>
        <w:t xml:space="preserve"> развивал объективную психологию и рефлексологию: исследовал движения и наблюдаемое поведение, стремясь исключить зависимость науки от субъективного самоотчёта. Он был крупным неврологом и организатором исследовательских учреждений. Однако его широкая рефлексологическая программа — историческая теория, а не подтверждённое объяснение всей личности. Историк Энди Байфорд (2016) показывает также, что она конкурировала с другими направлениями, а не была единственной советской наукой о человеке </w:t>
      </w:r>
      <w:hyperlink r:id="rId10">
        <w:r>
          <w:rPr>
            <w:rStyle w:val="Hyperlink"/>
          </w:rPr>
          <w:t>2</w:t>
        </w:r>
      </w:hyperlink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Выготский и Лурия: память меняется вместе со способом действия</w:t>
      </w:r>
    </w:p>
    <w:p>
      <w:r>
        <w:rPr>
          <w:b/>
          <w:i w:val="0"/>
        </w:rPr>
        <w:t>Лев Выготский и Александр Лурия</w:t>
      </w:r>
      <w:r>
        <w:rPr>
          <w:b w:val="0"/>
          <w:i w:val="0"/>
        </w:rPr>
        <w:t xml:space="preserve"> поставили другой вопрос: как речь, обучение, запись и социальное взаимодействие перестраивают психические функции? В этой традиции человек запоминает не только «силой внутреннего следа», но и с помощью знаков, смысловой группировки и самокоманд.</w:t>
      </w:r>
    </w:p>
    <w:p>
      <w:r>
        <w:rPr>
          <w:b w:val="0"/>
          <w:i w:val="0"/>
        </w:rPr>
        <w:t xml:space="preserve">Лурия развивал </w:t>
      </w:r>
      <w:r>
        <w:rPr>
          <w:b/>
          <w:i w:val="0"/>
        </w:rPr>
        <w:t>синдромный анализ</w:t>
      </w:r>
      <w:r>
        <w:rPr>
          <w:b w:val="0"/>
          <w:i w:val="0"/>
        </w:rPr>
        <w:t xml:space="preserve">: по сочетанию нарушенных и сохранных операций выяснять, какой компонент функциональной системы повреждён. Например, внешне одинаковая ошибка письма может возникать из-за разных нарушений обработки речи или организации действия. В обзоре Татьяны Ахутиной (2011) выделены социальное происхождение, системное строение и динамическая локализация высших функций </w:t>
      </w:r>
      <w:hyperlink r:id="rId11">
        <w:r>
          <w:rPr>
            <w:rStyle w:val="Hyperlink"/>
          </w:rPr>
          <w:t>3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Современная ценность — анализ компонентов и компенсаций, а не поиск единственного «центра памяти». Но культурно-историческая теория шире своих экспериментальных подтверждений: из неё нельзя напрямую вывести устройство нейронной сети. Постсоветское продолжение этой линии представлено, например, работами Ахутиной и нейропсихологической реабилитацией, описанной Жанной Глозман (2016). Это конкретное клинико-методическое наследие, не доказательство всех положений школы сразу </w:t>
      </w:r>
      <w:hyperlink r:id="rId12">
        <w:r>
          <w:rPr>
            <w:rStyle w:val="Hyperlink"/>
          </w:rPr>
          <w:t>3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Для «Заучита» здесь особенно важен вопрос: </w:t>
      </w:r>
      <w:r>
        <w:rPr>
          <w:b/>
          <w:i w:val="0"/>
        </w:rPr>
        <w:t>подсказка помогает сейчас или учит обходиться без подсказки потом?</w:t>
      </w:r>
      <w:r>
        <w:rPr>
          <w:b w:val="0"/>
          <w:i w:val="0"/>
        </w:rPr>
        <w:t xml:space="preserve"> Это разные результаты, которые нужно измерять отдельно.</w:t>
      </w:r>
    </w:p>
    <w:p>
      <w:pPr>
        <w:pStyle w:val="Heading3"/>
      </w:pPr>
      <w:r>
        <w:rPr>
          <w:b w:val="0"/>
          <w:i w:val="0"/>
        </w:rPr>
        <w:t>Бернштейн и Анохин: поведение организуется вокруг результата</w:t>
      </w:r>
    </w:p>
    <w:p>
      <w:r>
        <w:rPr>
          <w:b/>
          <w:i w:val="0"/>
        </w:rPr>
        <w:t>Николай Бернштейн</w:t>
      </w:r>
      <w:r>
        <w:rPr>
          <w:b w:val="0"/>
          <w:i w:val="0"/>
        </w:rPr>
        <w:t xml:space="preserve"> исследовал координацию движений. Суставов, мышц и возможных траекторий много, но действие остаётся устойчивым: одна цель достигается разными движениями. Так возникла проблема степеней свободы и интерес к моторной эквивалентности.</w:t>
      </w:r>
    </w:p>
    <w:p>
      <w:r>
        <w:rPr>
          <w:b w:val="0"/>
          <w:i w:val="0"/>
        </w:rPr>
        <w:t xml:space="preserve">Современная оценка не сводится к признанию одной окончательной схемы Бернштейна. Реальны адаптивность и избыточность двигательной системы; объяснять их продолжают конкурирующие модели оптимального управления, синергий и других механизмов. Обзор Пьетро Морассо (2022) хорошо показывает эту незавершённость </w:t>
      </w:r>
      <w:hyperlink r:id="rId13">
        <w:r>
          <w:rPr>
            <w:rStyle w:val="Hyperlink"/>
          </w:rPr>
          <w:t>5</w:t>
        </w:r>
      </w:hyperlink>
      <w:r>
        <w:rPr>
          <w:b w:val="0"/>
          <w:i w:val="0"/>
        </w:rPr>
        <w:t>. Для ИИ отсюда следует полезная задача: проверять достижение цели в меняющихся условиях, а не только воспроизведение выученной последовательности.</w:t>
      </w:r>
    </w:p>
    <w:p>
      <w:r>
        <w:rPr>
          <w:b/>
          <w:i w:val="0"/>
        </w:rPr>
        <w:t>Пётр Анохин</w:t>
      </w:r>
      <w:r>
        <w:rPr>
          <w:b w:val="0"/>
          <w:i w:val="0"/>
        </w:rPr>
        <w:t xml:space="preserve"> предложил теорию функциональных систем: поведение объединяется ожидаемым полезным результатом; действие сравнивается с ожиданием через обратную связь. Его «акцептор результата действия» — исторически важная модель предвосхищения результата.</w:t>
      </w:r>
    </w:p>
    <w:p>
      <w:r>
        <w:rPr>
          <w:b w:val="0"/>
          <w:i w:val="0"/>
        </w:rPr>
        <w:t xml:space="preserve">Наследие здесь — переход от простой цепочки «стимул → ответ» к циклу «цель → действие → результат → коррекция». Но нельзя объявлять акцептор обнаруженным единичным нейронным модулем, а всю теорию — доказанной архитектурой сознания. Позднейшие применения к темпераменту и организации деятельности, например у Трофимовой (2018), остаются развитием теоретической программы, а не её окончательной проверкой </w:t>
      </w:r>
      <w:hyperlink r:id="rId14">
        <w:r>
          <w:rPr>
            <w:rStyle w:val="Hyperlink"/>
          </w:rPr>
          <w:t>6</w:t>
        </w:r>
      </w:hyperlink>
      <w:r>
        <w:rPr>
          <w:b w:val="0"/>
          <w:i w:val="0"/>
        </w:rPr>
        <w:t>. Сходство с обучением с подкреплением или современным управлением не доказывает полного тождества механизмов.</w:t>
      </w:r>
    </w:p>
    <w:p>
      <w:pPr>
        <w:pStyle w:val="Heading3"/>
      </w:pPr>
      <w:r>
        <w:rPr>
          <w:b w:val="0"/>
          <w:i w:val="0"/>
        </w:rPr>
        <w:t>Соколов: почему новизна привлекает внимание</w:t>
      </w:r>
    </w:p>
    <w:p>
      <w:r>
        <w:rPr>
          <w:b/>
          <w:i w:val="0"/>
        </w:rPr>
        <w:t>Евгений Соколов</w:t>
      </w:r>
      <w:r>
        <w:rPr>
          <w:b w:val="0"/>
          <w:i w:val="0"/>
        </w:rPr>
        <w:t xml:space="preserve"> исследовал ориентировочную реакцию: повторяющийся стимул постепенно вызывает меньший ответ, а изменение стимула восстанавливает ориентировку. В опытах используют повторяющиеся звуки и регистрируют кожную проводимость, сердечные и другие физиологические изменения.</w:t>
      </w:r>
    </w:p>
    <w:p>
      <w:r>
        <w:rPr>
          <w:b w:val="0"/>
          <w:i w:val="0"/>
        </w:rPr>
        <w:t xml:space="preserve">Он объяснял это сравнением входящего сигнала с «нейронной моделью» ситуации. Привыкание и реакция на изменение хорошо поддержаны исследованиями; конкретная модель сравнения — интерпретация, а не буквально прочитанная схема мозга. Современный обзор Брэдли (2009; опубликован онлайн в 2008 году) рассматривает ориентировку вместе со значимостью и эмоциями </w:t>
      </w:r>
      <w:hyperlink r:id="rId15">
        <w:r>
          <w:rPr>
            <w:rStyle w:val="Hyperlink"/>
          </w:rPr>
          <w:t>7</w:t>
        </w:r>
      </w:hyperlink>
      <w:r>
        <w:rPr>
          <w:b w:val="0"/>
          <w:i w:val="0"/>
        </w:rPr>
        <w:t>. Для обучения важно не путать привлечение внимания с последующим запоминанием: яркий новый стимул не обязательно улучшает усвоение нужного материала.</w:t>
      </w:r>
    </w:p>
    <w:p>
      <w:pPr>
        <w:pStyle w:val="Heading3"/>
      </w:pPr>
      <w:r>
        <w:rPr>
          <w:b w:val="0"/>
          <w:i w:val="0"/>
        </w:rPr>
        <w:t>Советский вклад непосредственно в машинное обучение</w:t>
      </w:r>
    </w:p>
    <w:p>
      <w:r>
        <w:rPr>
          <w:b/>
          <w:i w:val="0"/>
        </w:rPr>
        <w:t>Алексей Ивахненко и киевская школа</w:t>
      </w:r>
      <w:r>
        <w:rPr>
          <w:b w:val="0"/>
          <w:i w:val="0"/>
        </w:rPr>
        <w:t xml:space="preserve"> — важное дополнение к психофизиологии. В статье Ивахненко (1971) описаны многослойные полиномиальные модели метода группового учёта аргументов — МГУА/GMDH. Коэффициенты подбирались регрессией, а полезные элементы и сложность модели отбирались с использованием отдельных проверочных данных </w:t>
      </w:r>
      <w:hyperlink r:id="rId16">
        <w:r>
          <w:rPr>
            <w:rStyle w:val="Hyperlink"/>
          </w:rPr>
          <w:t>8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>Это реальный ранний вклад в построение обучаемых многослойных систем и контроль переобучения. Работы выполнялись в Институте кибернетики АН Украинской ССР в Киеве: корректно говорить о советском и украинском научном наследии. Нельзя называть эти системы трансформерами или доказанной моделью коры. И спор о том, кто «единолично изобрёл глубокое обучение», менее содержателен, чем сравнение конкретных алгоритмов.</w:t>
      </w:r>
    </w:p>
    <w:p>
      <w:pPr>
        <w:pStyle w:val="Heading3"/>
      </w:pPr>
      <w:r>
        <w:rPr>
          <w:b w:val="0"/>
          <w:i w:val="0"/>
        </w:rPr>
        <w:t>Политический контекст тоже влиял на результаты</w:t>
      </w:r>
    </w:p>
    <w:p>
      <w:r>
        <w:rPr>
          <w:b w:val="0"/>
          <w:i w:val="0"/>
        </w:rPr>
        <w:t xml:space="preserve">Советская наука не была неизменным блоком. Павловская сессия 1950 года сопровождалась навязыванием одной доктрины, критикой крупных физиологов и перестройкой учреждений. Историческое исследование Кристины Поповой (2025) прослеживает, как догматическое расширение павловских идей влияло даже на лечебные практики </w:t>
      </w:r>
      <w:hyperlink r:id="rId17">
        <w:r>
          <w:rPr>
            <w:rStyle w:val="Hyperlink"/>
          </w:rPr>
          <w:t>9</w:t>
        </w:r>
      </w:hyperlink>
      <w:r>
        <w:rPr>
          <w:b w:val="0"/>
          <w:i w:val="0"/>
        </w:rPr>
        <w:t>. Это не опровержение условного научения, а пример опасности превращения ограниченного результата в обязательное объяснение всего.</w:t>
      </w:r>
    </w:p>
    <w:p>
      <w:r>
        <w:rPr>
          <w:b w:val="0"/>
          <w:i w:val="0"/>
        </w:rPr>
        <w:t xml:space="preserve">История кибернетики тоже сложнее формулы «её всегда запрещали». Слава Герович (2002) показывает смену её политического статуса и роль кибернетики как языка научных реформ </w:t>
      </w:r>
      <w:hyperlink r:id="rId18">
        <w:r>
          <w:rPr>
            <w:rStyle w:val="Hyperlink"/>
          </w:rPr>
          <w:t>10</w:t>
        </w:r>
      </w:hyperlink>
      <w:r>
        <w:rPr>
          <w:b w:val="0"/>
          <w:i w:val="0"/>
        </w:rPr>
        <w:t>. Поэтому открытия нужно оценивать по методу и данным, отдельно от государственной идеологии и позднейших легенд.</w:t>
      </w:r>
    </w:p>
    <w:p>
      <w:pPr>
        <w:pStyle w:val="Heading2"/>
      </w:pPr>
      <w:r>
        <w:rPr>
          <w:b w:val="0"/>
          <w:i w:val="0"/>
        </w:rPr>
        <w:t>США и Канада: разделить память на системы и найти клеточные механизмы</w:t>
      </w:r>
    </w:p>
    <w:p>
      <w:pPr>
        <w:pStyle w:val="Heading3"/>
      </w:pPr>
      <w:r>
        <w:rPr>
          <w:b w:val="0"/>
          <w:i w:val="0"/>
        </w:rPr>
        <w:t>H.M.: можно учиться, не помня самого обучения</w:t>
      </w:r>
    </w:p>
    <w:p>
      <w:r>
        <w:rPr>
          <w:b w:val="0"/>
          <w:i w:val="0"/>
        </w:rPr>
        <w:t xml:space="preserve">После двусторонней операции на медиальных височных структурах пациент </w:t>
      </w:r>
      <w:r>
        <w:rPr>
          <w:b/>
          <w:i w:val="0"/>
        </w:rPr>
        <w:t>Генри Молейсон, H.M.</w:t>
      </w:r>
      <w:r>
        <w:rPr>
          <w:b w:val="0"/>
          <w:i w:val="0"/>
        </w:rPr>
        <w:t>, тяжело утратил способность формировать новые долговременные декларативные воспоминания. При этом сохранялись некоторые другие способности, включая улучшение в двигательной задаче без воспоминания о предыдущих попытках.</w:t>
      </w:r>
    </w:p>
    <w:p>
      <w:r>
        <w:rPr>
          <w:b w:val="0"/>
          <w:i w:val="0"/>
        </w:rPr>
        <w:t xml:space="preserve">Работа </w:t>
      </w:r>
      <w:r>
        <w:rPr>
          <w:b/>
          <w:i w:val="0"/>
        </w:rPr>
        <w:t>Уильяма Сковилла и Бренды Милнер (1957)</w:t>
      </w:r>
      <w:r>
        <w:rPr>
          <w:b w:val="0"/>
          <w:i w:val="0"/>
        </w:rPr>
        <w:t xml:space="preserve"> стала аргументом против единой неделимой памяти. Но это американо-канадская история: Сковилл работал в США, Милнер — в McGill в Канаде. Более поздний разбор Ларри Сквайра (2009) уточняет, что поражение не ограничивалось одним гиппокампом </w:t>
      </w:r>
      <w:hyperlink r:id="rId19">
        <w:r>
          <w:rPr>
            <w:rStyle w:val="Hyperlink"/>
          </w:rPr>
          <w:t>11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>Вывод не «в гиппокампе лежит вся личность», а «разные виды запоминания опираются на различающиеся системы». Для «Заучита» успешное воспроизведение факта, усвоение навыка и удержание текущей инструкции нельзя считать одной метрикой.</w:t>
      </w:r>
    </w:p>
    <w:p>
      <w:pPr>
        <w:pStyle w:val="Heading3"/>
      </w:pPr>
      <w:r>
        <w:rPr>
          <w:b w:val="0"/>
          <w:i w:val="0"/>
        </w:rPr>
        <w:t>Хебб и Кандел: от ансамбля к пластичности</w:t>
      </w:r>
    </w:p>
    <w:p>
      <w:r>
        <w:rPr>
          <w:b/>
          <w:i w:val="0"/>
        </w:rPr>
        <w:t>Дональд Хебб</w:t>
      </w:r>
      <w:r>
        <w:rPr>
          <w:b w:val="0"/>
          <w:i w:val="0"/>
        </w:rPr>
        <w:t xml:space="preserve">, канадский исследователь, в 1949 году предложил объяснять обучение изменением связей между совместно активирующимися нейронами и формированием клеточных ансамблей. Это была теоретическая программа, а не прямое наблюдение записи человеческого воспоминания. Исторический обзор Брауна (2021) показывает также, что идеи пластичных связей имели предшественников </w:t>
      </w:r>
      <w:hyperlink r:id="rId20">
        <w:r>
          <w:rPr>
            <w:rStyle w:val="Hyperlink"/>
          </w:rPr>
          <w:t>13</w:t>
        </w:r>
      </w:hyperlink>
      <w:r>
        <w:rPr>
          <w:b w:val="0"/>
          <w:i w:val="0"/>
        </w:rPr>
        <w:t>.</w:t>
      </w:r>
    </w:p>
    <w:p>
      <w:r>
        <w:rPr>
          <w:b/>
          <w:i w:val="0"/>
        </w:rPr>
        <w:t>Эрик Кандел</w:t>
      </w:r>
      <w:r>
        <w:rPr>
          <w:b w:val="0"/>
          <w:i w:val="0"/>
        </w:rPr>
        <w:t xml:space="preserve">, родившийся в Австрии и работавший в США, с коллегами исследовал обучение у морского моллюска Aplysia. Регистрация активности отдельных нейронов, воздействие на молекулярные сигнальные пути и синтез белка помогли различить кратковременные и долговременные изменения синапсов. Его Нобелевская лекция (2000) связывает долговременную пластичность с регуляцией экспрессии генов и структурными изменениями </w:t>
      </w:r>
      <w:hyperlink r:id="rId21">
        <w:r>
          <w:rPr>
            <w:rStyle w:val="Hyperlink"/>
          </w:rPr>
          <w:t>14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>Это сильные данные о клеточных механизмах. Но из них не следует, что молекулярная схема простого рефлекса полностью объясняет человеческую автобиографию. И «хеббовское обучение» в программе — математический выбор, не автоматическое воспроизведение биологической памяти.</w:t>
      </w:r>
    </w:p>
    <w:p>
      <w:pPr>
        <w:pStyle w:val="Heading3"/>
      </w:pPr>
      <w:r>
        <w:rPr>
          <w:b w:val="0"/>
          <w:i w:val="0"/>
        </w:rPr>
        <w:t>Когнитивная наука и внимание</w:t>
      </w:r>
    </w:p>
    <w:p>
      <w:r>
        <w:rPr>
          <w:b w:val="0"/>
          <w:i w:val="0"/>
        </w:rPr>
        <w:t xml:space="preserve">Когнитивная традиция сделала внутренние операции предметом эксперимента: исследовала время ответа, ошибки, переключение задач и ограничения обработки информации. В работе </w:t>
      </w:r>
      <w:r>
        <w:rPr>
          <w:b/>
          <w:i w:val="0"/>
        </w:rPr>
        <w:t>Познера и Петерсена (1990)</w:t>
      </w:r>
      <w:r>
        <w:rPr>
          <w:b w:val="0"/>
          <w:i w:val="0"/>
        </w:rPr>
        <w:t xml:space="preserve"> внимание рассматривается как взаимодействие систем ориентирования, поддержания готовности и исполнительного контроля, а не один общий «прожектор» </w:t>
      </w:r>
      <w:hyperlink r:id="rId22">
        <w:r>
          <w:rPr>
            <w:rStyle w:val="Hyperlink"/>
          </w:rPr>
          <w:t>15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Это важно для ИИ: внимание человека — не то же самое, что коэффициенты self-attention. </w:t>
      </w:r>
      <w:r>
        <w:rPr>
          <w:b/>
          <w:i w:val="0"/>
        </w:rPr>
        <w:t>Vaswani и соавторы (2017)</w:t>
      </w:r>
      <w:r>
        <w:rPr>
          <w:b w:val="0"/>
          <w:i w:val="0"/>
        </w:rPr>
        <w:t xml:space="preserve"> предложили Transformer как инженерную архитектуру обработки последовательностей. Её успех не доказывает, что мозг устроен так же или что языковая модель обладает субъективным опытом </w:t>
      </w:r>
      <w:hyperlink r:id="rId23">
        <w:r>
          <w:rPr>
            <w:rStyle w:val="Hyperlink"/>
          </w:rPr>
          <w:t>16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Европа: измерение забывания, смысл и рабочая память</w:t>
      </w:r>
    </w:p>
    <w:p>
      <w:pPr>
        <w:pStyle w:val="Heading3"/>
      </w:pPr>
      <w:r>
        <w:rPr>
          <w:b w:val="0"/>
          <w:i w:val="0"/>
        </w:rPr>
        <w:t>Эббингауз и Бартлетт: два дополняющих эксперимента</w:t>
      </w:r>
    </w:p>
    <w:p>
      <w:r>
        <w:rPr>
          <w:b/>
          <w:i w:val="0"/>
        </w:rPr>
        <w:t>Герман Эббингауз (1885)</w:t>
      </w:r>
      <w:r>
        <w:rPr>
          <w:b w:val="0"/>
          <w:i w:val="0"/>
        </w:rPr>
        <w:t xml:space="preserve"> заучивал контролируемый материал и измерял забывание, включая «сбережение»: насколько легче повторно выучить ранее изученное. Репликация Мюрре и Дроса (2015) поддержала общую закономерность, но не превратила одну кривую в универсальную формулу любой человеческой памяти </w:t>
      </w:r>
      <w:hyperlink r:id="rId24">
        <w:r>
          <w:rPr>
            <w:rStyle w:val="Hyperlink"/>
          </w:rPr>
          <w:t>17</w:t>
        </w:r>
      </w:hyperlink>
      <w:r>
        <w:rPr>
          <w:b w:val="0"/>
          <w:i w:val="0"/>
        </w:rPr>
        <w:t>.</w:t>
      </w:r>
    </w:p>
    <w:p>
      <w:r>
        <w:rPr>
          <w:b/>
          <w:i w:val="0"/>
        </w:rPr>
        <w:t>Фредерик Бартлетт (1932)</w:t>
      </w:r>
      <w:r>
        <w:rPr>
          <w:b w:val="0"/>
          <w:i w:val="0"/>
        </w:rPr>
        <w:t xml:space="preserve"> изучал пересказы историй: воспоминание изменялось в соответствии со смыслом и знакомыми схемами. Здесь память проявляется как реконструкция, а не буквальное воспроизведение записи. Современный разбор Roediger и коллег (2014) важен тем, что различает процедуры повторного воспроизведения одним человеком и последовательной передачи между людьми </w:t>
      </w:r>
      <w:hyperlink r:id="rId25">
        <w:r>
          <w:rPr>
            <w:rStyle w:val="Hyperlink"/>
          </w:rPr>
          <w:t>18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>Эти подходы не опровергают друг друга. Первый даёт строгий контроль времени и материала; второй показывает роль понимания и контекста. Для «Заучита» нужны оба типа тестов: точное удержание информации и сохранение смысла без незаметной подмены исходных фактов.</w:t>
      </w:r>
    </w:p>
    <w:p>
      <w:pPr>
        <w:pStyle w:val="Heading3"/>
      </w:pPr>
      <w:r>
        <w:rPr>
          <w:b w:val="0"/>
          <w:i w:val="0"/>
        </w:rPr>
        <w:t>Рабочая память — не просто маленький архив</w:t>
      </w:r>
    </w:p>
    <w:p>
      <w:r>
        <w:rPr>
          <w:b/>
          <w:i w:val="0"/>
        </w:rPr>
        <w:t>Алан Бэддели и Грэм Хитч (1974)</w:t>
      </w:r>
      <w:r>
        <w:rPr>
          <w:b w:val="0"/>
          <w:i w:val="0"/>
        </w:rPr>
        <w:t xml:space="preserve"> использовали двойные задачи: человек удерживал материал и одновременно рассуждал или понимал текст. Результаты поддержали многокомпонентную модель рабочей памяти. Однако фонологическая петля, зрительно-пространственный блокнот и исполнительный контроль — функциональные понятия, а не три изолированных анатомических контейнера. Современный обзор Хитча и коллег (2024/2025) обсуждает развитие и ограничения модели </w:t>
      </w:r>
      <w:hyperlink r:id="rId26">
        <w:r>
          <w:rPr>
            <w:rStyle w:val="Hyperlink"/>
          </w:rPr>
          <w:t>19</w:t>
        </w:r>
      </w:hyperlink>
      <w:r>
        <w:rPr>
          <w:b w:val="0"/>
          <w:i w:val="0"/>
        </w:rPr>
        <w:t>.</w:t>
      </w:r>
    </w:p>
    <w:p>
      <w:r>
        <w:rPr>
          <w:b/>
          <w:i w:val="0"/>
        </w:rPr>
        <w:t>Эндель Тульвинг</w:t>
      </w:r>
      <w:r>
        <w:rPr>
          <w:b w:val="0"/>
          <w:i w:val="0"/>
        </w:rPr>
        <w:t xml:space="preserve">, родившийся в Эстонии и работавший в Канаде, предложил различать эпизодическую память о событиях и семантическое знание. В авторском обзоре (2002) он объясняет развитие этой идеи с 1972 года и её нейропсихологические основания. Это международная линия, которую нельзя присвоить исключительно Европе или США. Для цифровой системы полезно различать сам факт, источник факта и описание эпизода его получения; но эти категории ещё не означают наличие человеческого переживания «я вспоминаю» </w:t>
      </w:r>
      <w:hyperlink r:id="rId27">
        <w:r>
          <w:rPr>
            <w:rStyle w:val="Hyperlink"/>
          </w:rPr>
          <w:t>33</w:t>
        </w:r>
      </w:hyperlink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Пространственные карты: конкретные нейроны вместо общей метафоры</w:t>
      </w:r>
    </w:p>
    <w:p>
      <w:r>
        <w:rPr>
          <w:b/>
          <w:i w:val="0"/>
        </w:rPr>
        <w:t>Джон О’Киф и Джон Достровский (1971)</w:t>
      </w:r>
      <w:r>
        <w:rPr>
          <w:b w:val="0"/>
          <w:i w:val="0"/>
        </w:rPr>
        <w:t xml:space="preserve"> регистрировали активность нейронов у свободно перемещавшихся крыс и обнаружили клетки места. </w:t>
      </w:r>
      <w:r>
        <w:rPr>
          <w:b/>
          <w:i w:val="0"/>
        </w:rPr>
        <w:t>Мэй-Бритт и Эдвард Мозеры с коллегами (2005)</w:t>
      </w:r>
      <w:r>
        <w:rPr>
          <w:b w:val="0"/>
          <w:i w:val="0"/>
        </w:rPr>
        <w:t xml:space="preserve"> описали клетки решётки в энторинальной коре. Научный обзор Нобелевского комитета (2014) объясняет методы и взаимосвязь открытий </w:t>
      </w:r>
      <w:hyperlink r:id="rId28">
        <w:r>
          <w:rPr>
            <w:rStyle w:val="Hyperlink"/>
          </w:rPr>
          <w:t>20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>Это подтверждённые механизмы пространственного кодирования. Но «карта пространства» не равна карте всей личности. В ИИ можно исследовать контекст и отношения между событиями, не утверждая, что база данных стала искусственным гиппокампом.</w:t>
      </w:r>
    </w:p>
    <w:p>
      <w:pPr>
        <w:pStyle w:val="Heading2"/>
      </w:pPr>
      <w:r>
        <w:rPr>
          <w:b w:val="0"/>
          <w:i w:val="0"/>
        </w:rPr>
        <w:t>Азия: физиология обучения, нейросетевое зрение и новые методы измерения</w:t>
      </w:r>
    </w:p>
    <w:p>
      <w:pPr>
        <w:pStyle w:val="Heading3"/>
      </w:pPr>
      <w:r>
        <w:rPr>
          <w:b w:val="0"/>
          <w:i w:val="0"/>
        </w:rPr>
        <w:t>Япония: Ито и Фукусима решали разные задачи</w:t>
      </w:r>
    </w:p>
    <w:p>
      <w:r>
        <w:rPr>
          <w:b/>
          <w:i w:val="0"/>
        </w:rPr>
        <w:t>Масао Ито</w:t>
      </w:r>
      <w:r>
        <w:rPr>
          <w:b w:val="0"/>
          <w:i w:val="0"/>
        </w:rPr>
        <w:t xml:space="preserve"> развивал исследования мозжечкового обучения. Сигнал ошибки, передаваемый лазящими волокнами, связывали с изменением эффективности синапсов на клетках Пуркинье, включая долговременную депрессию — LTD. Обзор Стивена Лисбергера (2021) показывает десятилетия физиологических проверок и сохраняющиеся вопросы о распределении пластичности </w:t>
      </w:r>
      <w:hyperlink r:id="rId29">
        <w:r>
          <w:rPr>
            <w:rStyle w:val="Hyperlink"/>
          </w:rPr>
          <w:t>21</w:t>
        </w:r>
      </w:hyperlink>
      <w:r>
        <w:rPr>
          <w:b w:val="0"/>
          <w:i w:val="0"/>
        </w:rPr>
        <w:t>. Это сильная линия моторного обучения, не универсальная теория всех воспоминаний.</w:t>
      </w:r>
    </w:p>
    <w:p>
      <w:r>
        <w:rPr>
          <w:b/>
          <w:i w:val="0"/>
        </w:rPr>
        <w:t>Кунихико Фукусима (1980)</w:t>
      </w:r>
      <w:r>
        <w:rPr>
          <w:b w:val="0"/>
          <w:i w:val="0"/>
        </w:rPr>
        <w:t xml:space="preserve"> предложил неокогнитрон: иерархическую сеть, чередующую выделение признаков и повышение устойчивости к смещению изображения. Работа опиралась на идеи организации зрительной системы и стала важным предшественником свёрточных архитектур. Первичная статья описывает компьютерные эксперименты, а авторский обзор (2007) — S- и C-слои, локальные связи и общие веса </w:t>
      </w:r>
      <w:hyperlink r:id="rId30">
        <w:r>
          <w:rPr>
            <w:rStyle w:val="Hyperlink"/>
          </w:rPr>
          <w:t>22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>Здесь важно различить уровни: способность алгоритма узнавать смещённый образ подтверждается вычислительным экспериментом; полное соответствие зрительной коре или наличие сознательного зрения — нет.</w:t>
      </w:r>
    </w:p>
    <w:p>
      <w:pPr>
        <w:pStyle w:val="Heading3"/>
      </w:pPr>
      <w:r>
        <w:rPr>
          <w:b w:val="0"/>
          <w:i w:val="0"/>
        </w:rPr>
        <w:t>Японско-американская линия: Тонегава и энграммы</w:t>
      </w:r>
    </w:p>
    <w:p>
      <w:r>
        <w:rPr>
          <w:b w:val="0"/>
          <w:i w:val="0"/>
        </w:rPr>
        <w:t xml:space="preserve">В работе </w:t>
      </w:r>
      <w:r>
        <w:rPr>
          <w:b/>
          <w:i w:val="0"/>
        </w:rPr>
        <w:t>Лю, Рамиреса и коллег из лаборатории Сусуму Тонегавы (2012)</w:t>
      </w:r>
      <w:r>
        <w:rPr>
          <w:b w:val="0"/>
          <w:i w:val="0"/>
        </w:rPr>
        <w:t xml:space="preserve"> у мышей помечали клетки, активные при обучении контекстному страху. Позже их активировали светом и получали замирание в другом контексте. Контрольные группы помогали исключить простое объяснение действием света </w:t>
      </w:r>
      <w:hyperlink r:id="rId31">
        <w:r>
          <w:rPr>
            <w:rStyle w:val="Hyperlink"/>
          </w:rPr>
          <w:t>24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>Это причинный эксперимент: вмешательство в определённый ансамбль достаточно для вызова конкретного выученного поведения в условиях опыта. Но нельзя переводить результат как «учёные извлекли полный фильм воспоминания» или «перенесли личность». Тонегава — японский учёный, однако работа связана с MIT в США и поддержкой RIKEN; это международный результат.</w:t>
      </w:r>
    </w:p>
    <w:p>
      <w:pPr>
        <w:pStyle w:val="Heading3"/>
      </w:pPr>
      <w:r>
        <w:rPr>
          <w:b w:val="0"/>
          <w:i w:val="0"/>
        </w:rPr>
        <w:t>Япония и Китай: картирование и переходы сна</w:t>
      </w:r>
    </w:p>
    <w:p>
      <w:r>
        <w:rPr>
          <w:b w:val="0"/>
          <w:i w:val="0"/>
        </w:rPr>
        <w:t xml:space="preserve">Японский </w:t>
      </w:r>
      <w:r>
        <w:rPr>
          <w:b/>
          <w:i w:val="0"/>
        </w:rPr>
        <w:t>Brain/MINDS</w:t>
      </w:r>
      <w:r>
        <w:rPr>
          <w:b w:val="0"/>
          <w:i w:val="0"/>
        </w:rPr>
        <w:t xml:space="preserve">, связанный с RIKEN и работами Хидэюки Окано, развивает картирование мозга мармозеток с помощью анатомической визуализации, генетических инструментов и функциональных измерений. Описание RIKEN (2020) показывает, как связывают активность клеток с поведением </w:t>
      </w:r>
      <w:hyperlink r:id="rId32">
        <w:r>
          <w:rPr>
            <w:rStyle w:val="Hyperlink"/>
          </w:rPr>
          <w:t>25</w:t>
        </w:r>
      </w:hyperlink>
      <w:r>
        <w:rPr>
          <w:b w:val="0"/>
          <w:i w:val="0"/>
        </w:rPr>
        <w:t>. Это исследовательская инфраструктура, а не готовая карта сознания.</w:t>
      </w:r>
    </w:p>
    <w:p>
      <w:r>
        <w:rPr>
          <w:b/>
          <w:i w:val="0"/>
        </w:rPr>
        <w:t>Ялинь Юй и коллеги (Китай, 2023)</w:t>
      </w:r>
      <w:r>
        <w:rPr>
          <w:b w:val="0"/>
          <w:i w:val="0"/>
        </w:rPr>
        <w:t xml:space="preserve"> объединили фМРТ 9,4 Тл и электрофизиологию у самцов мышей без анестезии, включая естественные переходы между бодрствованием и стадиями сна. Работа позволила сопоставить локальные электрические события с распределёнными изменениями сигнала мозга; данные сделали открытыми </w:t>
      </w:r>
      <w:hyperlink r:id="rId33">
        <w:r>
          <w:rPr>
            <w:rStyle w:val="Hyperlink"/>
          </w:rPr>
          <w:t>26</w:t>
        </w:r>
      </w:hyperlink>
      <w:r>
        <w:rPr>
          <w:b w:val="0"/>
          <w:i w:val="0"/>
        </w:rPr>
        <w:t>. Предсказание перехода состояния по сигналу не означает чтения содержания сна или причинного объяснения человеческого сознания.</w:t>
      </w:r>
    </w:p>
    <w:p>
      <w:r>
        <w:rPr>
          <w:b w:val="0"/>
          <w:i w:val="0"/>
        </w:rPr>
        <w:t>Эти примеры не охватывают всю Азию. Они показывают конкретные лабораторные традиции. Философские и медитативные учения могут быть предметом исследований, но сами по себе не заменяют контролируемые данные о мозге.</w:t>
      </w:r>
    </w:p>
    <w:p>
      <w:pPr>
        <w:pStyle w:val="Heading2"/>
      </w:pPr>
      <w:r>
        <w:rPr>
          <w:b w:val="0"/>
          <w:i w:val="0"/>
        </w:rPr>
        <w:t>Кто такие «независимые исследователи»</w:t>
      </w:r>
    </w:p>
    <w:p>
      <w:r>
        <w:rPr>
          <w:b w:val="0"/>
          <w:i w:val="0"/>
        </w:rPr>
        <w:t xml:space="preserve">Нужно различать три случая. </w:t>
      </w:r>
      <w:r>
        <w:rPr>
          <w:b/>
          <w:i w:val="0"/>
        </w:rPr>
        <w:t>Исследователь вне академического учреждения</w:t>
      </w:r>
      <w:r>
        <w:rPr>
          <w:b w:val="0"/>
          <w:i w:val="0"/>
        </w:rPr>
        <w:t xml:space="preserve"> может вести серьёзную работу самостоятельно. </w:t>
      </w:r>
      <w:r>
        <w:rPr>
          <w:b/>
          <w:i w:val="0"/>
        </w:rPr>
        <w:t>Частная лаборатория</w:t>
      </w:r>
      <w:r>
        <w:rPr>
          <w:b w:val="0"/>
          <w:i w:val="0"/>
        </w:rPr>
        <w:t xml:space="preserve"> имеет организацию, финансирование и профессиональных сотрудников, хотя не является государственным институтом. </w:t>
      </w:r>
      <w:r>
        <w:rPr>
          <w:b/>
          <w:i w:val="0"/>
        </w:rPr>
        <w:t>Энтузиаст или изобретатель</w:t>
      </w:r>
      <w:r>
        <w:rPr>
          <w:b w:val="0"/>
          <w:i w:val="0"/>
        </w:rPr>
        <w:t xml:space="preserve"> может предложить интересную идею, но её научный статус определяется проверкой, а не независимостью автора.</w:t>
      </w:r>
    </w:p>
    <w:p>
      <w:r>
        <w:rPr>
          <w:b w:val="0"/>
          <w:i w:val="0"/>
        </w:rPr>
        <w:t>Эти категории не совпадают с качеством: государственная принадлежность не гарантирует истинности, а работа вне университета не делает теорию ни ложной, ни революционной. Нужны опубликованные методы, данные, проверяемые предсказания и независимые проверки.</w:t>
      </w:r>
    </w:p>
    <w:p>
      <w:pPr>
        <w:pStyle w:val="Heading3"/>
      </w:pPr>
      <w:r>
        <w:rPr>
          <w:b w:val="0"/>
          <w:i w:val="0"/>
        </w:rPr>
        <w:t>Numenta и Джефф Хокинс: проверяемая программа, но не установленная теория коры</w:t>
      </w:r>
    </w:p>
    <w:p>
      <w:r>
        <w:rPr>
          <w:b/>
          <w:i w:val="0"/>
        </w:rPr>
        <w:t>Numenta, Джефф Хокинс и программы HTM/Thousand Brains</w:t>
      </w:r>
      <w:r>
        <w:rPr>
          <w:b w:val="0"/>
          <w:i w:val="0"/>
        </w:rPr>
        <w:t xml:space="preserve"> — пример частной исследовательской линии. В white paper Thousand Brains Project (2024) описан Monty: сенсомоторные обучающие модули строят модели объектов в системах координат и обмениваются информацией; доступен программный код </w:t>
      </w:r>
      <w:hyperlink r:id="rId34">
        <w:r>
          <w:rPr>
            <w:rStyle w:val="Hyperlink"/>
          </w:rPr>
          <w:t>27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>Это содержательнее неподтверждённых рассказов: алгоритм можно запускать и сравнивать. Но white paper и рабочая демонстрация не подтверждают тезис, что человеческая кора целиком реализует именно такую схему. HTM и Thousand Brains также не стоит считать одним неизменным алгоритмом. Биологические утверждения, качество распознавания и гипотезы об общем интеллекте требуют разных проверок.</w:t>
      </w:r>
    </w:p>
    <w:p>
      <w:pPr>
        <w:pStyle w:val="Heading3"/>
      </w:pPr>
      <w:r>
        <w:rPr>
          <w:b w:val="0"/>
          <w:i w:val="0"/>
        </w:rPr>
        <w:t>DeepMind: частная наука, но не исследователь-одиночка</w:t>
      </w:r>
    </w:p>
    <w:p>
      <w:r>
        <w:rPr>
          <w:b/>
          <w:i w:val="0"/>
        </w:rPr>
        <w:t>Мних и коллеги (2015)</w:t>
      </w:r>
      <w:r>
        <w:rPr>
          <w:b w:val="0"/>
          <w:i w:val="0"/>
        </w:rPr>
        <w:t xml:space="preserve"> показали, что Deep Q-Network может обучаться управлению по пикселям экрана и игровому счёту на наборе из 49 игр Atari. Это конкретный инженерный результат, полученный корпоративной лабораторией с международной командой </w:t>
      </w:r>
      <w:hyperlink r:id="rId35">
        <w:r>
          <w:rPr>
            <w:rStyle w:val="Hyperlink"/>
          </w:rPr>
          <w:t>28</w:t>
        </w:r>
      </w:hyperlink>
      <w:r>
        <w:rPr>
          <w:b w:val="0"/>
          <w:i w:val="0"/>
        </w:rPr>
        <w:t>. Одна архитектура применялась к разным играм, но это не означает, что один обученный агент приобрёл человеческую универсальность.</w:t>
      </w:r>
    </w:p>
    <w:p>
      <w:r>
        <w:rPr>
          <w:b w:val="0"/>
          <w:i w:val="0"/>
        </w:rPr>
        <w:t>Связь с памятью и поведением здесь реальна на уровне обучения по опыту и результату. Но успешное игровое управление не доказывает ни человеческой памяти, ни личности, ни субъективного опыта.</w:t>
      </w:r>
    </w:p>
    <w:p>
      <w:pPr>
        <w:pStyle w:val="Heading3"/>
      </w:pPr>
      <w:r>
        <w:rPr>
          <w:b w:val="0"/>
          <w:i w:val="0"/>
        </w:rPr>
        <w:t>А независимые изобретатели СССР?</w:t>
      </w:r>
    </w:p>
    <w:p>
      <w:r>
        <w:rPr>
          <w:b w:val="0"/>
          <w:i w:val="0"/>
        </w:rPr>
        <w:t xml:space="preserve">В рассмотренных источниках нет достаточной базы, чтобы поставить конкретного советского изобретателя-одиночку рядом с воспроизводимыми открытиями Лурии, Соколова или Ивахненко именно по памяти и сознанию. Это </w:t>
      </w:r>
      <w:r>
        <w:rPr>
          <w:b/>
          <w:i w:val="0"/>
        </w:rPr>
        <w:t>не утверждение, что таких людей не существовало</w:t>
      </w:r>
      <w:r>
        <w:rPr>
          <w:b w:val="0"/>
          <w:i w:val="0"/>
        </w:rPr>
        <w:t>. Это ограничение доступной доказательной базы.</w:t>
      </w:r>
    </w:p>
    <w:p>
      <w:r>
        <w:rPr>
          <w:b w:val="0"/>
          <w:i w:val="0"/>
        </w:rPr>
        <w:t>Нельзя автоматически записывать в независимые всех оригинальных советских учёных: перечисленные выше работали в институтах и лабораториях. И нельзя заполнять пробел именами авторов «психотронных», телепатических или иных необычных устройств без качественной проверки. Если появится конкретная фамилия или разработка, её следует оценить отдельно: что измеряли, какие были контроли и кто независимо повторил результат.</w:t>
      </w:r>
    </w:p>
    <w:p>
      <w:pPr>
        <w:pStyle w:val="Heading2"/>
      </w:pPr>
      <w:r>
        <w:rPr>
          <w:b w:val="0"/>
          <w:i w:val="0"/>
        </w:rPr>
        <w:t>Сознание и личность: где проходит граница знания</w:t>
      </w:r>
    </w:p>
    <w:p>
      <w:r>
        <w:rPr>
          <w:b/>
          <w:i w:val="0"/>
        </w:rPr>
        <w:t>Глобальное нейронное рабочее пространство, GNWT</w:t>
      </w:r>
      <w:r>
        <w:rPr>
          <w:b w:val="0"/>
          <w:i w:val="0"/>
        </w:rPr>
        <w:t xml:space="preserve">, связывает сознательный доступ с распространением информации между системами мозга. </w:t>
      </w:r>
      <w:r>
        <w:rPr>
          <w:b/>
          <w:i w:val="0"/>
        </w:rPr>
        <w:t>Теория интегрированной информации, IIT</w:t>
      </w:r>
      <w:r>
        <w:rPr>
          <w:b w:val="0"/>
          <w:i w:val="0"/>
        </w:rPr>
        <w:t>, связывает сознание с определёнными свойствами интеграции и различимости состояний. Это конкурирующие теории, а не два установленных закона.</w:t>
      </w:r>
    </w:p>
    <w:p>
      <w:r>
        <w:rPr>
          <w:b w:val="0"/>
          <w:i w:val="0"/>
        </w:rPr>
        <w:t xml:space="preserve">В международном исследовании </w:t>
      </w:r>
      <w:r>
        <w:rPr>
          <w:b/>
          <w:i w:val="0"/>
        </w:rPr>
        <w:t>Cogitate Consortium (2025)</w:t>
      </w:r>
      <w:r>
        <w:rPr>
          <w:b w:val="0"/>
          <w:i w:val="0"/>
        </w:rPr>
        <w:t xml:space="preserve"> заранее согласованные предсказания сравнивали с данными фМРТ, магнитоэнцефалографии и внутричерепной ЭЭГ у 256 участников. Результаты создали трудности для отдельных ключевых предсказаний обеих теорий; они не объявили окончательного победителя и не опровергли разом все версии обеих программ </w:t>
      </w:r>
      <w:hyperlink r:id="rId36">
        <w:r>
          <w:rPr>
            <w:rStyle w:val="Hyperlink"/>
          </w:rPr>
          <w:t>29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>Поэтому широкая доступность информации в программе, интеграция модулей или правдоподобный самоотчёт не являются достаточным доказательством переживания. Для «Заучита» можно отдельно проверять доступ к информации, самоконтроль и точность оценки собственных ошибок — не называя это автоматически сознанием.</w:t>
      </w:r>
    </w:p>
    <w:p>
      <w:r>
        <w:rPr>
          <w:b w:val="0"/>
          <w:i w:val="0"/>
        </w:rPr>
        <w:t xml:space="preserve">С личностью нужна аналогичная осторожность. Автобиографические воспоминания, привычки, цели и поведение связаны, но не тождественны. Кейс H.M. показывает, почему тяжёлое нарушение одного вида памяти нельзя просто приравнять к исчезновению всех остальных психических функций </w:t>
      </w:r>
      <w:hyperlink r:id="rId19">
        <w:r>
          <w:rPr>
            <w:rStyle w:val="Hyperlink"/>
          </w:rPr>
          <w:t>12</w:t>
        </w:r>
      </w:hyperlink>
      <w:r>
        <w:rPr>
          <w:b w:val="0"/>
          <w:i w:val="0"/>
        </w:rPr>
        <w:t>. Сохранение переписки или имитация стиля ответа — ещё не перенос личности и тем более не доказательство непрерывности субъективного «я».</w:t>
      </w:r>
    </w:p>
    <w:p>
      <w:pPr>
        <w:pStyle w:val="Heading2"/>
      </w:pPr>
      <w:r>
        <w:rPr>
          <w:b w:val="0"/>
          <w:i w:val="0"/>
        </w:rPr>
        <w:t>Чем различались традиции</w:t>
      </w:r>
    </w:p>
    <w:p>
      <w:r>
        <w:rPr>
          <w:b w:val="0"/>
          <w:i w:val="0"/>
        </w:rPr>
        <w:t>В рассмотренных советских школах заметен акцент на целостной организации действия, развитии функций и обратной связи. Американо-канадская линия особенно продуктивно разделяла функции экспериментально и связывала их с поражениями, клетками и молекулярными механизмами. Европейские примеры показывают сочетание строгой экспериментальной психологии с моделями смысла, рабочей памяти и сознательного доступа. Японские и китайские работы выше иллюстрируют вклад физиологии обучения, нейросетевого моделирования и новых методов картирования.</w:t>
      </w:r>
    </w:p>
    <w:p>
      <w:r>
        <w:rPr>
          <w:b w:val="0"/>
          <w:i w:val="0"/>
        </w:rPr>
        <w:t>Это различие акцентов в выбранных работах, а не неизменные национальные свойства. Эксперименты с клетками проводились и проводятся во всех регионах; системные модели не были монополией СССР. Современная наука соединяет эти уровни: поведенческая задача задаёт функцию, физиология проверяет механизм, вычислительная модель уточняет предсказания. Неудача одной модели не отменяет наблюдаемый эффект, а успех алгоритма ещё не подтверждает его биологическую интерпретацию.</w:t>
      </w:r>
    </w:p>
    <w:p>
      <w:pPr>
        <w:pStyle w:val="Heading2"/>
      </w:pPr>
      <w:r>
        <w:rPr>
          <w:b w:val="0"/>
          <w:i w:val="0"/>
        </w:rPr>
        <w:t>Краткая хронология</w:t>
      </w:r>
    </w:p>
    <w:p>
      <w:pPr>
        <w:pStyle w:val="ListBullet"/>
      </w:pPr>
      <w:r>
        <w:rPr>
          <w:b/>
          <w:i w:val="0"/>
        </w:rPr>
        <w:t>1885:</w:t>
      </w:r>
      <w:r>
        <w:rPr>
          <w:b w:val="0"/>
          <w:i w:val="0"/>
        </w:rPr>
        <w:t xml:space="preserve"> Эббингауз — количественное исследование заучивания и забывания.</w:t>
      </w:r>
    </w:p>
    <w:p>
      <w:pPr>
        <w:pStyle w:val="ListBullet"/>
      </w:pPr>
      <w:r>
        <w:rPr>
          <w:b/>
          <w:i w:val="0"/>
        </w:rPr>
        <w:t>Конец XIX — начало XX века:</w:t>
      </w:r>
      <w:r>
        <w:rPr>
          <w:b w:val="0"/>
          <w:i w:val="0"/>
        </w:rPr>
        <w:t xml:space="preserve"> Павлов — физиология сигналов и условного научения; затем развитие рефлексологии Бехтерева.</w:t>
      </w:r>
    </w:p>
    <w:p>
      <w:pPr>
        <w:pStyle w:val="ListBullet"/>
      </w:pPr>
      <w:r>
        <w:rPr>
          <w:b/>
          <w:i w:val="0"/>
        </w:rPr>
        <w:t>1920–1930-е:</w:t>
      </w:r>
      <w:r>
        <w:rPr>
          <w:b w:val="0"/>
          <w:i w:val="0"/>
        </w:rPr>
        <w:t xml:space="preserve"> Выготский и Лурия — знаки, культура и системная организация функций; Бартлетт — смысловая реконструкция памяти.</w:t>
      </w:r>
    </w:p>
    <w:p>
      <w:pPr>
        <w:pStyle w:val="ListBullet"/>
      </w:pPr>
      <w:r>
        <w:rPr>
          <w:b/>
          <w:i w:val="0"/>
        </w:rPr>
        <w:t>1930–1960-е:</w:t>
      </w:r>
      <w:r>
        <w:rPr>
          <w:b w:val="0"/>
          <w:i w:val="0"/>
        </w:rPr>
        <w:t xml:space="preserve"> Бернштейн и Анохин — координация, цель и обратная связь; Соколов — ориентировка и новизна.</w:t>
      </w:r>
    </w:p>
    <w:p>
      <w:pPr>
        <w:pStyle w:val="ListBullet"/>
      </w:pPr>
      <w:r>
        <w:rPr>
          <w:b/>
          <w:i w:val="0"/>
        </w:rPr>
        <w:t>1949:</w:t>
      </w:r>
      <w:r>
        <w:rPr>
          <w:b w:val="0"/>
          <w:i w:val="0"/>
        </w:rPr>
        <w:t xml:space="preserve"> Хебб — пластичные связи и клеточные ансамбли.</w:t>
      </w:r>
    </w:p>
    <w:p>
      <w:pPr>
        <w:pStyle w:val="ListBullet"/>
      </w:pPr>
      <w:r>
        <w:rPr>
          <w:b/>
          <w:i w:val="0"/>
        </w:rPr>
        <w:t>1957:</w:t>
      </w:r>
      <w:r>
        <w:rPr>
          <w:b w:val="0"/>
          <w:i w:val="0"/>
        </w:rPr>
        <w:t xml:space="preserve"> Сковилл и Милнер — публикация о H.M. и диссоциации памяти.</w:t>
      </w:r>
    </w:p>
    <w:p>
      <w:pPr>
        <w:pStyle w:val="ListBullet"/>
      </w:pPr>
      <w:r>
        <w:rPr>
          <w:b/>
          <w:i w:val="0"/>
        </w:rPr>
        <w:t>1960–1970-е:</w:t>
      </w:r>
      <w:r>
        <w:rPr>
          <w:b w:val="0"/>
          <w:i w:val="0"/>
        </w:rPr>
        <w:t xml:space="preserve"> Кандел и коллеги — клеточные механизмы обучения; Ивахненко — многослойное моделирование и отбор сложности.</w:t>
      </w:r>
    </w:p>
    <w:p>
      <w:pPr>
        <w:pStyle w:val="ListBullet"/>
      </w:pPr>
      <w:r>
        <w:rPr>
          <w:b/>
          <w:i w:val="0"/>
        </w:rPr>
        <w:t>1971–1974:</w:t>
      </w:r>
      <w:r>
        <w:rPr>
          <w:b w:val="0"/>
          <w:i w:val="0"/>
        </w:rPr>
        <w:t xml:space="preserve"> клетки места; различение эпизодического и семантического знания; модель рабочей памяти.</w:t>
      </w:r>
    </w:p>
    <w:p>
      <w:pPr>
        <w:pStyle w:val="ListBullet"/>
      </w:pPr>
      <w:r>
        <w:rPr>
          <w:b/>
          <w:i w:val="0"/>
        </w:rPr>
        <w:t>1980:</w:t>
      </w:r>
      <w:r>
        <w:rPr>
          <w:b w:val="0"/>
          <w:i w:val="0"/>
        </w:rPr>
        <w:t xml:space="preserve"> неокогнитрон Фукусимы — иерархическое распознавание образов.</w:t>
      </w:r>
    </w:p>
    <w:p>
      <w:pPr>
        <w:pStyle w:val="ListBullet"/>
      </w:pPr>
      <w:r>
        <w:rPr>
          <w:b/>
          <w:i w:val="0"/>
        </w:rPr>
        <w:t>2005–2012:</w:t>
      </w:r>
      <w:r>
        <w:rPr>
          <w:b w:val="0"/>
          <w:i w:val="0"/>
        </w:rPr>
        <w:t xml:space="preserve"> клетки решётки; оптогенетические причинные эксперименты с ансамблями памяти.</w:t>
      </w:r>
    </w:p>
    <w:p>
      <w:pPr>
        <w:pStyle w:val="ListBullet"/>
      </w:pPr>
      <w:r>
        <w:rPr>
          <w:b/>
          <w:i w:val="0"/>
        </w:rPr>
        <w:t>2015–2020:</w:t>
      </w:r>
      <w:r>
        <w:rPr>
          <w:b w:val="0"/>
          <w:i w:val="0"/>
        </w:rPr>
        <w:t xml:space="preserve"> глубокое обучение с подкреплением, Transformer и поисково-дополненная генерация.</w:t>
      </w:r>
    </w:p>
    <w:p>
      <w:pPr>
        <w:pStyle w:val="ListBullet"/>
      </w:pPr>
      <w:r>
        <w:rPr>
          <w:b/>
          <w:i w:val="0"/>
        </w:rPr>
        <w:t>2025:</w:t>
      </w:r>
      <w:r>
        <w:rPr>
          <w:b w:val="0"/>
          <w:i w:val="0"/>
        </w:rPr>
        <w:t xml:space="preserve"> прямое международное сопоставление предсказаний GNWT и IIT.</w:t>
      </w:r>
    </w:p>
    <w:p>
      <w:pPr>
        <w:pStyle w:val="Heading2"/>
      </w:pPr>
      <w:r>
        <w:rPr>
          <w:b w:val="0"/>
          <w:i w:val="0"/>
        </w:rPr>
        <w:t>Что честно применимо к «Заучиту»</w:t>
      </w:r>
    </w:p>
    <w:p>
      <w:r>
        <w:rPr>
          <w:b w:val="0"/>
          <w:i w:val="0"/>
        </w:rPr>
        <w:t>Точная спецификация проекта здесь неизвестна. Поэтому ниже — исследовательские ориентиры для системы обучения или ИИ с памятью, а не назначение готовой архитектуры.</w:t>
      </w:r>
    </w:p>
    <w:p>
      <w:r>
        <w:rPr>
          <w:b/>
          <w:i w:val="0"/>
        </w:rPr>
        <w:t>1. Если «Заучит» помогает человеку учиться — начать с активного припоминания и распределённой практики.</w:t>
      </w:r>
      <w:r>
        <w:rPr>
          <w:b w:val="0"/>
          <w:i w:val="0"/>
        </w:rPr>
        <w:t xml:space="preserve"> В эксперименте Карпике и Рёдигера (2008) повторное извлечение уже выученных слов улучшало отсроченное воспроизведение. Это не означает, что повторное изучение всегда бесполезно. Обзор Данлоски и коллег (2013) оценивает тренировочное тестирование и распределённую практику как наиболее полезные из рассмотренных стратегий </w:t>
      </w:r>
      <w:hyperlink r:id="rId37">
        <w:r>
          <w:rPr>
            <w:rStyle w:val="Hyperlink"/>
          </w:rPr>
          <w:t>30</w:t>
        </w:r>
      </w:hyperlink>
      <w:r>
        <w:rPr>
          <w:b w:val="0"/>
          <w:i w:val="0"/>
        </w:rPr>
        <w:t>. Проверять нужно отсроченное удержание и перенос, а не только число правильных ответов сразу после подсказки.</w:t>
      </w:r>
    </w:p>
    <w:p>
      <w:r>
        <w:rPr>
          <w:b/>
          <w:i w:val="0"/>
        </w:rPr>
        <w:t>2. Разделять функции памяти.</w:t>
      </w:r>
      <w:r>
        <w:rPr>
          <w:b w:val="0"/>
          <w:i w:val="0"/>
        </w:rPr>
        <w:t xml:space="preserve"> Краткое удержание инструкции, знание факта, память об источнике и приобретение навыка требуют разных задач. Названия психологических систем можно использовать как рабочие категории тестирования, но не как доказанные модули программы.</w:t>
      </w:r>
    </w:p>
    <w:p>
      <w:r>
        <w:rPr>
          <w:b/>
          <w:i w:val="0"/>
        </w:rPr>
        <w:t>3. Делать подсказки и обратную связь предметом эксперимента.</w:t>
      </w:r>
      <w:r>
        <w:rPr>
          <w:b w:val="0"/>
          <w:i w:val="0"/>
        </w:rPr>
        <w:t xml:space="preserve"> Советская нейропсихология подсказывает проверять, как меняется способ действия. Бернштейн и Анохин — оценивать достижение цели и коррекцию ошибки. Отдельно выяснять, помогает ли система пользователю стать самостоятельнее.</w:t>
      </w:r>
    </w:p>
    <w:p>
      <w:r>
        <w:rPr>
          <w:b/>
          <w:i w:val="0"/>
        </w:rPr>
        <w:t>4. Для памяти ИИ отделять хранение от генерации.</w:t>
      </w:r>
      <w:r>
        <w:rPr>
          <w:b w:val="0"/>
          <w:i w:val="0"/>
        </w:rPr>
        <w:t xml:space="preserve"> В работе Lewis и коллег (2020) RAG сочетает параметрическое знание модели с поиском во внешнем индексе </w:t>
      </w:r>
      <w:hyperlink r:id="rId38">
        <w:r>
          <w:rPr>
            <w:rStyle w:val="Hyperlink"/>
          </w:rPr>
          <w:t>32</w:t>
        </w:r>
      </w:hyperlink>
      <w:r>
        <w:rPr>
          <w:b w:val="0"/>
          <w:i w:val="0"/>
        </w:rPr>
        <w:t>. Это инженерное основание для исследовательского прототипа, не биологическая теория. Практически можно проверять сохранность источника, исправление устаревшего факта и различение извлечённой записи с новой интерпретацией. Сам RAG не гарантирует отсутствие ошибок.</w:t>
      </w:r>
    </w:p>
    <w:p>
      <w:r>
        <w:rPr>
          <w:b/>
          <w:i w:val="0"/>
        </w:rPr>
        <w:t>5. Новые архитектуры сравнивать, а не объявлять доказанными.</w:t>
      </w:r>
      <w:r>
        <w:rPr>
          <w:b w:val="0"/>
          <w:i w:val="0"/>
        </w:rPr>
        <w:t xml:space="preserve"> Функциональные системы, сенсомоторные модули и ансамблевые модели могут дать гипотезы. Их ценность для проекта следует проверять на общей задаче относительно простых альтернатив, с отключением отдельных компонентов и учётом стоимости обучения.</w:t>
      </w:r>
    </w:p>
    <w:p>
      <w:r>
        <w:rPr>
          <w:b/>
          <w:i w:val="0"/>
        </w:rPr>
        <w:t>Нельзя переносить как готовую теорию:</w:t>
      </w:r>
      <w:r>
        <w:rPr>
          <w:b w:val="0"/>
          <w:i w:val="0"/>
        </w:rPr>
        <w:t xml:space="preserve"> «всё есть рефлекс»; буквальные три ящика рабочей памяти; равенство self-attention человеческому вниманию; мышиную энграмму как полный человеческий опыт; Thousand Brains как уже подтверждённый алгоритм всей коры; GNWT или IIT как сертификат сознания ИИ; архив воспоминаний как доказанный перенос личности.</w:t>
      </w:r>
    </w:p>
    <w:p>
      <w:r>
        <w:rPr>
          <w:b w:val="0"/>
          <w:i w:val="0"/>
        </w:rPr>
        <w:t xml:space="preserve">Главный общий урок разных традиций: </w:t>
      </w:r>
      <w:r>
        <w:rPr>
          <w:b/>
          <w:i w:val="0"/>
        </w:rPr>
        <w:t>сначала точно определить функцию, затем измерить изменение и проверить альтернативное объяснение</w:t>
      </w:r>
      <w:r>
        <w:rPr>
          <w:b w:val="0"/>
          <w:i w:val="0"/>
        </w:rPr>
        <w:t>. Это надёжнее, чем строить проект вокруг одной большой теории сознания.</w:t>
      </w:r>
    </w:p>
    <w:p>
      <w:pPr>
        <w:pStyle w:val="Heading2"/>
      </w:pPr>
      <w:r>
        <w:rPr>
          <w:b w:val="0"/>
          <w:i w:val="0"/>
        </w:rPr>
        <w:t>Источники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obelprize.org/prizes/medicine/1904/pavlov/lecture/" TargetMode="External"/><Relationship Id="rId10" Type="http://schemas.openxmlformats.org/officeDocument/2006/relationships/hyperlink" Target="https://pmc.ncbi.nlm.nih.gov/articles/PMC4991280/" TargetMode="External"/><Relationship Id="rId11" Type="http://schemas.openxmlformats.org/officeDocument/2006/relationships/hyperlink" Target="https://psychologyinrussia.com/volumes/index.php?article=1417" TargetMode="External"/><Relationship Id="rId12" Type="http://schemas.openxmlformats.org/officeDocument/2006/relationships/hyperlink" Target="https://psychologyinrussia.com/volumes/?article=5609" TargetMode="External"/><Relationship Id="rId13" Type="http://schemas.openxmlformats.org/officeDocument/2006/relationships/hyperlink" Target="https://pmc.ncbi.nlm.nih.gov/articles/PMC8801616/" TargetMode="External"/><Relationship Id="rId14" Type="http://schemas.openxmlformats.org/officeDocument/2006/relationships/hyperlink" Target="https://royalsocietypublishing.org/rstb/article/373/1744/20170166/23449/Functional-systems-theory-and-the-activity" TargetMode="External"/><Relationship Id="rId15" Type="http://schemas.openxmlformats.org/officeDocument/2006/relationships/hyperlink" Target="https://pmc.ncbi.nlm.nih.gov/articles/PMC3645482/" TargetMode="External"/><Relationship Id="rId16" Type="http://schemas.openxmlformats.org/officeDocument/2006/relationships/hyperlink" Target="https://www.knowledgeminer.eu/pdf/Ivakhnenko_Polynomial.pdf" TargetMode="External"/><Relationship Id="rId17" Type="http://schemas.openxmlformats.org/officeDocument/2006/relationships/hyperlink" Target="https://www.cambridge.org/core/journals/medical-history/article/soviet-export-of-sleep-therapy-to-the-eastern-bloc-countries-after-the-pavlovian-session-in-1950/239939A49CD2D52C84668B28528C9EF0" TargetMode="External"/><Relationship Id="rId18" Type="http://schemas.openxmlformats.org/officeDocument/2006/relationships/hyperlink" Target="https://web.mit.edu/slava/homepage/newspeak.htm" TargetMode="External"/><Relationship Id="rId19" Type="http://schemas.openxmlformats.org/officeDocument/2006/relationships/hyperlink" Target="https://pmc.ncbi.nlm.nih.gov/articles/PMC2649674/" TargetMode="External"/><Relationship Id="rId20" Type="http://schemas.openxmlformats.org/officeDocument/2006/relationships/hyperlink" Target="https://pmc.ncbi.nlm.nih.gov/articles/PMC8566713/" TargetMode="External"/><Relationship Id="rId21" Type="http://schemas.openxmlformats.org/officeDocument/2006/relationships/hyperlink" Target="https://www.nobelprize.org/uploads/2018/06/kandel-lecture.pdf" TargetMode="External"/><Relationship Id="rId22" Type="http://schemas.openxmlformats.org/officeDocument/2006/relationships/hyperlink" Target="http://wexler.free.fr/library/files/posner%20(1990)%20the%20attentional%20system%20of%20the%20human%20brain.pdf" TargetMode="External"/><Relationship Id="rId23" Type="http://schemas.openxmlformats.org/officeDocument/2006/relationships/hyperlink" Target="https://arxiv.org/abs/1706.03762" TargetMode="External"/><Relationship Id="rId24" Type="http://schemas.openxmlformats.org/officeDocument/2006/relationships/hyperlink" Target="https://pmc.ncbi.nlm.nih.gov/articles/PMC4492928/" TargetMode="External"/><Relationship Id="rId25" Type="http://schemas.openxmlformats.org/officeDocument/2006/relationships/hyperlink" Target="https://doi.org/10.1016/j.jarmac.2014.05.004" TargetMode="External"/><Relationship Id="rId26" Type="http://schemas.openxmlformats.org/officeDocument/2006/relationships/hyperlink" Target="https://pmc.ncbi.nlm.nih.gov/articles/PMC11783980/" TargetMode="External"/><Relationship Id="rId27" Type="http://schemas.openxmlformats.org/officeDocument/2006/relationships/hyperlink" Target="https://www.annualreviews.org/doi/10.1146/annurev.psych.53.100901.135114" TargetMode="External"/><Relationship Id="rId28" Type="http://schemas.openxmlformats.org/officeDocument/2006/relationships/hyperlink" Target="https://www.nobelprize.org/prizes/medicine/2014/advanced-information/" TargetMode="External"/><Relationship Id="rId29" Type="http://schemas.openxmlformats.org/officeDocument/2006/relationships/hyperlink" Target="https://pmc.ncbi.nlm.nih.gov/articles/PMC7914257/" TargetMode="External"/><Relationship Id="rId30" Type="http://schemas.openxmlformats.org/officeDocument/2006/relationships/hyperlink" Target="http://www.scholarpedia.org/article/Neocognitron" TargetMode="External"/><Relationship Id="rId31" Type="http://schemas.openxmlformats.org/officeDocument/2006/relationships/hyperlink" Target="https://www.nature.com/articles/nature11028" TargetMode="External"/><Relationship Id="rId32" Type="http://schemas.openxmlformats.org/officeDocument/2006/relationships/hyperlink" Target="https://www.riken.jp/en/news_pubs/research_news/rr/20200925_2/index.html" TargetMode="External"/><Relationship Id="rId33" Type="http://schemas.openxmlformats.org/officeDocument/2006/relationships/hyperlink" Target="https://pmc.ncbi.nlm.nih.gov/articles/PMC10039056/" TargetMode="External"/><Relationship Id="rId34" Type="http://schemas.openxmlformats.org/officeDocument/2006/relationships/hyperlink" Target="https://arxiv.org/html/2412.18354v1" TargetMode="External"/><Relationship Id="rId35" Type="http://schemas.openxmlformats.org/officeDocument/2006/relationships/hyperlink" Target="https://www.nature.com/articles/nature14236" TargetMode="External"/><Relationship Id="rId36" Type="http://schemas.openxmlformats.org/officeDocument/2006/relationships/hyperlink" Target="https://www.nature.com/articles/s41586-025-08888-1" TargetMode="External"/><Relationship Id="rId37" Type="http://schemas.openxmlformats.org/officeDocument/2006/relationships/hyperlink" Target="https://www.aft.org/ae/fall2013/dunlosky" TargetMode="External"/><Relationship Id="rId38" Type="http://schemas.openxmlformats.org/officeDocument/2006/relationships/hyperlink" Target="https://arxiv.org/abs/2005.114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