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BF7EE"/>
  <w:body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2484000" cy="372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4000" cy="37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" w:hAnsi="Noto Sans"/>
          <w:b/>
          <w:color w:val="1C7180"/>
          <w:sz w:val="16"/>
        </w:rPr>
        <w:t>HARVYRÐ · ЧТЕНИЯ О ТЕКСТАХ И ТРАДИЦИЯХ</w:t>
      </w:r>
    </w:p>
    <w:p>
      <w:pPr>
        <w:spacing w:after="100"/>
        <w:jc w:val="center"/>
      </w:pPr>
      <w:r>
        <w:rPr>
          <w:rFonts w:ascii="Noto Serif" w:hAnsi="Noto Serif"/>
          <w:b/>
          <w:color w:val="1D2855"/>
          <w:sz w:val="48"/>
        </w:rPr>
        <w:t>Кефалайи Учителя</w:t>
      </w:r>
    </w:p>
    <w:p>
      <w:pPr>
        <w:spacing w:after="140"/>
        <w:jc w:val="center"/>
      </w:pPr>
      <w:r>
        <w:rPr>
          <w:rFonts w:ascii="Noto Serif" w:hAnsi="Noto Serif"/>
          <w:color w:val="455A86"/>
          <w:sz w:val="26"/>
        </w:rPr>
        <w:t>Коптское манихейское собрание</w:t>
        <w:br/>
        <w:t>в рукописи, чтении и реконструкции</w:t>
      </w:r>
    </w:p>
    <w:p>
      <w:pPr>
        <w:jc w:val="center"/>
      </w:pPr>
      <w:r>
        <w:rPr>
          <w:rFonts w:ascii="Noto Sans" w:hAnsi="Noto Sans"/>
          <w:color w:val="687078"/>
          <w:sz w:val="17"/>
        </w:rPr>
        <w:t>Уважительное введение в конкретный корпус глав —</w:t>
        <w:br/>
        <w:t>не перевод всего манихейского Писания</w:t>
      </w:r>
    </w:p>
    <w:p>
      <w:r>
        <w:br w:type="page"/>
      </w:r>
    </w:p>
    <w:p>
      <w:pPr>
        <w:pStyle w:val="Heading1"/>
      </w:pPr>
      <w:r>
        <w:rPr>
          <w:rFonts w:ascii="Noto Serif" w:hAnsi="Noto Serif"/>
          <w:b/>
          <w:i w:val="0"/>
          <w:sz w:val="20"/>
        </w:rPr>
        <w:t>Об этой книге</w:t>
      </w:r>
    </w:p>
    <w:p>
      <w:r>
        <w:rPr>
          <w:rFonts w:ascii="Noto Serif" w:hAnsi="Noto Serif"/>
          <w:b w:val="0"/>
          <w:i w:val="0"/>
          <w:sz w:val="20"/>
        </w:rPr>
        <w:t>«Кефалайи Учителя» дошли до нас не как целая книга с прозрачной историей, а как коптская рукописная традиция, которую исследователи читают по двум разным папирусным кодексам. Между сохранившейся строкой, редакторским восстановлением, переводом и толкованием есть важные различия. Эта книга старается показывать их, а не скрывать.</w:t>
      </w:r>
    </w:p>
    <w:p>
      <w:r>
        <w:rPr>
          <w:rFonts w:ascii="Noto Serif" w:hAnsi="Noto Serif"/>
          <w:b w:val="0"/>
          <w:i w:val="0"/>
          <w:sz w:val="20"/>
        </w:rPr>
        <w:t>Здесь нет перевода полного корпуса. Все изложения содержания — оригинальные краткие пересказы и пояснения, написанные для этого издания. Современные защищённые переводы не воспроизводятся. Термин «Кефалайи Учителя» в заглавии относится прежде всего к берлинскому кодексу 1Ke; рядом с ним рассматривается отдельный дублинский кодекс 2Ke, связанный с ним в исследовательских реконструкциях.</w:t>
      </w:r>
    </w:p>
    <w:p>
      <w:pPr>
        <w:pStyle w:val="Heading1"/>
      </w:pPr>
      <w:r>
        <w:rPr>
          <w:rFonts w:ascii="Noto Serif" w:hAnsi="Noto Serif"/>
          <w:b/>
          <w:i w:val="0"/>
          <w:sz w:val="20"/>
        </w:rPr>
        <w:t>Содержание</w:t>
      </w:r>
    </w:p>
    <w:p>
      <w:pPr>
        <w:pStyle w:val="ListNumber"/>
        <w:spacing w:after="40"/>
        <w:ind w:left="312" w:hanging="142"/>
      </w:pPr>
      <w:r>
        <w:rPr>
          <w:rFonts w:ascii="Noto Serif" w:hAnsi="Noto Serif"/>
          <w:b w:val="0"/>
          <w:i w:val="0"/>
          <w:sz w:val="20"/>
        </w:rPr>
        <w:t>Имя, которое говорит о форме</w:t>
      </w:r>
    </w:p>
    <w:p>
      <w:pPr>
        <w:pStyle w:val="ListNumber"/>
        <w:spacing w:after="40"/>
        <w:ind w:left="312" w:hanging="142"/>
      </w:pPr>
      <w:r>
        <w:rPr>
          <w:rFonts w:ascii="Noto Serif" w:hAnsi="Noto Serif"/>
          <w:b w:val="0"/>
          <w:i w:val="0"/>
          <w:sz w:val="20"/>
        </w:rPr>
        <w:t>Две рукописи, а не один том</w:t>
      </w:r>
    </w:p>
    <w:p>
      <w:pPr>
        <w:pStyle w:val="ListNumber"/>
        <w:spacing w:after="40"/>
        <w:ind w:left="312" w:hanging="142"/>
      </w:pPr>
      <w:r>
        <w:rPr>
          <w:rFonts w:ascii="Noto Serif" w:hAnsi="Noto Serif"/>
          <w:b w:val="0"/>
          <w:i w:val="0"/>
          <w:sz w:val="20"/>
        </w:rPr>
        <w:t>Медине-Мади и путь к читателю</w:t>
      </w:r>
    </w:p>
    <w:p>
      <w:pPr>
        <w:pStyle w:val="ListNumber"/>
        <w:spacing w:after="40"/>
        <w:ind w:left="312" w:hanging="142"/>
      </w:pPr>
      <w:r>
        <w:rPr>
          <w:rFonts w:ascii="Noto Serif" w:hAnsi="Noto Serif"/>
          <w:b w:val="0"/>
          <w:i w:val="0"/>
          <w:sz w:val="20"/>
        </w:rPr>
        <w:t>Что именно мы читаем</w:t>
      </w:r>
    </w:p>
    <w:p>
      <w:pPr>
        <w:pStyle w:val="ListNumber"/>
        <w:spacing w:after="40"/>
        <w:ind w:left="312" w:hanging="142"/>
      </w:pPr>
      <w:r>
        <w:rPr>
          <w:rFonts w:ascii="Noto Serif" w:hAnsi="Noto Serif"/>
          <w:b w:val="0"/>
          <w:i w:val="0"/>
          <w:sz w:val="20"/>
        </w:rPr>
        <w:t>Голос Учителя и многообразие тем</w:t>
      </w:r>
    </w:p>
    <w:p>
      <w:pPr>
        <w:pStyle w:val="ListNumber"/>
        <w:spacing w:after="40"/>
        <w:ind w:left="312" w:hanging="142"/>
      </w:pPr>
      <w:r>
        <w:rPr>
          <w:rFonts w:ascii="Noto Serif" w:hAnsi="Noto Serif"/>
          <w:b w:val="0"/>
          <w:i w:val="0"/>
          <w:sz w:val="20"/>
        </w:rPr>
        <w:t>Часть большой, фрагментарной библиотеки</w:t>
      </w:r>
    </w:p>
    <w:p>
      <w:pPr>
        <w:pStyle w:val="ListNumber"/>
        <w:spacing w:after="40"/>
        <w:ind w:left="312" w:hanging="142"/>
      </w:pPr>
      <w:r>
        <w:rPr>
          <w:rFonts w:ascii="Noto Serif" w:hAnsi="Noto Serif"/>
          <w:b w:val="0"/>
          <w:i w:val="0"/>
          <w:sz w:val="20"/>
        </w:rPr>
        <w:t>Свой голос, чужая полемика и современные чтения</w:t>
      </w:r>
    </w:p>
    <w:p>
      <w:pPr>
        <w:pStyle w:val="ListNumber"/>
        <w:spacing w:after="40"/>
        <w:ind w:left="312" w:hanging="142"/>
      </w:pPr>
      <w:r>
        <w:rPr>
          <w:rFonts w:ascii="Noto Serif" w:hAnsi="Noto Serif"/>
          <w:b w:val="0"/>
          <w:i w:val="0"/>
          <w:sz w:val="20"/>
        </w:rPr>
        <w:t>Как читать «Кефалайи» внимательно</w:t>
      </w:r>
    </w:p>
    <w:p>
      <w:pPr>
        <w:pStyle w:val="Heading1"/>
      </w:pPr>
      <w:r>
        <w:rPr>
          <w:rFonts w:ascii="Noto Serif" w:hAnsi="Noto Serif"/>
          <w:b/>
          <w:i w:val="0"/>
          <w:sz w:val="20"/>
        </w:rPr>
        <w:t>1. Имя, которое говорит о форме</w:t>
      </w:r>
    </w:p>
    <w:p>
      <w:r>
        <w:rPr>
          <w:rFonts w:ascii="Noto Serif" w:hAnsi="Noto Serif"/>
          <w:b w:val="0"/>
          <w:i w:val="0"/>
          <w:sz w:val="20"/>
        </w:rPr>
        <w:t xml:space="preserve">Слово </w:t>
      </w:r>
      <w:r>
        <w:rPr>
          <w:rFonts w:ascii="Noto Serif" w:hAnsi="Noto Serif"/>
          <w:b w:val="0"/>
          <w:i/>
          <w:sz w:val="20"/>
        </w:rPr>
        <w:t>kephalaia</w:t>
      </w:r>
      <w:r>
        <w:rPr>
          <w:rFonts w:ascii="Noto Serif" w:hAnsi="Noto Serif"/>
          <w:b w:val="0"/>
          <w:i w:val="0"/>
          <w:sz w:val="20"/>
        </w:rPr>
        <w:t xml:space="preserve"> обычно передают как «главы» или «основные пункты». Название описывает форму собрания: материал разбит на пронумерованные разделы, у многих есть заголовки, а начало часто задаёт тему и голос говорящего. Само название, однако, не означает, что перед нами законченный трактат, составленный одним автором от начала до конца.</w:t>
      </w:r>
    </w:p>
    <w:p>
      <w:r>
        <w:rPr>
          <w:rFonts w:ascii="Noto Serif" w:hAnsi="Noto Serif"/>
          <w:b w:val="0"/>
          <w:i w:val="0"/>
          <w:sz w:val="20"/>
        </w:rPr>
        <w:t xml:space="preserve">Коптские «Кефалайи» часто представляют материал как наставление Мани. Иногда рядом оказывается вопрос ученика, иногда — рассказ, толкование, пример или притча. Такое литературное оформление помогает увидеть авторитетную традицию, связанную с Мани, но не превращает текст в стенограмму его речи. Между историческим учителем и дошедшей до нас коптской редакцией лежат поколения передачи и редакционной работы. </w:t>
      </w:r>
      <w:hyperlink r:id="rId12">
        <w:r>
          <w:rPr>
            <w:color w:val="116F7F"/>
            <w:u w:val="single"/>
            <w:rFonts w:ascii="Noto Serif" w:hAnsi="Noto Serif"/>
          </w:rPr>
          <w:t>[1]</w:t>
        </w:r>
      </w:hyperlink>
      <w:r>
        <w:rPr>
          <w:rFonts w:ascii="Noto Serif" w:hAnsi="Noto Serif"/>
          <w:b w:val="0"/>
          <w:i w:val="0"/>
          <w:sz w:val="20"/>
        </w:rPr>
        <w:t xml:space="preserve"> </w:t>
      </w:r>
      <w:hyperlink r:id="rId13">
        <w:r>
          <w:rPr>
            <w:color w:val="116F7F"/>
            <w:u w:val="single"/>
            <w:rFonts w:ascii="Noto Serif" w:hAnsi="Noto Serif"/>
          </w:rPr>
          <w:t>[2]</w:t>
        </w:r>
      </w:hyperlink>
    </w:p>
    <w:p>
      <w:r>
        <w:rPr>
          <w:rFonts w:ascii="Noto Serif" w:hAnsi="Noto Serif"/>
          <w:b w:val="0"/>
          <w:i w:val="0"/>
          <w:sz w:val="20"/>
        </w:rPr>
        <w:t xml:space="preserve">Для описания формы исследователи используют слово </w:t>
      </w:r>
      <w:r>
        <w:rPr>
          <w:rFonts w:ascii="Noto Serif" w:hAnsi="Noto Serif"/>
          <w:b w:val="0"/>
          <w:i/>
          <w:sz w:val="20"/>
        </w:rPr>
        <w:t>erotapokrisis</w:t>
      </w:r>
      <w:r>
        <w:rPr>
          <w:rFonts w:ascii="Noto Serif" w:hAnsi="Noto Serif"/>
          <w:b w:val="0"/>
          <w:i w:val="0"/>
          <w:sz w:val="20"/>
        </w:rPr>
        <w:t xml:space="preserve"> — «вопрос и ответ». Это полезная характеристика части собрания и отдельных способов организации глав. Но она не должна превращаться в жёсткий шаблон: не всякая глава состоит из одной пары вопроса и ответа, а внутри корпуса встречаются разные литературные формы. </w:t>
      </w:r>
      <w:hyperlink r:id="rId14">
        <w:r>
          <w:rPr>
            <w:color w:val="116F7F"/>
            <w:u w:val="single"/>
            <w:rFonts w:ascii="Noto Serif" w:hAnsi="Noto Serif"/>
          </w:rPr>
          <w:t>[3]</w:t>
        </w:r>
      </w:hyperlink>
    </w:p>
    <w:p>
      <w:r>
        <w:rPr>
          <w:rFonts w:ascii="Noto Serif" w:hAnsi="Noto Serif"/>
          <w:b w:val="0"/>
          <w:i w:val="0"/>
          <w:sz w:val="20"/>
        </w:rPr>
        <w:t>Поэтому удобнее говорить о кефалайическом корпусе: собрании глав, которое сохраняет и перерабатывает манихейские учения в дидактической форме. В нём видны тематические группы и редакционные слои, но их точные границы остаются предметом исследования. Образ единой книги с бесспорно восстановленным первоначальным планом был бы слишком уверенным.</w:t>
      </w:r>
    </w:p>
    <w:p>
      <w:pPr>
        <w:pStyle w:val="Heading1"/>
      </w:pPr>
      <w:r>
        <w:rPr>
          <w:rFonts w:ascii="Noto Serif" w:hAnsi="Noto Serif"/>
          <w:b/>
          <w:i w:val="0"/>
          <w:sz w:val="20"/>
        </w:rPr>
        <w:t>2. Две рукописи, а не один том</w:t>
      </w:r>
    </w:p>
    <w:p>
      <w:r>
        <w:rPr>
          <w:rFonts w:ascii="Noto Serif" w:hAnsi="Noto Serif"/>
          <w:b w:val="0"/>
          <w:i w:val="0"/>
          <w:sz w:val="20"/>
        </w:rPr>
        <w:t>В разговоре о «Кефалайях» важно различать два физических кодекса.</w:t>
      </w:r>
    </w:p>
    <w:p>
      <w:pPr>
        <w:pStyle w:val="ListBullet"/>
        <w:spacing w:after="40"/>
        <w:ind w:left="312" w:hanging="142"/>
      </w:pPr>
      <w:r>
        <w:rPr>
          <w:rFonts w:ascii="Noto Serif" w:hAnsi="Noto Serif"/>
          <w:b/>
          <w:i w:val="0"/>
          <w:sz w:val="20"/>
        </w:rPr>
        <w:t>1Ke</w:t>
      </w:r>
      <w:r>
        <w:rPr>
          <w:rFonts w:ascii="Noto Serif" w:hAnsi="Noto Serif"/>
          <w:b w:val="0"/>
          <w:i w:val="0"/>
          <w:sz w:val="20"/>
        </w:rPr>
        <w:t xml:space="preserve">, или </w:t>
      </w:r>
      <w:r>
        <w:rPr>
          <w:rFonts w:ascii="Noto Serif" w:hAnsi="Noto Serif"/>
          <w:b/>
          <w:i w:val="0"/>
          <w:sz w:val="20"/>
        </w:rPr>
        <w:t>K</w:t>
      </w:r>
      <w:r>
        <w:rPr>
          <w:rFonts w:ascii="Noto Serif" w:hAnsi="Noto Serif"/>
          <w:b w:val="0"/>
          <w:i w:val="0"/>
          <w:sz w:val="20"/>
        </w:rPr>
        <w:t xml:space="preserve">: Berlin P. Berol. 15996, берлинский кодекс, озаглавленный «Кефалайи Учителя»; его следует сверять с каталогом папирусов Берлинских музеев. </w:t>
      </w:r>
      <w:hyperlink r:id="rId15">
        <w:r>
          <w:rPr>
            <w:color w:val="116F7F"/>
            <w:u w:val="single"/>
            <w:rFonts w:ascii="Noto Serif" w:hAnsi="Noto Serif"/>
          </w:rPr>
          <w:t>[17]</w:t>
        </w:r>
      </w:hyperlink>
    </w:p>
    <w:p>
      <w:pPr>
        <w:pStyle w:val="ListBullet"/>
        <w:spacing w:after="40"/>
        <w:ind w:left="312" w:hanging="142"/>
      </w:pPr>
      <w:r>
        <w:rPr>
          <w:rFonts w:ascii="Noto Serif" w:hAnsi="Noto Serif"/>
          <w:b/>
          <w:i w:val="0"/>
          <w:sz w:val="20"/>
        </w:rPr>
        <w:t>2Ke</w:t>
      </w:r>
      <w:r>
        <w:rPr>
          <w:rFonts w:ascii="Noto Serif" w:hAnsi="Noto Serif"/>
          <w:b w:val="0"/>
          <w:i w:val="0"/>
          <w:sz w:val="20"/>
        </w:rPr>
        <w:t xml:space="preserve">, или </w:t>
      </w:r>
      <w:r>
        <w:rPr>
          <w:rFonts w:ascii="Noto Serif" w:hAnsi="Noto Serif"/>
          <w:b/>
          <w:i w:val="0"/>
          <w:sz w:val="20"/>
        </w:rPr>
        <w:t>K(Dub)</w:t>
      </w:r>
      <w:r>
        <w:rPr>
          <w:rFonts w:ascii="Noto Serif" w:hAnsi="Noto Serif"/>
          <w:b w:val="0"/>
          <w:i w:val="0"/>
          <w:sz w:val="20"/>
        </w:rPr>
        <w:t xml:space="preserve">: Codex C из собрания Chester Beatty в Дублине, известный как «Кефалайи мудрости моего господина Мани»; библиотека предоставляет цифровой просмотр листа. </w:t>
      </w:r>
      <w:hyperlink r:id="rId16">
        <w:r>
          <w:rPr>
            <w:color w:val="116F7F"/>
            <w:u w:val="single"/>
            <w:rFonts w:ascii="Noto Serif" w:hAnsi="Noto Serif"/>
          </w:rPr>
          <w:t>[16]</w:t>
        </w:r>
      </w:hyperlink>
    </w:p>
    <w:p>
      <w:r>
        <w:rPr>
          <w:rFonts w:ascii="Noto Serif" w:hAnsi="Noto Serif"/>
          <w:b w:val="0"/>
          <w:i w:val="0"/>
          <w:sz w:val="20"/>
        </w:rPr>
        <w:t xml:space="preserve">У этих кодексов разные названия, история хранения и редакционные особенности. Они связаны тем, что исследователи предполагают общую последовательность глав и более крупную компиляцию. Но это гипотеза о литературной связи, а не свидетельство того, что когда-то существовал один физический том в той форме, в какой мы видим его сейчас. </w:t>
      </w:r>
      <w:hyperlink r:id="rId12">
        <w:r>
          <w:rPr>
            <w:color w:val="116F7F"/>
            <w:u w:val="single"/>
            <w:rFonts w:ascii="Noto Serif" w:hAnsi="Noto Serif"/>
          </w:rPr>
          <w:t>[1]</w:t>
        </w:r>
      </w:hyperlink>
      <w:r>
        <w:rPr>
          <w:rFonts w:ascii="Noto Serif" w:hAnsi="Noto Serif"/>
          <w:b w:val="0"/>
          <w:i w:val="0"/>
          <w:sz w:val="20"/>
        </w:rPr>
        <w:t xml:space="preserve"> </w:t>
      </w:r>
      <w:hyperlink r:id="rId17">
        <w:r>
          <w:rPr>
            <w:color w:val="116F7F"/>
            <w:u w:val="single"/>
            <w:rFonts w:ascii="Noto Serif" w:hAnsi="Noto Serif"/>
          </w:rPr>
          <w:t>[4]</w:t>
        </w:r>
      </w:hyperlink>
      <w:r>
        <w:rPr>
          <w:rFonts w:ascii="Noto Serif" w:hAnsi="Noto Serif"/>
          <w:b w:val="0"/>
          <w:i w:val="0"/>
          <w:sz w:val="20"/>
        </w:rPr>
        <w:t xml:space="preserve"> </w:t>
      </w:r>
      <w:hyperlink r:id="rId18">
        <w:r>
          <w:rPr>
            <w:color w:val="116F7F"/>
            <w:u w:val="single"/>
            <w:rFonts w:ascii="Noto Serif" w:hAnsi="Noto Serif"/>
          </w:rPr>
          <w:t>[5]</w:t>
        </w:r>
      </w:hyperlink>
    </w:p>
    <w:p>
      <w:r>
        <w:rPr>
          <w:rFonts w:ascii="Noto Serif" w:hAnsi="Noto Serif"/>
          <w:b w:val="0"/>
          <w:i w:val="0"/>
          <w:sz w:val="20"/>
        </w:rPr>
        <w:t>В научной литературе встречается обозначение 1Ke и 2Ke. Оно удобно, но не должно сглаживать разницу между свидетелями. Когда говорится о конкретном месте текста, полезно уточнить, к какому кодексу, главе и изданию оно относится. Ссылка просто на «Кефалайи» иногда оставляет неясным, идёт ли речь о Берлине, Дублине или о корпусе в целом.</w:t>
      </w:r>
    </w:p>
    <w:p>
      <w:r>
        <w:rPr>
          <w:rFonts w:ascii="Noto Serif" w:hAnsi="Noto Serif"/>
          <w:b w:val="0"/>
          <w:i w:val="0"/>
          <w:sz w:val="20"/>
        </w:rPr>
        <w:t xml:space="preserve">Реконструкция предполагает, что 1Ke мог завершаться около глав 205–210, а 2Ke продолжал последовательность и доходил до 347-й главы. Последний уверенно читаемый номер в 1Ke — 199; в 2Ke начало сохранившейся нумерации приходится на 220. Между ними есть утраченные участки. Поэтому общая нумерация правдоподобна и научно полезна, но её нельзя считать простой записью, полностью сохранённой на папирусе. </w:t>
      </w:r>
      <w:hyperlink r:id="rId12">
        <w:r>
          <w:rPr>
            <w:color w:val="116F7F"/>
            <w:u w:val="single"/>
            <w:rFonts w:ascii="Noto Serif" w:hAnsi="Noto Serif"/>
          </w:rPr>
          <w:t>[1]</w:t>
        </w:r>
      </w:hyperlink>
      <w:r>
        <w:rPr>
          <w:rFonts w:ascii="Noto Serif" w:hAnsi="Noto Serif"/>
          <w:b w:val="0"/>
          <w:i w:val="0"/>
          <w:sz w:val="20"/>
        </w:rPr>
        <w:t xml:space="preserve"> </w:t>
      </w:r>
      <w:hyperlink r:id="rId17">
        <w:r>
          <w:rPr>
            <w:color w:val="116F7F"/>
            <w:u w:val="single"/>
            <w:rFonts w:ascii="Noto Serif" w:hAnsi="Noto Serif"/>
          </w:rPr>
          <w:t>[4]</w:t>
        </w:r>
      </w:hyperlink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35999" cy="2951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io-and-fragmen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5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" w:hAnsi="Noto Sans"/>
          <w:i/>
          <w:color w:val="687078"/>
          <w:sz w:val="16"/>
        </w:rPr>
        <w:t>Условный образ разрозненных свидетельств и исследовательской работы. Он не воспроизводит и не реконструирует конкретный лист «Кефалай».</w:t>
      </w:r>
    </w:p>
    <w:p>
      <w:pPr>
        <w:pStyle w:val="Heading1"/>
      </w:pPr>
      <w:r>
        <w:rPr>
          <w:rFonts w:ascii="Noto Serif" w:hAnsi="Noto Serif"/>
          <w:b/>
          <w:i w:val="0"/>
          <w:sz w:val="20"/>
        </w:rPr>
        <w:t>3. Медине-Мади и путь к читателю</w:t>
      </w:r>
    </w:p>
    <w:p>
      <w:r>
        <w:rPr>
          <w:rFonts w:ascii="Noto Serif" w:hAnsi="Noto Serif"/>
          <w:b w:val="0"/>
          <w:i w:val="0"/>
          <w:sz w:val="20"/>
        </w:rPr>
        <w:t xml:space="preserve">Два кодекса «Кефалай» входят в группу коптских манихейских рукописей, которую принято связывать с Медине-Мади в Египте. Историю находки относят к 1929 году. Однако ранняя история комплекса и происхождение отдельных предметов описаны не так уверенно, как хотелось бы: атрибуцию места находки обсуждают, и осторожные научные обзоры сами отмечают эту неопределённость. Поэтому уместно говорить о «так называемой библиотеке Медине-Мади», а не выдавать каждую деталь её происхождения за установленный факт. </w:t>
      </w:r>
      <w:hyperlink r:id="rId18">
        <w:r>
          <w:rPr>
            <w:color w:val="116F7F"/>
            <w:u w:val="single"/>
            <w:rFonts w:ascii="Noto Serif" w:hAnsi="Noto Serif"/>
          </w:rPr>
          <w:t>[5]</w:t>
        </w:r>
      </w:hyperlink>
    </w:p>
    <w:p>
      <w:r>
        <w:rPr>
          <w:rFonts w:ascii="Noto Serif" w:hAnsi="Noto Serif"/>
          <w:b w:val="0"/>
          <w:i w:val="0"/>
          <w:sz w:val="20"/>
        </w:rPr>
        <w:t xml:space="preserve">Рукописи оказались разделены между несколькими собраниями. Берлинский кодекс 1Ke известен по инвентарному обозначению P. Berol. 15996; дублинский 2Ke — это Codex C в библиотеке Chester Beatty. Оба каталожных ориентира помогают проверить, что речь идёт о разных материальных свидетелях. Части берлинского материала обнаруживались и в других местах; так, венские фрагменты K 11010a–h связывают с отсутствующими страницами 311–330 того же кодекса. Это дополнительные листы 1Ke, а не ещё один отдельный «Кефалай». </w:t>
      </w:r>
      <w:hyperlink r:id="rId17">
        <w:r>
          <w:rPr>
            <w:color w:val="116F7F"/>
            <w:u w:val="single"/>
            <w:rFonts w:ascii="Noto Serif" w:hAnsi="Noto Serif"/>
          </w:rPr>
          <w:t>[4]</w:t>
        </w:r>
      </w:hyperlink>
      <w:r>
        <w:rPr>
          <w:rFonts w:ascii="Noto Serif" w:hAnsi="Noto Serif"/>
          <w:b w:val="0"/>
          <w:i w:val="0"/>
          <w:sz w:val="20"/>
        </w:rPr>
        <w:t xml:space="preserve"> </w:t>
      </w:r>
      <w:hyperlink r:id="rId18">
        <w:r>
          <w:rPr>
            <w:color w:val="116F7F"/>
            <w:u w:val="single"/>
            <w:rFonts w:ascii="Noto Serif" w:hAnsi="Noto Serif"/>
          </w:rPr>
          <w:t>[5]</w:t>
        </w:r>
      </w:hyperlink>
      <w:r>
        <w:rPr>
          <w:rFonts w:ascii="Noto Serif" w:hAnsi="Noto Serif"/>
          <w:b w:val="0"/>
          <w:i w:val="0"/>
          <w:sz w:val="20"/>
        </w:rPr>
        <w:t xml:space="preserve"> </w:t>
      </w:r>
      <w:hyperlink r:id="rId16">
        <w:r>
          <w:rPr>
            <w:color w:val="116F7F"/>
            <w:u w:val="single"/>
            <w:rFonts w:ascii="Noto Serif" w:hAnsi="Noto Serif"/>
          </w:rPr>
          <w:t>[16]</w:t>
        </w:r>
      </w:hyperlink>
      <w:r>
        <w:rPr>
          <w:rFonts w:ascii="Noto Serif" w:hAnsi="Noto Serif"/>
          <w:b w:val="0"/>
          <w:i w:val="0"/>
          <w:sz w:val="20"/>
        </w:rPr>
        <w:t xml:space="preserve"> </w:t>
      </w:r>
      <w:hyperlink r:id="rId15">
        <w:r>
          <w:rPr>
            <w:color w:val="116F7F"/>
            <w:u w:val="single"/>
            <w:rFonts w:ascii="Noto Serif" w:hAnsi="Noto Serif"/>
          </w:rPr>
          <w:t>[17]</w:t>
        </w:r>
      </w:hyperlink>
    </w:p>
    <w:p>
      <w:r>
        <w:rPr>
          <w:rFonts w:ascii="Noto Serif" w:hAnsi="Noto Serif"/>
          <w:b w:val="0"/>
          <w:i w:val="0"/>
          <w:sz w:val="20"/>
        </w:rPr>
        <w:t xml:space="preserve">Коптские кодексы создавались и использовались задолго до современной научной классификации. Их датируют примерно концом IV — началом V века, часто ориентировочно около 400 года. Этот диапазон относится к сохранившимся рукописям. Он сам по себе не датирует каждый рассказ или учение внутри компиляции и не доказывает, что все её слои были первоначально написаны по-коптски. </w:t>
      </w:r>
      <w:hyperlink r:id="rId12">
        <w:r>
          <w:rPr>
            <w:color w:val="116F7F"/>
            <w:u w:val="single"/>
            <w:rFonts w:ascii="Noto Serif" w:hAnsi="Noto Serif"/>
          </w:rPr>
          <w:t>[1]</w:t>
        </w:r>
      </w:hyperlink>
      <w:r>
        <w:rPr>
          <w:rFonts w:ascii="Noto Serif" w:hAnsi="Noto Serif"/>
          <w:b w:val="0"/>
          <w:i w:val="0"/>
          <w:sz w:val="20"/>
        </w:rPr>
        <w:t xml:space="preserve"> </w:t>
      </w:r>
      <w:hyperlink r:id="rId18">
        <w:r>
          <w:rPr>
            <w:color w:val="116F7F"/>
            <w:u w:val="single"/>
            <w:rFonts w:ascii="Noto Serif" w:hAnsi="Noto Serif"/>
          </w:rPr>
          <w:t>[5]</w:t>
        </w:r>
      </w:hyperlink>
    </w:p>
    <w:p>
      <w:r>
        <w:rPr>
          <w:rFonts w:ascii="Noto Serif" w:hAnsi="Noto Serif"/>
          <w:b w:val="0"/>
          <w:i w:val="0"/>
          <w:sz w:val="20"/>
        </w:rPr>
        <w:t xml:space="preserve">Папирусы хрупки, а листы повреждены, утрачены или рассеяны. Издатели и кодикологи работают не только с текстом, но и с тем, как листы складывались в тетради, где сохранились края, что можно сопоставить с другими частями и где данных уже недостаточно. Разные оценки первоначального объёма 2Ke могут считать разные вещи: реконструируемый кодекс и доступные страницы. Поэтому цифры объёма нужно читать с пояснением, а не объединять в одну якобы точную меру. </w:t>
      </w:r>
      <w:hyperlink r:id="rId17">
        <w:r>
          <w:rPr>
            <w:color w:val="116F7F"/>
            <w:u w:val="single"/>
            <w:rFonts w:ascii="Noto Serif" w:hAnsi="Noto Serif"/>
          </w:rPr>
          <w:t>[4]</w:t>
        </w:r>
      </w:hyperlink>
    </w:p>
    <w:p>
      <w:pPr>
        <w:pStyle w:val="Heading1"/>
      </w:pPr>
      <w:r>
        <w:rPr>
          <w:rFonts w:ascii="Noto Serif" w:hAnsi="Noto Serif"/>
          <w:b/>
          <w:i w:val="0"/>
          <w:sz w:val="20"/>
        </w:rPr>
        <w:t>4. Что именно мы читаем</w:t>
      </w:r>
    </w:p>
    <w:p>
      <w:r>
        <w:rPr>
          <w:rFonts w:ascii="Noto Serif" w:hAnsi="Noto Serif"/>
          <w:b w:val="0"/>
          <w:i w:val="0"/>
          <w:sz w:val="20"/>
        </w:rPr>
        <w:t>Печатная страница — это не то же самое, что поверхность папируса. Между ними есть несколько уровней.</w:t>
      </w:r>
    </w:p>
    <w:p>
      <w:r>
        <w:rPr>
          <w:rFonts w:ascii="Noto Serif" w:hAnsi="Noto Serif"/>
          <w:b w:val="0"/>
          <w:i w:val="0"/>
          <w:sz w:val="20"/>
        </w:rPr>
        <w:t>Сначала исследователь видит следы чернил и волокон: сохранившиеся буквы, промежутки, повреждения, границы листа. Затем редактор устанавливает чтение, сравнивая видимые знаки, контекст и параллельные места. Там, где текст утрачен, в научном издании могут появиться квадратные скобки, многоточия или другие обозначения лакуны и восстановления. После этого переводчик выбирает, как передать грамматику, смысл и стиль на другом языке. Наконец, читатель или историк предлагает интерпретацию — например, как связаны два фрагмента или к какой теме относится глава.</w:t>
      </w:r>
    </w:p>
    <w:p>
      <w:r>
        <w:rPr>
          <w:rFonts w:ascii="Noto Serif" w:hAnsi="Noto Serif"/>
          <w:b w:val="0"/>
          <w:i w:val="0"/>
          <w:sz w:val="20"/>
        </w:rPr>
        <w:t>Эти шаги не равнозначны. Сохранившаяся буква — материальное свидетельство. Восстановленная буква — аргументированное редакторское решение. Перевод — ещё один слой выбора. Историческое объяснение — интерпретация, которую можно пересматривать.</w:t>
      </w:r>
    </w:p>
    <w:p>
      <w:r>
        <w:rPr>
          <w:rFonts w:ascii="Noto Serif" w:hAnsi="Noto Serif"/>
          <w:b w:val="0"/>
          <w:i w:val="0"/>
          <w:sz w:val="20"/>
        </w:rPr>
        <w:t xml:space="preserve">История публикации тоже не сводится к одному тому. Берлинские части выходили поэтапно в изданиях разных редакторов. Книга Иэна Гарднера 1995 года стала важным английским переводом и комментарием к опубликованной тогда части 1Ke, но не является переводом всего 1Ke и не включает дублинский 2Ke. Дублинский кодекс долгое время был известен в том числе по факсимиле; критическое издание его частей выходит постепенно. В 2018 году была опубликована часть с коптским текстом и английским переводом глав 321–347. </w:t>
      </w:r>
      <w:hyperlink r:id="rId13">
        <w:r>
          <w:rPr>
            <w:color w:val="116F7F"/>
            <w:u w:val="single"/>
            <w:rFonts w:ascii="Noto Serif" w:hAnsi="Noto Serif"/>
          </w:rPr>
          <w:t>[2]</w:t>
        </w:r>
      </w:hyperlink>
      <w:r>
        <w:rPr>
          <w:rFonts w:ascii="Noto Serif" w:hAnsi="Noto Serif"/>
          <w:b w:val="0"/>
          <w:i w:val="0"/>
          <w:sz w:val="20"/>
        </w:rPr>
        <w:t xml:space="preserve"> </w:t>
      </w:r>
      <w:hyperlink r:id="rId18">
        <w:r>
          <w:rPr>
            <w:color w:val="116F7F"/>
            <w:u w:val="single"/>
            <w:rFonts w:ascii="Noto Serif" w:hAnsi="Noto Serif"/>
          </w:rPr>
          <w:t>[5]</w:t>
        </w:r>
      </w:hyperlink>
      <w:r>
        <w:rPr>
          <w:rFonts w:ascii="Noto Serif" w:hAnsi="Noto Serif"/>
          <w:b w:val="0"/>
          <w:i w:val="0"/>
          <w:sz w:val="20"/>
        </w:rPr>
        <w:t xml:space="preserve"> </w:t>
      </w:r>
      <w:hyperlink r:id="rId20">
        <w:r>
          <w:rPr>
            <w:color w:val="116F7F"/>
            <w:u w:val="single"/>
            <w:rFonts w:ascii="Noto Serif" w:hAnsi="Noto Serif"/>
          </w:rPr>
          <w:t>[6]</w:t>
        </w:r>
      </w:hyperlink>
    </w:p>
    <w:p>
      <w:r>
        <w:rPr>
          <w:rFonts w:ascii="Noto Serif" w:hAnsi="Noto Serif"/>
          <w:b w:val="0"/>
          <w:i w:val="0"/>
          <w:sz w:val="20"/>
        </w:rPr>
        <w:t xml:space="preserve">Для внимательного чтения полезно спрашивать: это знак на папирусе, редакторское восстановление, переводческий выбор или гипотеза о композиции? Ответ иногда меняет оттенок утверждения. Пустое место в рукописи нельзя заполнять только потому, что подходящая фраза хорошо звучит. Параллельный текст может помочь, но не всегда доказывает, что именно так выглядел утраченный участок. </w:t>
      </w:r>
      <w:hyperlink r:id="rId13">
        <w:r>
          <w:rPr>
            <w:color w:val="116F7F"/>
            <w:u w:val="single"/>
            <w:rFonts w:ascii="Noto Serif" w:hAnsi="Noto Serif"/>
          </w:rPr>
          <w:t>[2]</w:t>
        </w:r>
      </w:hyperlink>
      <w:r>
        <w:rPr>
          <w:rFonts w:ascii="Noto Serif" w:hAnsi="Noto Serif"/>
          <w:b w:val="0"/>
          <w:i w:val="0"/>
          <w:sz w:val="20"/>
        </w:rPr>
        <w:t xml:space="preserve"> </w:t>
      </w:r>
      <w:hyperlink r:id="rId17">
        <w:r>
          <w:rPr>
            <w:color w:val="116F7F"/>
            <w:u w:val="single"/>
            <w:rFonts w:ascii="Noto Serif" w:hAnsi="Noto Serif"/>
          </w:rPr>
          <w:t>[4]</w:t>
        </w:r>
      </w:hyperlink>
    </w:p>
    <w:p>
      <w:pPr>
        <w:pStyle w:val="Heading1"/>
      </w:pPr>
      <w:r>
        <w:rPr>
          <w:rFonts w:ascii="Noto Serif" w:hAnsi="Noto Serif"/>
          <w:b/>
          <w:i w:val="0"/>
          <w:sz w:val="20"/>
        </w:rPr>
        <w:t>5. Голос Учителя и многообразие тем</w:t>
      </w:r>
    </w:p>
    <w:p>
      <w:r>
        <w:rPr>
          <w:rFonts w:ascii="Noto Serif" w:hAnsi="Noto Serif"/>
          <w:b w:val="0"/>
          <w:i w:val="0"/>
          <w:sz w:val="20"/>
        </w:rPr>
        <w:t xml:space="preserve">«Кефалайи» создают впечатление разговора об учении: глава задаёт тему, голос наставника объясняет её, а вопросы и ответы помогают двигаться от тезиса к разъяснению. Но корпус не ограничивается одним видом речи. В нём соседствуют богословское изложение, толкование, рассказы, притчи и иные формы. Это собрание, где учение передаётся через несколько литературных способов, а не сухой список определений. </w:t>
      </w:r>
      <w:hyperlink r:id="rId12">
        <w:r>
          <w:rPr>
            <w:color w:val="116F7F"/>
            <w:u w:val="single"/>
            <w:rFonts w:ascii="Noto Serif" w:hAnsi="Noto Serif"/>
          </w:rPr>
          <w:t>[1]</w:t>
        </w:r>
      </w:hyperlink>
      <w:r>
        <w:rPr>
          <w:rFonts w:ascii="Noto Serif" w:hAnsi="Noto Serif"/>
          <w:b w:val="0"/>
          <w:i w:val="0"/>
          <w:sz w:val="20"/>
        </w:rPr>
        <w:t xml:space="preserve"> </w:t>
      </w:r>
      <w:hyperlink r:id="rId14">
        <w:r>
          <w:rPr>
            <w:color w:val="116F7F"/>
            <w:u w:val="single"/>
            <w:rFonts w:ascii="Noto Serif" w:hAnsi="Noto Serif"/>
          </w:rPr>
          <w:t>[3]</w:t>
        </w:r>
      </w:hyperlink>
    </w:p>
    <w:p>
      <w:r>
        <w:rPr>
          <w:rFonts w:ascii="Noto Serif" w:hAnsi="Noto Serif"/>
          <w:b w:val="0"/>
          <w:i w:val="0"/>
          <w:sz w:val="20"/>
        </w:rPr>
        <w:t xml:space="preserve">Среди основных тем — устройство мира и его происхождение, божественные и демонические силы, возникновение человеческого состояния, время и спасение. Другие разделы обращаются к Мани, его посланничеству, религиозной общине и её практике. Обсуждаются небесные миры и астрологические представления. Это широкий набор тем, но их наличие не означает, что любая глава объясняет один и тот же тезис одинаково или что корпус образует полностью согласованную систему без внутренних различий. </w:t>
      </w:r>
      <w:hyperlink r:id="rId12">
        <w:r>
          <w:rPr>
            <w:color w:val="116F7F"/>
            <w:u w:val="single"/>
            <w:rFonts w:ascii="Noto Serif" w:hAnsi="Noto Serif"/>
          </w:rPr>
          <w:t>[1]</w:t>
        </w:r>
      </w:hyperlink>
      <w:r>
        <w:rPr>
          <w:rFonts w:ascii="Noto Serif" w:hAnsi="Noto Serif"/>
          <w:b w:val="0"/>
          <w:i w:val="0"/>
          <w:sz w:val="20"/>
        </w:rPr>
        <w:t xml:space="preserve"> </w:t>
      </w:r>
      <w:hyperlink r:id="rId13">
        <w:r>
          <w:rPr>
            <w:color w:val="116F7F"/>
            <w:u w:val="single"/>
            <w:rFonts w:ascii="Noto Serif" w:hAnsi="Noto Serif"/>
          </w:rPr>
          <w:t>[2]</w:t>
        </w:r>
      </w:hyperlink>
    </w:p>
    <w:p>
      <w:r>
        <w:rPr>
          <w:rFonts w:ascii="Noto Serif" w:hAnsi="Noto Serif"/>
          <w:b w:val="0"/>
          <w:i w:val="0"/>
          <w:sz w:val="20"/>
        </w:rPr>
        <w:t xml:space="preserve">В некоторых частях 2Ke исследователи выделяют условные внутренние блоки, включая так называемую «книгу Иисуса» и следующий за ней иранский блок. Эти названия — инструменты анализа. Они помогают заметить смену материалов и культурных рамок, но не обязательно совпадают с заголовками, поставленными автором или переписчиком как окончательное деление всего собрания. </w:t>
      </w:r>
      <w:hyperlink r:id="rId12">
        <w:r>
          <w:rPr>
            <w:color w:val="116F7F"/>
            <w:u w:val="single"/>
            <w:rFonts w:ascii="Noto Serif" w:hAnsi="Noto Serif"/>
          </w:rPr>
          <w:t>[1]</w:t>
        </w:r>
      </w:hyperlink>
      <w:r>
        <w:rPr>
          <w:rFonts w:ascii="Noto Serif" w:hAnsi="Noto Serif"/>
          <w:b w:val="0"/>
          <w:i w:val="0"/>
          <w:sz w:val="20"/>
        </w:rPr>
        <w:t xml:space="preserve"> </w:t>
      </w:r>
      <w:hyperlink r:id="rId20">
        <w:r>
          <w:rPr>
            <w:color w:val="116F7F"/>
            <w:u w:val="single"/>
            <w:rFonts w:ascii="Noto Serif" w:hAnsi="Noto Serif"/>
          </w:rPr>
          <w:t>[6]</w:t>
        </w:r>
      </w:hyperlink>
    </w:p>
    <w:p>
      <w:r>
        <w:rPr>
          <w:rFonts w:ascii="Noto Serif" w:hAnsi="Noto Serif"/>
          <w:b w:val="0"/>
          <w:i w:val="0"/>
          <w:sz w:val="20"/>
        </w:rPr>
        <w:t>Коптская форма, в которой мы читаем главы, не делает собрание простым отражением одной местной общины. Переводные традиции и перемещение текстов между регионами могли менять язык и контекст. Поэтому осторожная формулировка говорит о манихейском материале, дошедшем в коптской редакции, а не о том, будто весь корпус возник в Египте именно в том виде, который сохранился в папирусах.</w:t>
      </w:r>
    </w:p>
    <w:p>
      <w:pPr>
        <w:pStyle w:val="Heading1"/>
      </w:pPr>
      <w:r>
        <w:rPr>
          <w:rFonts w:ascii="Noto Serif" w:hAnsi="Noto Serif"/>
          <w:b/>
          <w:i w:val="0"/>
          <w:sz w:val="20"/>
        </w:rPr>
        <w:t>6. Часть большой, фрагментарной библиотеки</w:t>
      </w:r>
    </w:p>
    <w:p>
      <w:r>
        <w:rPr>
          <w:rFonts w:ascii="Noto Serif" w:hAnsi="Noto Serif"/>
          <w:b w:val="0"/>
          <w:i w:val="0"/>
          <w:sz w:val="20"/>
        </w:rPr>
        <w:t xml:space="preserve">Манихейские тексты не сохранились в одном языке и одном архиве. Учёные работают с рукописями и фрагментами на коптском, греческом, сирийском, среднеперсидском, парфянском, согдийском, старотюркском, китайском и других языках. Одни свидетельства происходят из Египта, другие — из Центральной Азии или китайского Турфана, третьи дошли в переводах, цитатах и сочинениях авторов, споривших с манихеями. </w:t>
      </w:r>
      <w:r>
        <w:rPr>
          <w:rFonts w:ascii="Noto Serif" w:hAnsi="Noto Serif"/>
          <w:b w:val="0"/>
          <w:i/>
          <w:sz w:val="20"/>
        </w:rPr>
        <w:t>Corpus Fontium Manichaeorum</w:t>
      </w:r>
      <w:r>
        <w:rPr>
          <w:rFonts w:ascii="Noto Serif" w:hAnsi="Noto Serif"/>
          <w:b w:val="0"/>
          <w:i w:val="0"/>
          <w:sz w:val="20"/>
        </w:rPr>
        <w:t xml:space="preserve"> отражает этот широкий и разнородный корпус в названиях своих языковых и региональных серий. </w:t>
      </w:r>
      <w:hyperlink r:id="rId21">
        <w:r>
          <w:rPr>
            <w:color w:val="116F7F"/>
            <w:u w:val="single"/>
            <w:rFonts w:ascii="Noto Serif" w:hAnsi="Noto Serif"/>
          </w:rPr>
          <w:t>[7]</w:t>
        </w:r>
      </w:hyperlink>
      <w:r>
        <w:rPr>
          <w:rFonts w:ascii="Noto Serif" w:hAnsi="Noto Serif"/>
          <w:b w:val="0"/>
          <w:i w:val="0"/>
          <w:sz w:val="20"/>
        </w:rPr>
        <w:t xml:space="preserve"> </w:t>
      </w:r>
      <w:hyperlink r:id="rId22">
        <w:r>
          <w:rPr>
            <w:color w:val="116F7F"/>
            <w:u w:val="single"/>
            <w:rFonts w:ascii="Noto Serif" w:hAnsi="Noto Serif"/>
          </w:rPr>
          <w:t>[8]</w:t>
        </w:r>
      </w:hyperlink>
    </w:p>
    <w:p>
      <w:r>
        <w:rPr>
          <w:rFonts w:ascii="Noto Serif" w:hAnsi="Noto Serif"/>
          <w:b w:val="0"/>
          <w:i w:val="0"/>
          <w:sz w:val="20"/>
        </w:rPr>
        <w:t xml:space="preserve">Сохранность резко различается. Где-то имеется значительный текст, где-то — несколько страниц, отдельные листы или фрагменты, которые нельзя уверенно соединить. Турфанские коллекции охватывают множество языков и письменностей; каталоги подчёркивают, что многие единицы — именно фрагменты без полного текста, заглавия или надёжной атрибуции. Наличие рукописного фрагмента на определённом языке ещё не означает, что целая книга на этом языке сохранилась. </w:t>
      </w:r>
      <w:hyperlink r:id="rId23">
        <w:r>
          <w:rPr>
            <w:color w:val="116F7F"/>
            <w:u w:val="single"/>
            <w:rFonts w:ascii="Noto Serif" w:hAnsi="Noto Serif"/>
          </w:rPr>
          <w:t>[10]</w:t>
        </w:r>
      </w:hyperlink>
      <w:r>
        <w:rPr>
          <w:rFonts w:ascii="Noto Serif" w:hAnsi="Noto Serif"/>
          <w:b w:val="0"/>
          <w:i w:val="0"/>
          <w:sz w:val="20"/>
        </w:rPr>
        <w:t xml:space="preserve"> </w:t>
      </w:r>
      <w:hyperlink r:id="rId24">
        <w:r>
          <w:rPr>
            <w:color w:val="116F7F"/>
            <w:u w:val="single"/>
            <w:rFonts w:ascii="Noto Serif" w:hAnsi="Noto Serif"/>
          </w:rPr>
          <w:t>[11]</w:t>
        </w:r>
      </w:hyperlink>
    </w:p>
    <w:p>
      <w:r>
        <w:rPr>
          <w:rFonts w:ascii="Noto Serif" w:hAnsi="Noto Serif"/>
          <w:b w:val="0"/>
          <w:i w:val="0"/>
          <w:sz w:val="20"/>
        </w:rPr>
        <w:t xml:space="preserve">Китайский «Трактат манихейский китайский» — пример более протяжённого и хорошо сохранившегося свидетельства, которое исследователи сопоставляют с материалом из других языков. Такая параллель обогащает сравнение, но не превращает китайский текст в копию конкретной главы 1Ke или 2Ke. У каждой рукописи своя история передачи. </w:t>
      </w:r>
      <w:hyperlink r:id="rId25">
        <w:r>
          <w:rPr>
            <w:color w:val="116F7F"/>
            <w:u w:val="single"/>
            <w:rFonts w:ascii="Noto Serif" w:hAnsi="Noto Serif"/>
          </w:rPr>
          <w:t>[9]</w:t>
        </w:r>
      </w:hyperlink>
    </w:p>
    <w:p>
      <w:r>
        <w:rPr>
          <w:rFonts w:ascii="Noto Serif" w:hAnsi="Noto Serif"/>
          <w:b w:val="0"/>
          <w:i w:val="0"/>
          <w:sz w:val="20"/>
        </w:rPr>
        <w:t xml:space="preserve">Исследователи обсуждают также перечни сочинений, приписываемых Мани. В литературе встречаются разные способы их группировки и подсчёта. Сами произведения не дошли в одном полном авторском архиве; часть известна через поздние свидетельства или переводы. Поэтому «Кефалайи» нельзя называть всей манихейской Библией, полным корпусом Мани или переводом его канона. Это один из важных, но ограниченных сегментов многоязычной традиции. </w:t>
      </w:r>
      <w:hyperlink r:id="rId22">
        <w:r>
          <w:rPr>
            <w:color w:val="116F7F"/>
            <w:u w:val="single"/>
            <w:rFonts w:ascii="Noto Serif" w:hAnsi="Noto Serif"/>
          </w:rPr>
          <w:t>[8]</w:t>
        </w:r>
      </w:hyperlink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35999" cy="2951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logue-and-transmiss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5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" w:hAnsi="Noto Sans"/>
          <w:i/>
          <w:color w:val="687078"/>
          <w:sz w:val="16"/>
        </w:rPr>
        <w:t>Условная современная визуальная метафора разговора и передачи. Она не изображает исторических лиц, конкретное учение или древний ритуал.</w:t>
      </w:r>
    </w:p>
    <w:p>
      <w:pPr>
        <w:pStyle w:val="Heading1"/>
      </w:pPr>
      <w:r>
        <w:rPr>
          <w:rFonts w:ascii="Noto Serif" w:hAnsi="Noto Serif"/>
          <w:b/>
          <w:i w:val="0"/>
          <w:sz w:val="20"/>
        </w:rPr>
        <w:t>7. Свой голос, чужая полемика и современные чтения</w:t>
      </w:r>
    </w:p>
    <w:p>
      <w:r>
        <w:rPr>
          <w:rFonts w:ascii="Noto Serif" w:hAnsi="Noto Serif"/>
          <w:b w:val="0"/>
          <w:i w:val="0"/>
          <w:sz w:val="20"/>
        </w:rPr>
        <w:t>Коптские «Кефалайи» — внутренний литературный источник манихейской традиции. Это не «чистый» голос без истории: текст прошёл редакционную передачу, включает разные материалы и сохранился частично. Но его жанр и контекст отличаются от полемических сочинений внешних авторов.</w:t>
      </w:r>
    </w:p>
    <w:p>
      <w:r>
        <w:rPr>
          <w:rFonts w:ascii="Noto Serif" w:hAnsi="Noto Serif"/>
          <w:b w:val="0"/>
          <w:i w:val="0"/>
          <w:sz w:val="20"/>
        </w:rPr>
        <w:t xml:space="preserve">Августин и другие позднеантичные авторы важны для изучения конкретных споров и общин. Их сочинения помогают понять, как манихеи представляли себя в публичной дискуссии и как их описывали оппоненты. При этом полемика имеет собственные цели. В ней обвинения, выбор цитат и способы изображения противника могут подчиняться богословскому спору. Поэтому её нельзя читать так, будто это нейтральная запись внутреннего вероучения всех манихеев. </w:t>
      </w:r>
      <w:hyperlink r:id="rId27">
        <w:r>
          <w:rPr>
            <w:color w:val="116F7F"/>
            <w:u w:val="single"/>
            <w:rFonts w:ascii="Noto Serif" w:hAnsi="Noto Serif"/>
          </w:rPr>
          <w:t>[12]</w:t>
        </w:r>
      </w:hyperlink>
      <w:r>
        <w:rPr>
          <w:rFonts w:ascii="Noto Serif" w:hAnsi="Noto Serif"/>
          <w:b w:val="0"/>
          <w:i w:val="0"/>
          <w:sz w:val="20"/>
        </w:rPr>
        <w:t xml:space="preserve"> </w:t>
      </w:r>
      <w:hyperlink r:id="rId28">
        <w:r>
          <w:rPr>
            <w:color w:val="116F7F"/>
            <w:u w:val="single"/>
            <w:rFonts w:ascii="Noto Serif" w:hAnsi="Noto Serif"/>
          </w:rPr>
          <w:t>[13]</w:t>
        </w:r>
      </w:hyperlink>
      <w:r>
        <w:rPr>
          <w:rFonts w:ascii="Noto Serif" w:hAnsi="Noto Serif"/>
          <w:b w:val="0"/>
          <w:i w:val="0"/>
          <w:sz w:val="20"/>
        </w:rPr>
        <w:t xml:space="preserve"> </w:t>
      </w:r>
      <w:hyperlink r:id="rId29">
        <w:r>
          <w:rPr>
            <w:color w:val="116F7F"/>
            <w:u w:val="single"/>
            <w:rFonts w:ascii="Noto Serif" w:hAnsi="Noto Serif"/>
          </w:rPr>
          <w:t>[14]</w:t>
        </w:r>
      </w:hyperlink>
    </w:p>
    <w:p>
      <w:r>
        <w:rPr>
          <w:rFonts w:ascii="Noto Serif" w:hAnsi="Noto Serif"/>
          <w:b w:val="0"/>
          <w:i w:val="0"/>
          <w:sz w:val="20"/>
        </w:rPr>
        <w:t xml:space="preserve">Самоназвания тоже зависели от языка и ситуации. Исследование коптских и латинских материалов показывает, что слово «манихей» не является обычным внутренним самоназванием в сохранившихся коптских текстах, тогда как в латинском публичном контексте некоторые фигуры могли называть себя христианами. Это не противоречие, которое следует разрешить одним универсальным ярлыком: разные тексты обращены к разным читателям и используют разные словари. Отсутствие слова в уцелевшем корпусе не доказывает, что оно никогда не звучало в живой речи. </w:t>
      </w:r>
      <w:hyperlink r:id="rId27">
        <w:r>
          <w:rPr>
            <w:color w:val="116F7F"/>
            <w:u w:val="single"/>
            <w:rFonts w:ascii="Noto Serif" w:hAnsi="Noto Serif"/>
          </w:rPr>
          <w:t>[12]</w:t>
        </w:r>
      </w:hyperlink>
    </w:p>
    <w:p>
      <w:r>
        <w:rPr>
          <w:rFonts w:ascii="Noto Serif" w:hAnsi="Noto Serif"/>
          <w:b w:val="0"/>
          <w:i w:val="0"/>
          <w:sz w:val="20"/>
        </w:rPr>
        <w:t xml:space="preserve">Современные местные практики, в которых почитается Мани, — отдельная тема. Исследование Cao’an в Китае описывает местное переплетение преданий, буддийской среды, народной религии и семейной этики. Это важно для понимания того, как образы Мани живут в конкретном современном контексте. Но такое наблюдение не доказывает непрерывной передачи древних «Кефалай» или неизменного существования одной доктрины с поздней античности до наших дней. </w:t>
      </w:r>
      <w:hyperlink r:id="rId30">
        <w:r>
          <w:rPr>
            <w:color w:val="116F7F"/>
            <w:u w:val="single"/>
            <w:rFonts w:ascii="Noto Serif" w:hAnsi="Noto Serif"/>
          </w:rPr>
          <w:t>[15]</w:t>
        </w:r>
      </w:hyperlink>
    </w:p>
    <w:p>
      <w:r>
        <w:rPr>
          <w:rFonts w:ascii="Noto Serif" w:hAnsi="Noto Serif"/>
          <w:b w:val="0"/>
          <w:i w:val="0"/>
          <w:sz w:val="20"/>
        </w:rPr>
        <w:t>Уважительное чтение не требует считать все источники одинаковыми. Оно требует указывать, кто говорит, когда, на каком языке, для какой аудитории и через какой тип текста. Тогда внутреннее собрание глав, латинский диспут и современная локальная практика могут быть сопоставлены, не сливаясь в единую воображаемую общину.</w:t>
      </w:r>
    </w:p>
    <w:p>
      <w:pPr>
        <w:pStyle w:val="Heading1"/>
      </w:pPr>
      <w:r>
        <w:rPr>
          <w:rFonts w:ascii="Noto Serif" w:hAnsi="Noto Serif"/>
          <w:b/>
          <w:i w:val="0"/>
          <w:sz w:val="20"/>
        </w:rPr>
        <w:t>8. Как читать «Кефалайи» внимательно</w:t>
      </w:r>
    </w:p>
    <w:p>
      <w:r>
        <w:rPr>
          <w:rFonts w:ascii="Noto Serif" w:hAnsi="Noto Serif"/>
          <w:b w:val="0"/>
          <w:i w:val="0"/>
          <w:sz w:val="20"/>
        </w:rPr>
        <w:t>Есть несколько практических правил, которые помогают не потерять разницу между текстом и реконструкцией.</w:t>
      </w:r>
    </w:p>
    <w:p>
      <w:pPr>
        <w:pStyle w:val="ListBullet"/>
        <w:spacing w:after="40"/>
        <w:ind w:left="312" w:hanging="142"/>
      </w:pPr>
      <w:r>
        <w:rPr>
          <w:rFonts w:ascii="Noto Serif" w:hAnsi="Noto Serif"/>
          <w:b w:val="0"/>
          <w:i w:val="0"/>
          <w:sz w:val="20"/>
        </w:rPr>
        <w:t>Уточняйте кодекс: 1Ke в Берлине или 2Ke в Дублине.</w:t>
      </w:r>
    </w:p>
    <w:p>
      <w:pPr>
        <w:pStyle w:val="ListBullet"/>
        <w:spacing w:after="40"/>
        <w:ind w:left="312" w:hanging="142"/>
      </w:pPr>
      <w:r>
        <w:rPr>
          <w:rFonts w:ascii="Noto Serif" w:hAnsi="Noto Serif"/>
          <w:b w:val="0"/>
          <w:i w:val="0"/>
          <w:sz w:val="20"/>
        </w:rPr>
        <w:t>Уточняйте, о чём идёт речь: о сохранившемся фрагменте, опубликованном тексте, переводе или научной интерпретации.</w:t>
      </w:r>
    </w:p>
    <w:p>
      <w:pPr>
        <w:pStyle w:val="ListBullet"/>
        <w:spacing w:after="40"/>
        <w:ind w:left="312" w:hanging="142"/>
      </w:pPr>
      <w:r>
        <w:rPr>
          <w:rFonts w:ascii="Noto Serif" w:hAnsi="Noto Serif"/>
          <w:b w:val="0"/>
          <w:i w:val="0"/>
          <w:sz w:val="20"/>
        </w:rPr>
        <w:t>Считайте номера глав и предполагаемые внутренние разделы удобными ориентирами, но не доказательством бесспорного первоначального плана.</w:t>
      </w:r>
    </w:p>
    <w:p>
      <w:pPr>
        <w:pStyle w:val="ListBullet"/>
        <w:spacing w:after="40"/>
        <w:ind w:left="312" w:hanging="142"/>
      </w:pPr>
      <w:r>
        <w:rPr>
          <w:rFonts w:ascii="Noto Serif" w:hAnsi="Noto Serif"/>
          <w:b w:val="0"/>
          <w:i w:val="0"/>
          <w:sz w:val="20"/>
        </w:rPr>
        <w:t>Читайте слова внешних оппонентов как свидетельства спора, а не как нейтральный пересказ внутреннего учения.</w:t>
      </w:r>
    </w:p>
    <w:p>
      <w:pPr>
        <w:pStyle w:val="ListBullet"/>
        <w:spacing w:after="40"/>
        <w:ind w:left="312" w:hanging="142"/>
      </w:pPr>
      <w:r>
        <w:rPr>
          <w:rFonts w:ascii="Noto Serif" w:hAnsi="Noto Serif"/>
          <w:b w:val="0"/>
          <w:i w:val="0"/>
          <w:sz w:val="20"/>
        </w:rPr>
        <w:t>Не переносите современные локальные формы почитания на древность без отдельного доказательства.</w:t>
      </w:r>
    </w:p>
    <w:p>
      <w:r>
        <w:rPr>
          <w:rFonts w:ascii="Noto Serif" w:hAnsi="Noto Serif"/>
          <w:b w:val="0"/>
          <w:i w:val="0"/>
          <w:sz w:val="20"/>
        </w:rPr>
        <w:t xml:space="preserve">Каталоги, факсимиле и критические издания не отменяют неопределённость. Они дают возможность её точнее увидеть. Исследователь может назвать, что сохранилось, какое чтение предложено и на чём основано восстановление. Читатель может следовать за этой цепочкой, не принимая каждую гипотезу за окончательный ответ. </w:t>
      </w:r>
      <w:hyperlink r:id="rId13">
        <w:r>
          <w:rPr>
            <w:color w:val="116F7F"/>
            <w:u w:val="single"/>
            <w:rFonts w:ascii="Noto Serif" w:hAnsi="Noto Serif"/>
          </w:rPr>
          <w:t>[2]</w:t>
        </w:r>
      </w:hyperlink>
      <w:r>
        <w:rPr>
          <w:rFonts w:ascii="Noto Serif" w:hAnsi="Noto Serif"/>
          <w:b w:val="0"/>
          <w:i w:val="0"/>
          <w:sz w:val="20"/>
        </w:rPr>
        <w:t xml:space="preserve"> </w:t>
      </w:r>
      <w:hyperlink r:id="rId17">
        <w:r>
          <w:rPr>
            <w:color w:val="116F7F"/>
            <w:u w:val="single"/>
            <w:rFonts w:ascii="Noto Serif" w:hAnsi="Noto Serif"/>
          </w:rPr>
          <w:t>[4]</w:t>
        </w:r>
      </w:hyperlink>
      <w:r>
        <w:rPr>
          <w:rFonts w:ascii="Noto Serif" w:hAnsi="Noto Serif"/>
          <w:b w:val="0"/>
          <w:i w:val="0"/>
          <w:sz w:val="20"/>
        </w:rPr>
        <w:t xml:space="preserve"> </w:t>
      </w:r>
      <w:hyperlink r:id="rId16">
        <w:r>
          <w:rPr>
            <w:color w:val="116F7F"/>
            <w:u w:val="single"/>
            <w:rFonts w:ascii="Noto Serif" w:hAnsi="Noto Serif"/>
          </w:rPr>
          <w:t>[16]</w:t>
        </w:r>
      </w:hyperlink>
      <w:r>
        <w:rPr>
          <w:rFonts w:ascii="Noto Serif" w:hAnsi="Noto Serif"/>
          <w:b w:val="0"/>
          <w:i w:val="0"/>
          <w:sz w:val="20"/>
        </w:rPr>
        <w:t xml:space="preserve"> </w:t>
      </w:r>
      <w:hyperlink r:id="rId15">
        <w:r>
          <w:rPr>
            <w:color w:val="116F7F"/>
            <w:u w:val="single"/>
            <w:rFonts w:ascii="Noto Serif" w:hAnsi="Noto Serif"/>
          </w:rPr>
          <w:t>[17]</w:t>
        </w:r>
      </w:hyperlink>
    </w:p>
    <w:p>
      <w:r>
        <w:rPr>
          <w:rFonts w:ascii="Noto Serif" w:hAnsi="Noto Serif"/>
          <w:b w:val="0"/>
          <w:i w:val="0"/>
          <w:sz w:val="20"/>
        </w:rPr>
        <w:t>«Кефалайи Учителя» ценны именно как конкретное свидетельство: коптская манихейская компиляция, переданная в нескольких физических кодексах и собранная современной наукой по частям. Их чтение становится яснее, если не требовать от них того, чего рукописи не обещают: единого авторского тома, полного канона или неизменного голоса всех манихейских общин.</w:t>
      </w:r>
    </w:p>
    <w:p>
      <w:pPr>
        <w:pStyle w:val="Heading1"/>
      </w:pPr>
      <w:r>
        <w:rPr>
          <w:rFonts w:ascii="Noto Serif" w:hAnsi="Noto Serif"/>
          <w:b/>
          <w:i w:val="0"/>
          <w:sz w:val="20"/>
        </w:rPr>
        <w:t>Краткий словарь</w:t>
      </w:r>
    </w:p>
    <w:p>
      <w:r>
        <w:rPr>
          <w:rFonts w:ascii="Noto Serif" w:hAnsi="Noto Serif"/>
          <w:b/>
          <w:i w:val="0"/>
          <w:sz w:val="20"/>
        </w:rPr>
        <w:t>1Ke / 2Ke.</w:t>
      </w:r>
      <w:r>
        <w:rPr>
          <w:rFonts w:ascii="Noto Serif" w:hAnsi="Noto Serif"/>
          <w:b w:val="0"/>
          <w:i w:val="0"/>
          <w:sz w:val="20"/>
        </w:rPr>
        <w:t xml:space="preserve"> Условные современные обозначения двух разных коптских кодексов «Кефалай». 1Ke — берлинский P. Berol. 15996; 2Ke — дублинский Chester Beatty Codex C.</w:t>
      </w:r>
    </w:p>
    <w:p>
      <w:r>
        <w:rPr>
          <w:rFonts w:ascii="Noto Serif" w:hAnsi="Noto Serif"/>
          <w:b/>
          <w:i w:val="0"/>
          <w:sz w:val="20"/>
        </w:rPr>
        <w:t>Кодекс.</w:t>
      </w:r>
      <w:r>
        <w:rPr>
          <w:rFonts w:ascii="Noto Serif" w:hAnsi="Noto Serif"/>
          <w:b w:val="0"/>
          <w:i w:val="0"/>
          <w:sz w:val="20"/>
        </w:rPr>
        <w:t xml:space="preserve"> Рукописная книга, составленная из листов и тетрадей. В этом издании слово относится к физическому свидетелю, а не к абстрактной литературной традиции.</w:t>
      </w:r>
    </w:p>
    <w:p>
      <w:r>
        <w:rPr>
          <w:rFonts w:ascii="Noto Serif" w:hAnsi="Noto Serif"/>
          <w:b/>
          <w:i w:val="0"/>
          <w:sz w:val="20"/>
        </w:rPr>
        <w:t>Лакуна.</w:t>
      </w:r>
      <w:r>
        <w:rPr>
          <w:rFonts w:ascii="Noto Serif" w:hAnsi="Noto Serif"/>
          <w:b w:val="0"/>
          <w:i w:val="0"/>
          <w:sz w:val="20"/>
        </w:rPr>
        <w:t xml:space="preserve"> Утраченное или нечитаемое место рукописи.</w:t>
      </w:r>
    </w:p>
    <w:p>
      <w:r>
        <w:rPr>
          <w:rFonts w:ascii="Noto Serif" w:hAnsi="Noto Serif"/>
          <w:b/>
          <w:i w:val="0"/>
          <w:sz w:val="20"/>
        </w:rPr>
        <w:t>Реконструкция.</w:t>
      </w:r>
      <w:r>
        <w:rPr>
          <w:rFonts w:ascii="Noto Serif" w:hAnsi="Noto Serif"/>
          <w:b w:val="0"/>
          <w:i w:val="0"/>
          <w:sz w:val="20"/>
        </w:rPr>
        <w:t xml:space="preserve"> Предложенное исследователем восстановление чтения, порядка или структуры на основании сохранившихся данных. У реконструкций может быть разная степень уверенности.</w:t>
      </w:r>
    </w:p>
    <w:p>
      <w:r>
        <w:rPr>
          <w:rFonts w:ascii="Noto Serif" w:hAnsi="Noto Serif"/>
          <w:b/>
          <w:i w:val="0"/>
          <w:sz w:val="20"/>
        </w:rPr>
        <w:t>Факсимиле.</w:t>
      </w:r>
      <w:r>
        <w:rPr>
          <w:rFonts w:ascii="Noto Serif" w:hAnsi="Noto Serif"/>
          <w:b w:val="0"/>
          <w:i w:val="0"/>
          <w:sz w:val="20"/>
        </w:rPr>
        <w:t xml:space="preserve"> Воспроизведение рукописной страницы, позволяющее видеть материальный свидетель; оно не равнозначно транскрипции или переводу.</w:t>
      </w:r>
    </w:p>
    <w:p>
      <w:r>
        <w:rPr>
          <w:rFonts w:ascii="Noto Serif" w:hAnsi="Noto Serif"/>
          <w:b/>
          <w:i w:val="0"/>
          <w:sz w:val="20"/>
        </w:rPr>
        <w:t>Эротапокритическая форма.</w:t>
      </w:r>
      <w:r>
        <w:rPr>
          <w:rFonts w:ascii="Noto Serif" w:hAnsi="Noto Serif"/>
          <w:b w:val="0"/>
          <w:i w:val="0"/>
          <w:sz w:val="20"/>
        </w:rPr>
        <w:t xml:space="preserve"> Литературная форма, организованная как вопрос и ответ. Это полезное описание отдельных особенностей «Кефалай», но не обязательная схема каждой главы.</w:t>
      </w:r>
    </w:p>
    <w:p>
      <w:pPr>
        <w:pStyle w:val="Heading2"/>
      </w:pPr>
      <w:r>
        <w:rPr>
          <w:rFonts w:ascii="Noto Serif" w:hAnsi="Noto Serif"/>
          <w:b/>
          <w:i w:val="0"/>
          <w:sz w:val="20"/>
        </w:rPr>
        <w:t>Литература и доступ к источникам</w:t>
      </w:r>
    </w:p>
    <w:p>
      <w:r>
        <w:rPr>
          <w:rFonts w:ascii="Noto Serif" w:hAnsi="Noto Serif"/>
          <w:b w:val="0"/>
          <w:i w:val="0"/>
          <w:sz w:val="20"/>
        </w:rPr>
        <w:t>Ниже приведены страницы академических изданий, университетских проектов, библиотек и научных исследований, использованные для подготовки этого читательского введения. Внешние ссылки ведут к описаниям и материалам; доступность полного текста зависит от издателя или библиотеки.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46"/>
        <w:gridCol w:w="3146"/>
      </w:tblGrid>
      <w:tr>
        <w:tc>
          <w:tcPr>
            <w:tcW w:type="dxa" w:w="3146"/>
          </w:tcPr>
          <w:p>
            <w:pPr>
              <w:spacing w:after="60" w:line="269" w:lineRule="auto"/>
            </w:pPr>
            <w:r>
              <w:rPr>
                <w:rFonts w:ascii="Noto Serif" w:hAnsi="Noto Serif"/>
                <w:color w:val="332E2C"/>
                <w:sz w:val="18"/>
              </w:rPr>
              <w:t xml:space="preserve">1. </w:t>
            </w:r>
            <w:hyperlink r:id="rId12">
              <w:r>
                <w:rPr>
                  <w:color w:val="116F7F"/>
                  <w:u w:val="single"/>
                  <w:sz w:val="18"/>
                  <w:rFonts w:ascii="Noto Serif" w:hAnsi="Noto Serif"/>
                </w:rPr>
                <w:t>KEPHALAIA — Encyclopaedia Iranica</w:t>
              </w:r>
            </w:hyperlink>
          </w:p>
        </w:tc>
        <w:tc>
          <w:tcPr>
            <w:tcW w:type="dxa" w:w="3146"/>
          </w:tcPr>
          <w:p>
            <w:pPr>
              <w:spacing w:after="60" w:line="269" w:lineRule="auto"/>
            </w:pPr>
            <w:r>
              <w:rPr>
                <w:rFonts w:ascii="Noto Serif" w:hAnsi="Noto Serif"/>
                <w:color w:val="332E2C"/>
                <w:sz w:val="18"/>
              </w:rPr>
              <w:t xml:space="preserve">10. </w:t>
            </w:r>
            <w:hyperlink r:id="rId23">
              <w:r>
                <w:rPr>
                  <w:color w:val="116F7F"/>
                  <w:u w:val="single"/>
                  <w:sz w:val="18"/>
                  <w:rFonts w:ascii="Noto Serif" w:hAnsi="Noto Serif"/>
                </w:rPr>
                <w:t>Turfan Studies — Berlin-Brandenburg Academy of Sciences and Humanities</w:t>
              </w:r>
            </w:hyperlink>
          </w:p>
        </w:tc>
      </w:tr>
      <w:tr>
        <w:tc>
          <w:tcPr>
            <w:tcW w:type="dxa" w:w="3146"/>
          </w:tcPr>
          <w:p>
            <w:pPr>
              <w:spacing w:after="60" w:line="269" w:lineRule="auto"/>
            </w:pPr>
            <w:r>
              <w:rPr>
                <w:rFonts w:ascii="Noto Serif" w:hAnsi="Noto Serif"/>
                <w:color w:val="332E2C"/>
                <w:sz w:val="18"/>
              </w:rPr>
              <w:t xml:space="preserve">2. </w:t>
            </w:r>
            <w:hyperlink r:id="rId13">
              <w:r>
                <w:rPr>
                  <w:color w:val="116F7F"/>
                  <w:u w:val="single"/>
                  <w:sz w:val="18"/>
                  <w:rFonts w:ascii="Noto Serif" w:hAnsi="Noto Serif"/>
                </w:rPr>
                <w:t>The Kephalaia of the Teacher: The Edited Coptic Manichaean Texts in Translation with Commentary — Iain Gardner</w:t>
              </w:r>
            </w:hyperlink>
          </w:p>
        </w:tc>
        <w:tc>
          <w:tcPr>
            <w:tcW w:type="dxa" w:w="3146"/>
          </w:tcPr>
          <w:p>
            <w:pPr>
              <w:spacing w:after="60" w:line="269" w:lineRule="auto"/>
            </w:pPr>
            <w:r>
              <w:rPr>
                <w:rFonts w:ascii="Noto Serif" w:hAnsi="Noto Serif"/>
                <w:color w:val="332E2C"/>
                <w:sz w:val="18"/>
              </w:rPr>
              <w:t xml:space="preserve">11. </w:t>
            </w:r>
            <w:hyperlink r:id="rId24">
              <w:r>
                <w:rPr>
                  <w:color w:val="116F7F"/>
                  <w:u w:val="single"/>
                  <w:sz w:val="18"/>
                  <w:rFonts w:ascii="Noto Serif" w:hAnsi="Noto Serif"/>
                </w:rPr>
                <w:t>The Berlin Turfan-Collection — Staatsbibliothek zu Berlin</w:t>
              </w:r>
            </w:hyperlink>
          </w:p>
        </w:tc>
      </w:tr>
      <w:tr>
        <w:tc>
          <w:tcPr>
            <w:tcW w:type="dxa" w:w="3146"/>
          </w:tcPr>
          <w:p>
            <w:pPr>
              <w:spacing w:after="60" w:line="269" w:lineRule="auto"/>
            </w:pPr>
            <w:r>
              <w:rPr>
                <w:rFonts w:ascii="Noto Serif" w:hAnsi="Noto Serif"/>
                <w:color w:val="332E2C"/>
                <w:sz w:val="18"/>
              </w:rPr>
              <w:t xml:space="preserve">3. </w:t>
            </w:r>
            <w:hyperlink r:id="rId14">
              <w:r>
                <w:rPr>
                  <w:color w:val="116F7F"/>
                  <w:u w:val="single"/>
                  <w:sz w:val="18"/>
                  <w:rFonts w:ascii="Noto Serif" w:hAnsi="Noto Serif"/>
                </w:rPr>
                <w:t>Coptic Answers to Manichaean Questions: The Erotapokritic Nature of the Kephalaia — Timothy Pettipiece</w:t>
              </w:r>
            </w:hyperlink>
          </w:p>
        </w:tc>
        <w:tc>
          <w:tcPr>
            <w:tcW w:type="dxa" w:w="3146"/>
          </w:tcPr>
          <w:p>
            <w:pPr>
              <w:spacing w:after="60" w:line="269" w:lineRule="auto"/>
            </w:pPr>
            <w:r>
              <w:rPr>
                <w:rFonts w:ascii="Noto Serif" w:hAnsi="Noto Serif"/>
                <w:color w:val="332E2C"/>
                <w:sz w:val="18"/>
              </w:rPr>
              <w:t xml:space="preserve">12. </w:t>
            </w:r>
            <w:hyperlink r:id="rId27">
              <w:r>
                <w:rPr>
                  <w:color w:val="116F7F"/>
                  <w:u w:val="single"/>
                  <w:sz w:val="18"/>
                  <w:rFonts w:ascii="Noto Serif" w:hAnsi="Noto Serif"/>
                </w:rPr>
                <w:t>Manichaean exonyms and autonyms — Nils A. Pedersen</w:t>
              </w:r>
            </w:hyperlink>
          </w:p>
        </w:tc>
      </w:tr>
      <w:tr>
        <w:tc>
          <w:tcPr>
            <w:tcW w:type="dxa" w:w="3146"/>
          </w:tcPr>
          <w:p>
            <w:pPr>
              <w:spacing w:after="60" w:line="269" w:lineRule="auto"/>
            </w:pPr>
            <w:r>
              <w:rPr>
                <w:rFonts w:ascii="Noto Serif" w:hAnsi="Noto Serif"/>
                <w:color w:val="332E2C"/>
                <w:sz w:val="18"/>
              </w:rPr>
              <w:t xml:space="preserve">4. </w:t>
            </w:r>
            <w:hyperlink r:id="rId17">
              <w:r>
                <w:rPr>
                  <w:color w:val="116F7F"/>
                  <w:u w:val="single"/>
                  <w:sz w:val="18"/>
                  <w:rFonts w:ascii="Noto Serif" w:hAnsi="Noto Serif"/>
                </w:rPr>
                <w:t>Towards a Comparative Manichaean Manuscriptology — Anna Benkato, ISAW Papers 29.4</w:t>
              </w:r>
            </w:hyperlink>
          </w:p>
        </w:tc>
        <w:tc>
          <w:tcPr>
            <w:tcW w:type="dxa" w:w="3146"/>
          </w:tcPr>
          <w:p>
            <w:pPr>
              <w:spacing w:after="60" w:line="269" w:lineRule="auto"/>
            </w:pPr>
            <w:r>
              <w:rPr>
                <w:rFonts w:ascii="Noto Serif" w:hAnsi="Noto Serif"/>
                <w:color w:val="332E2C"/>
                <w:sz w:val="18"/>
              </w:rPr>
              <w:t xml:space="preserve">13. </w:t>
            </w:r>
            <w:hyperlink r:id="rId28">
              <w:r>
                <w:rPr>
                  <w:color w:val="116F7F"/>
                  <w:u w:val="single"/>
                  <w:sz w:val="18"/>
                  <w:rFonts w:ascii="Noto Serif" w:hAnsi="Noto Serif"/>
                </w:rPr>
                <w:t>Not to depart from Christ: Augustine between Manichaean and Catholic Christianity — Jason D. BeDuhn</w:t>
              </w:r>
            </w:hyperlink>
          </w:p>
        </w:tc>
      </w:tr>
      <w:tr>
        <w:tc>
          <w:tcPr>
            <w:tcW w:type="dxa" w:w="3146"/>
          </w:tcPr>
          <w:p>
            <w:pPr>
              <w:spacing w:after="60" w:line="269" w:lineRule="auto"/>
            </w:pPr>
            <w:r>
              <w:rPr>
                <w:rFonts w:ascii="Noto Serif" w:hAnsi="Noto Serif"/>
                <w:color w:val="332E2C"/>
                <w:sz w:val="18"/>
              </w:rPr>
              <w:t xml:space="preserve">5. </w:t>
            </w:r>
            <w:hyperlink r:id="rId18">
              <w:r>
                <w:rPr>
                  <w:color w:val="116F7F"/>
                  <w:u w:val="single"/>
                  <w:sz w:val="18"/>
                  <w:rFonts w:ascii="Noto Serif" w:hAnsi="Noto Serif"/>
                </w:rPr>
                <w:t>COPTIC MANICHEAN TEXTS — Encyclopaedia Iranica</w:t>
              </w:r>
            </w:hyperlink>
          </w:p>
        </w:tc>
        <w:tc>
          <w:tcPr>
            <w:tcW w:type="dxa" w:w="3146"/>
          </w:tcPr>
          <w:p>
            <w:pPr>
              <w:spacing w:after="60" w:line="269" w:lineRule="auto"/>
            </w:pPr>
            <w:r>
              <w:rPr>
                <w:rFonts w:ascii="Noto Serif" w:hAnsi="Noto Serif"/>
                <w:color w:val="332E2C"/>
                <w:sz w:val="18"/>
              </w:rPr>
              <w:t xml:space="preserve">14. </w:t>
            </w:r>
            <w:hyperlink r:id="rId29">
              <w:r>
                <w:rPr>
                  <w:color w:val="116F7F"/>
                  <w:u w:val="single"/>
                  <w:sz w:val="18"/>
                  <w:rFonts w:ascii="Noto Serif" w:hAnsi="Noto Serif"/>
                </w:rPr>
                <w:t>Aspects of Anti-Manichaean Polemics in Late Antiquity and under Early Islam — Sarah Stroumsa and Guy G. Stroumsa</w:t>
              </w:r>
            </w:hyperlink>
          </w:p>
        </w:tc>
      </w:tr>
      <w:tr>
        <w:tc>
          <w:tcPr>
            <w:tcW w:type="dxa" w:w="3146"/>
          </w:tcPr>
          <w:p>
            <w:pPr>
              <w:spacing w:after="60" w:line="269" w:lineRule="auto"/>
            </w:pPr>
            <w:r>
              <w:rPr>
                <w:rFonts w:ascii="Noto Serif" w:hAnsi="Noto Serif"/>
                <w:color w:val="332E2C"/>
                <w:sz w:val="18"/>
              </w:rPr>
              <w:t xml:space="preserve">6. </w:t>
            </w:r>
            <w:hyperlink r:id="rId20">
              <w:r>
                <w:rPr>
                  <w:color w:val="116F7F"/>
                  <w:u w:val="single"/>
                  <w:sz w:val="18"/>
                  <w:rFonts w:ascii="Noto Serif" w:hAnsi="Noto Serif"/>
                </w:rPr>
                <w:t>The Chapters of the Wisdom of My Lord Mani: Part III, Pages 343–442 (Chapters 321–347)</w:t>
              </w:r>
            </w:hyperlink>
          </w:p>
        </w:tc>
        <w:tc>
          <w:tcPr>
            <w:tcW w:type="dxa" w:w="3146"/>
          </w:tcPr>
          <w:p>
            <w:pPr>
              <w:spacing w:after="60" w:line="269" w:lineRule="auto"/>
            </w:pPr>
            <w:r>
              <w:rPr>
                <w:rFonts w:ascii="Noto Serif" w:hAnsi="Noto Serif"/>
                <w:color w:val="332E2C"/>
                <w:sz w:val="18"/>
              </w:rPr>
              <w:t xml:space="preserve">15. </w:t>
            </w:r>
            <w:hyperlink r:id="rId30">
              <w:r>
                <w:rPr>
                  <w:color w:val="116F7F"/>
                  <w:u w:val="single"/>
                  <w:sz w:val="18"/>
                  <w:rFonts w:ascii="Noto Serif" w:hAnsi="Noto Serif"/>
                </w:rPr>
                <w:t>Cao’an in the Ancestral World: Contemporary Manichaeism and Its Local Cultural Context — Y. Wang</w:t>
              </w:r>
            </w:hyperlink>
          </w:p>
        </w:tc>
      </w:tr>
      <w:tr>
        <w:tc>
          <w:tcPr>
            <w:tcW w:type="dxa" w:w="3146"/>
          </w:tcPr>
          <w:p>
            <w:pPr>
              <w:spacing w:after="60" w:line="269" w:lineRule="auto"/>
            </w:pPr>
            <w:r>
              <w:rPr>
                <w:rFonts w:ascii="Noto Serif" w:hAnsi="Noto Serif"/>
                <w:color w:val="332E2C"/>
                <w:sz w:val="18"/>
              </w:rPr>
              <w:t xml:space="preserve">7. </w:t>
            </w:r>
            <w:hyperlink r:id="rId21">
              <w:r>
                <w:rPr>
                  <w:color w:val="116F7F"/>
                  <w:u w:val="single"/>
                  <w:sz w:val="18"/>
                  <w:rFonts w:ascii="Noto Serif" w:hAnsi="Noto Serif"/>
                </w:rPr>
                <w:t>Corpus Fontium Manichaeorum — Series Overview</w:t>
              </w:r>
            </w:hyperlink>
          </w:p>
        </w:tc>
        <w:tc>
          <w:tcPr>
            <w:tcW w:type="dxa" w:w="3146"/>
          </w:tcPr>
          <w:p>
            <w:pPr>
              <w:spacing w:after="60" w:line="269" w:lineRule="auto"/>
            </w:pPr>
            <w:r>
              <w:rPr>
                <w:rFonts w:ascii="Noto Serif" w:hAnsi="Noto Serif"/>
                <w:color w:val="332E2C"/>
                <w:sz w:val="18"/>
              </w:rPr>
              <w:t xml:space="preserve">16. </w:t>
            </w:r>
            <w:hyperlink r:id="rId16">
              <w:r>
                <w:rPr>
                  <w:color w:val="116F7F"/>
                  <w:u w:val="single"/>
                  <w:sz w:val="18"/>
                  <w:rFonts w:ascii="Noto Serif" w:hAnsi="Noto Serif"/>
                </w:rPr>
                <w:t>Chester Beatty Library: Kephalaia folio viewer</w:t>
              </w:r>
            </w:hyperlink>
          </w:p>
        </w:tc>
      </w:tr>
      <w:tr>
        <w:tc>
          <w:tcPr>
            <w:tcW w:type="dxa" w:w="3146"/>
          </w:tcPr>
          <w:p>
            <w:pPr>
              <w:spacing w:after="60" w:line="269" w:lineRule="auto"/>
            </w:pPr>
            <w:r>
              <w:rPr>
                <w:rFonts w:ascii="Noto Serif" w:hAnsi="Noto Serif"/>
                <w:color w:val="332E2C"/>
                <w:sz w:val="18"/>
              </w:rPr>
              <w:t xml:space="preserve">8. </w:t>
            </w:r>
            <w:hyperlink r:id="rId22">
              <w:r>
                <w:rPr>
                  <w:color w:val="116F7F"/>
                  <w:u w:val="single"/>
                  <w:sz w:val="18"/>
                  <w:rFonts w:ascii="Noto Serif" w:hAnsi="Noto Serif"/>
                </w:rPr>
                <w:t>Iran ix. Religions in Iran: Manicheism — Encyclopaedia Iranica</w:t>
              </w:r>
            </w:hyperlink>
          </w:p>
        </w:tc>
        <w:tc>
          <w:tcPr>
            <w:tcW w:type="dxa" w:w="3146"/>
          </w:tcPr>
          <w:p>
            <w:pPr>
              <w:spacing w:after="60" w:line="269" w:lineRule="auto"/>
            </w:pPr>
            <w:r>
              <w:rPr>
                <w:rFonts w:ascii="Noto Serif" w:hAnsi="Noto Serif"/>
                <w:color w:val="332E2C"/>
                <w:sz w:val="18"/>
              </w:rPr>
              <w:t xml:space="preserve">17. </w:t>
            </w:r>
            <w:hyperlink r:id="rId15">
              <w:r>
                <w:rPr>
                  <w:color w:val="116F7F"/>
                  <w:u w:val="single"/>
                  <w:sz w:val="18"/>
                  <w:rFonts w:ascii="Noto Serif" w:hAnsi="Noto Serif"/>
                </w:rPr>
                <w:t>Berlin Papyrus Database — Staatliche Museen zu Berlin</w:t>
              </w:r>
            </w:hyperlink>
          </w:p>
        </w:tc>
      </w:tr>
      <w:tr>
        <w:tc>
          <w:tcPr>
            <w:tcW w:type="dxa" w:w="3146"/>
          </w:tcPr>
          <w:p>
            <w:pPr>
              <w:spacing w:after="60" w:line="269" w:lineRule="auto"/>
            </w:pPr>
            <w:r>
              <w:rPr>
                <w:rFonts w:ascii="Noto Serif" w:hAnsi="Noto Serif"/>
                <w:color w:val="332E2C"/>
                <w:sz w:val="18"/>
              </w:rPr>
              <w:t xml:space="preserve">9. </w:t>
            </w:r>
            <w:hyperlink r:id="rId25">
              <w:r>
                <w:rPr>
                  <w:color w:val="116F7F"/>
                  <w:u w:val="single"/>
                  <w:sz w:val="18"/>
                  <w:rFonts w:ascii="Noto Serif" w:hAnsi="Noto Serif"/>
                </w:rPr>
                <w:t>Cosmogony and Cosmology iii. In Manicheism — Encyclopaedia Iranica</w:t>
              </w:r>
            </w:hyperlink>
          </w:p>
        </w:tc>
        <w:tc>
          <w:tcPr>
            <w:tcW w:type="dxa" w:w="3231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8391" w:h="11906"/>
      <w:pgMar w:top="935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color w:val="607080"/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" w:hAnsi="Noto Sans"/>
        <w:color w:val="526A83"/>
        <w:sz w:val="15"/>
      </w:rPr>
      <w:t>HARVYRÐ  ·  КЕФАЛАЙИ УЧИТЕЛЯ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erif" w:hAnsi="Noto Serif" w:eastAsia="Noto Serif"/>
      <w:color w:val="332E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80"/>
      <w:outlineLvl w:val="0"/>
    </w:pPr>
    <w:rPr>
      <w:rFonts w:asciiTheme="majorHAnsi" w:eastAsiaTheme="majorEastAsia" w:hAnsiTheme="majorHAnsi" w:cstheme="majorBidi" w:ascii="Noto Serif" w:hAnsi="Noto Serif" w:eastAsia="Noto Serif"/>
      <w:b/>
      <w:bCs/>
      <w:color w:val="1D285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erif" w:hAnsi="Noto Serif" w:eastAsia="Noto Serif"/>
      <w:b/>
      <w:bCs/>
      <w:color w:val="216E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erif" w:hAnsi="Noto Serif" w:eastAsia="Noto Serif"/>
      <w:b/>
      <w:bCs/>
      <w:color w:val="216E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iranicaonline.org/articles/kephalaia/" TargetMode="External"/><Relationship Id="rId13" Type="http://schemas.openxmlformats.org/officeDocument/2006/relationships/hyperlink" Target="https://brill.com/display/title/2240?language=en" TargetMode="External"/><Relationship Id="rId14" Type="http://schemas.openxmlformats.org/officeDocument/2006/relationships/hyperlink" Target="https://doi.org/10.1484/M.IPM-EB.1.101144" TargetMode="External"/><Relationship Id="rId15" Type="http://schemas.openxmlformats.org/officeDocument/2006/relationships/hyperlink" Target="https://www.smb.museum/en/museums-institutions/aegyptisches-museum-und-papyrussammlung/collection-research/research/berlin-papyrus-database/" TargetMode="External"/><Relationship Id="rId16" Type="http://schemas.openxmlformats.org/officeDocument/2006/relationships/hyperlink" Target="https://cbl01.intranda.com/viewer/image/Pma_1_239-240/1/" TargetMode="External"/><Relationship Id="rId17" Type="http://schemas.openxmlformats.org/officeDocument/2006/relationships/hyperlink" Target="https://dlib.nyu.edu/awdl/isaw/isaw-papers/29-4/" TargetMode="External"/><Relationship Id="rId18" Type="http://schemas.openxmlformats.org/officeDocument/2006/relationships/hyperlink" Target="https://www.iranicaonline.org/articles/coptic-manichean-texts/" TargetMode="External"/><Relationship Id="rId19" Type="http://schemas.openxmlformats.org/officeDocument/2006/relationships/image" Target="media/image2.png"/><Relationship Id="rId20" Type="http://schemas.openxmlformats.org/officeDocument/2006/relationships/hyperlink" Target="https://brill.com/downloadpdf/display/book/9789004363403/B9789004363403_002.pdf" TargetMode="External"/><Relationship Id="rId21" Type="http://schemas.openxmlformats.org/officeDocument/2006/relationships/hyperlink" Target="https://www.brepols.net/series/CFM" TargetMode="External"/><Relationship Id="rId22" Type="http://schemas.openxmlformats.org/officeDocument/2006/relationships/hyperlink" Target="https://www.iranicaonline.org/articles/iran-ix1-religions-in-iran/iran-ix12-manicheism/" TargetMode="External"/><Relationship Id="rId23" Type="http://schemas.openxmlformats.org/officeDocument/2006/relationships/hyperlink" Target="https://turfan.bbaw.de/projekt-en.html" TargetMode="External"/><Relationship Id="rId24" Type="http://schemas.openxmlformats.org/officeDocument/2006/relationships/hyperlink" Target="https://staatsbibliothek-berlin.de/die-staatsbibliothek/abteilungen/orient/aufgaben-profil/veroeffentlichungen/berlin-turfan-collection" TargetMode="External"/><Relationship Id="rId25" Type="http://schemas.openxmlformats.org/officeDocument/2006/relationships/hyperlink" Target="https://www.iranicaonline.org/articles/cosmogony-iii/" TargetMode="External"/><Relationship Id="rId26" Type="http://schemas.openxmlformats.org/officeDocument/2006/relationships/image" Target="media/image3.png"/><Relationship Id="rId27" Type="http://schemas.openxmlformats.org/officeDocument/2006/relationships/hyperlink" Target="https://hts.org.za/index.php/hts/article/view/1358/3438" TargetMode="External"/><Relationship Id="rId28" Type="http://schemas.openxmlformats.org/officeDocument/2006/relationships/hyperlink" Target="https://hts.org.za/index.php/hts/article/view/1355/3434" TargetMode="External"/><Relationship Id="rId29" Type="http://schemas.openxmlformats.org/officeDocument/2006/relationships/hyperlink" Target="https://www.cambridge.org/core/journals/harvard-theological-review/article/aspects-of-antimanichaean-polemics-in-late-antiquity-and-under-early-islam/8EF14E617765AF2B39B3ED8D07297331" TargetMode="External"/><Relationship Id="rId30" Type="http://schemas.openxmlformats.org/officeDocument/2006/relationships/hyperlink" Target="https://www.mdpi.com/2077-1444/15/2/1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