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jpg" ContentType="image/png"/>
  <Override PartName="/word/media/image2.jpg" ContentType="image/png"/>
  <Override PartName="/word/media/image3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</w:r>
      <w:r>
        <w:rPr>
          <w:rFonts w:ascii="Aptos Display" w:hAnsi="Aptos Display"/>
          <w:b/>
          <w:color w:val="1F3C53"/>
          <w:sz w:val="62"/>
        </w:rPr>
        <w:t>ДОВЕРИЕ, КОНФЛИКТ</w:t>
        <w:br/>
        <w:t>И ПЕРЕСМОТР</w:t>
      </w:r>
    </w:p>
    <w:p>
      <w:pPr>
        <w:jc w:val="center"/>
      </w:pPr>
      <w:r>
        <w:rPr>
          <w:i/>
          <w:color w:val="466473"/>
          <w:sz w:val="32"/>
        </w:rPr>
        <w:t>Как ИИ сохранять основания, признавать ошибки</w:t>
        <w:br/>
        <w:t>и не подменять человека</w:t>
      </w:r>
    </w:p>
    <w:p>
      <w:pPr>
        <w:jc w:val="center"/>
      </w:pPr>
      <w:r>
        <w:rPr>
          <w:b/>
          <w:color w:val="AA5F2D"/>
          <w:sz w:val="24"/>
        </w:rPr>
        <w:br/>
        <w:t>РЕДАКЦИОННЫЙ ПЛАН</w:t>
      </w:r>
    </w:p>
    <w:p>
      <w:pPr>
        <w:jc w:val="center"/>
      </w:pPr>
      <w:r>
        <w:rPr>
          <w:i/>
        </w:rPr>
        <w:br/>
        <w:t>План, а не полная рукопись</w:t>
      </w:r>
    </w:p>
    <w:p>
      <w:pPr>
        <w:jc w:val="center"/>
      </w:pPr>
      <w:r>
        <w:rPr>
          <w:color w:val="646464"/>
          <w:sz w:val="20"/>
        </w:rPr>
        <w:br/>
        <w:t>21 октября 2026</w:t>
      </w:r>
    </w:p>
    <w:p>
      <w:r>
        <w:br w:type="page"/>
      </w:r>
    </w:p>
    <w:p>
      <w:pPr>
        <w:pStyle w:val="Title"/>
      </w:pPr>
      <w:r>
        <w:t>Оглавление</w:t>
      </w:r>
    </w:p>
    <w:p>
      <w:r>
        <w:rPr>
          <w:i/>
        </w:rPr>
        <w:t>Автоматическое оглавление Word (обновите поля при открытии файла):</w:t>
      </w:r>
      <w:r/>
      <w:fldSimple w:instr="TOC \o &quot;1-2&quot; \h \z \u"/>
    </w:p>
    <w:p>
      <w:r>
        <w:rPr>
          <w:b/>
        </w:rPr>
        <w:t xml:space="preserve">Структура плана: </w:t>
      </w:r>
      <w:r>
        <w:t>пролог · 5 частей · 20 глав · эпилог</w:t>
      </w:r>
    </w:p>
    <w:p>
      <w:r>
        <w:br w:type="page"/>
      </w:r>
    </w:p>
    <w:p>
      <w:pPr>
        <w:pStyle w:val="Heading1"/>
      </w:pPr>
      <w:r>
        <w:t>Статус и границы документа</w:t>
      </w:r>
    </w:p>
    <w:p>
      <w:r>
        <w:rPr>
          <w:b/>
        </w:rPr>
        <w:t xml:space="preserve">Статус и происхождение: </w:t>
      </w:r>
      <w:r>
        <w:t>предложенный ранее редакционный план, сохранён по поручению владельца 21.10.2026. Это план, а не написанные главы, не утверждение о реализованных возможностях ИИ и не разрешение на изменение кода или запуск экспериментов. Прежнее содержание рабочей доски сохраняется; этот редакционный план не заменяет другие книжные и исследовательские материалы.</w:t>
      </w:r>
    </w:p>
    <w:p>
      <w:r>
        <w:t>Ниже собран полный план книги: замысел, читатель, синтетический учебный пример, структура из пяти частей и двадцати глав, основания и границы выводов, а также задачи до перехода к рукописи.</w:t>
      </w:r>
    </w:p>
    <w:p>
      <w:pPr>
        <w:pStyle w:val="Heading1"/>
      </w:pPr>
      <w:r>
        <w:t>Замысел и читатель</w:t>
      </w:r>
    </w:p>
    <w:p>
      <w:r>
        <w:t>Книга о надёжном цифровом напарнике — не обещание безошибочного ИИ, а способ понимать основания ответов, оспаривать выводы и исправлять последствия ошибки. Темы доверия: происхождение утверждения, основания и независимость подтверждений, применимость по времени и версии, условия пересмотра, разрешённые полномочия системы.</w:t>
        <w:br/>
        <w:br/>
        <w:t>Аудитория — долгосрочные пользователи ИИ и разработчики агентов и систем памяти. Центральный тезис: различать, кто высказал тезис, чем он подкреплён, к какому случаю относится и какое действие разрешено.</w:t>
      </w:r>
    </w:p>
    <w:p>
      <w:pPr>
        <w:pStyle w:val="Heading1"/>
      </w:pPr>
      <w:r>
        <w:t>Сквозной учебный пример</w:t>
      </w:r>
    </w:p>
    <w:p>
      <w:r>
        <w:t>Явно синтетическая учебная история, не реальное событие: помощник предлагает поставщика Б; пересказ превращает это в «решение пользователя»; другие агенты повторяют одну запись; позже готовится письмо без исходного подтверждения. Не представлять этот сюжет как реальное событие владельца.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-compan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Доверие и сотрудничество — человек и цифровой напарник изучают одну карту. Художественная метафора.</w:t>
      </w:r>
    </w:p>
    <w:p>
      <w:pPr>
        <w:pStyle w:val="Heading1"/>
      </w:pPr>
      <w:r>
        <w:t>Оглавление книги</w:t>
      </w:r>
    </w:p>
    <w:p>
      <w:pPr>
        <w:pStyle w:val="Heading2"/>
      </w:pPr>
      <w:r>
        <w:t>Пролог — «Но я этого не решал».</w:t>
      </w:r>
    </w:p>
    <w:p>
      <w:pPr>
        <w:pStyle w:val="Heading2"/>
      </w:pPr>
      <w:r>
        <w:t>Часть I. Чьи слова живут в памяти.</w:t>
      </w:r>
    </w:p>
    <w:p>
      <w:pPr>
        <w:pStyle w:val="ListNumber"/>
      </w:pPr>
      <w:r>
        <w:t>1. Память — не стенограмма и не истина.</w:t>
      </w:r>
    </w:p>
    <w:p>
      <w:pPr>
        <w:pStyle w:val="ListNumber"/>
      </w:pPr>
      <w:r>
        <w:t>2. Пять различий, которые нельзя потерять.</w:t>
      </w:r>
    </w:p>
    <w:p>
      <w:pPr>
        <w:pStyle w:val="ListNumber"/>
      </w:pPr>
      <w:r>
        <w:t>3. Как предложение становится чужим убеждением.</w:t>
      </w:r>
    </w:p>
    <w:p>
      <w:pPr>
        <w:pStyle w:val="ListNumber"/>
      </w:pPr>
      <w:r>
        <w:t>4. Источник должен пережить запись, повтор и поиск.</w:t>
      </w:r>
    </w:p>
    <w:p>
      <w:pPr>
        <w:pStyle w:val="Heading2"/>
      </w:pPr>
      <w:r>
        <w:t>Часть II. Почему согласие ещё ничего не доказывает.</w:t>
      </w:r>
    </w:p>
    <w:p>
      <w:pPr>
        <w:pStyle w:val="ListNumber"/>
      </w:pPr>
      <w:r>
        <w:t>1. Пять голосов или одно эхо?</w:t>
      </w:r>
    </w:p>
    <w:p>
      <w:pPr>
        <w:pStyle w:val="ListNumber"/>
      </w:pPr>
      <w:r>
        <w:t>2. Считать нужно основания, а не пересказы.</w:t>
      </w:r>
    </w:p>
    <w:p>
      <w:pPr>
        <w:pStyle w:val="ListNumber"/>
      </w:pPr>
      <w:r>
        <w:t>3. Когда кворум должен отказаться от ответа.</w:t>
      </w:r>
    </w:p>
    <w:p>
      <w:pPr>
        <w:pStyle w:val="ListNumber"/>
      </w:pPr>
      <w:r>
        <w:t>4. Что действительно показал эксперимент.</w:t>
      </w:r>
    </w:p>
    <w:p>
      <w:pPr>
        <w:pStyle w:val="Heading2"/>
      </w:pPr>
      <w:r>
        <w:t>Часть III. Как заметить настоящий конфликт.</w:t>
      </w:r>
    </w:p>
    <w:p>
      <w:pPr>
        <w:pStyle w:val="ListNumber"/>
      </w:pPr>
      <w:r>
        <w:t>1. Противоречие, уточнение или другой случай?</w:t>
      </w:r>
    </w:p>
    <w:p>
      <w:pPr>
        <w:pStyle w:val="ListNumber"/>
      </w:pPr>
      <w:r>
        <w:t>2. Маленькое «не», которое меняет всё.</w:t>
      </w:r>
    </w:p>
    <w:p>
      <w:pPr>
        <w:pStyle w:val="ListNumber"/>
      </w:pPr>
      <w:r>
        <w:t>3. Почему счётчик новых сообщений — плохой судья.</w:t>
      </w:r>
    </w:p>
    <w:p>
      <w:pPr>
        <w:pStyle w:val="ListNumber"/>
      </w:pPr>
      <w:r>
        <w:t>4. Не пропустить изменение и не пересматривать бесконечно.</w:t>
      </w:r>
    </w:p>
    <w:p>
      <w:pPr>
        <w:pStyle w:val="Heading2"/>
      </w:pPr>
      <w:r>
        <w:t>Часть IV. Пересмотр без стирания истории.</w:t>
      </w:r>
    </w:p>
    <w:p>
      <w:pPr>
        <w:pStyle w:val="ListNumber"/>
      </w:pPr>
      <w:r>
        <w:t>1. Сигнал конфликта — ещё не новый вывод.</w:t>
      </w:r>
    </w:p>
    <w:p>
      <w:pPr>
        <w:pStyle w:val="ListNumber"/>
      </w:pPr>
      <w:r>
        <w:t>2. Что делать с прежним основанием.</w:t>
      </w:r>
    </w:p>
    <w:p>
      <w:pPr>
        <w:pStyle w:val="ListNumber"/>
      </w:pPr>
      <w:r>
        <w:t>3. Как заменить вывод и сохранить преемственность.</w:t>
      </w:r>
    </w:p>
    <w:p>
      <w:pPr>
        <w:pStyle w:val="ListNumber"/>
      </w:pPr>
      <w:r>
        <w:t>4. Человек возражает — что именно меняется?</w:t>
      </w:r>
    </w:p>
    <w:p>
      <w:pPr>
        <w:pStyle w:val="Heading2"/>
      </w:pPr>
      <w:r>
        <w:t>Часть V. Доверие проверяется действием.</w:t>
      </w:r>
    </w:p>
    <w:p>
      <w:pPr>
        <w:pStyle w:val="ListNumber"/>
      </w:pPr>
      <w:r>
        <w:t>1. Знать, предлагать и иметь право — разные вещи.</w:t>
      </w:r>
    </w:p>
    <w:p>
      <w:pPr>
        <w:pStyle w:val="ListNumber"/>
      </w:pPr>
      <w:r>
        <w:t>2. Инициатива без присвоения воли.</w:t>
      </w:r>
    </w:p>
    <w:p>
      <w:pPr>
        <w:pStyle w:val="ListNumber"/>
      </w:pPr>
      <w:r>
        <w:t>3. Проверка после паузы.</w:t>
      </w:r>
    </w:p>
    <w:p>
      <w:pPr>
        <w:pStyle w:val="ListNumber"/>
      </w:pPr>
      <w:r>
        <w:t>4. Чему мы вправе доверять после успешного теста.</w:t>
      </w:r>
    </w:p>
    <w:p>
      <w:pPr>
        <w:pStyle w:val="Heading2"/>
      </w:pPr>
      <w:r>
        <w:t>Эпилог — «Надёжность — это возможность исправить».</w:t>
      </w:r>
    </w:p>
    <w:p>
      <w:pPr>
        <w:pStyle w:val="IntenseQuote"/>
      </w:pPr>
      <w:r>
        <w:t>Начальный порядок рукописи: пролог, главы 3 и 17, затем 8 и 11.</w:t>
      </w:r>
    </w:p>
    <w:p>
      <w:r>
        <w:br w:type="page"/>
      </w:r>
    </w:p>
    <w:p>
      <w:pPr>
        <w:pStyle w:val="Title"/>
      </w:pPr>
      <w:r>
        <w:t>Развёрнутый редакционный каркас</w:t>
      </w:r>
    </w:p>
    <w:p>
      <w:pPr>
        <w:pStyle w:val="Heading1"/>
      </w:pPr>
      <w:r>
        <w:t>Пролог — «Но я этого не решал».</w:t>
      </w:r>
    </w:p>
    <w:p>
      <w:r>
        <w:t>Функция в книге: задать рамку вопроса и связать его с центральным тезисом о доверии, конфликте и исправлении.</w:t>
      </w:r>
    </w:p>
    <w:p>
      <w:pPr>
        <w:pStyle w:val="Heading1"/>
      </w:pPr>
      <w:r>
        <w:t>Часть I. Чьи слова живут в памяти.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</w:pPr>
      <w:r>
        <w:t>1. Память — не стенограмма и не истина.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2. Пять различий, которые нельзя потерять.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3. Как предложение становится чужим убеждением.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4. Источник должен пережить запись, повтор и поиск.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</w:pPr>
      <w:r>
        <w:t>Часть II. Почему согласие ещё ничего не доказывает.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</w:pPr>
      <w:r>
        <w:t>1. Пять голосов или одно эхо?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2. Считать нужно основания, а не пересказы.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3. Когда кворум должен отказаться от ответа.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4. Что действительно показал эксперимент.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</w:pPr>
      <w:r>
        <w:t>Часть III. Как заметить настоящий конфликт.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</w:pPr>
      <w:r>
        <w:t>1. Противоречие, уточнение или другой случай?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2. Маленькое «не», которое меняет всё.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3. Почему счётчик новых сообщений — плохой судья.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4. Не пропустить изменение и не пересматривать бесконечно.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</w:pPr>
      <w:r>
        <w:t>Часть IV. Пересмотр без стирания истории.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line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</w:pPr>
      <w:r>
        <w:t>Конфликт и пересмотр — новый маршрут сохраняет связь с прежним. Художественная метафора.</w:t>
      </w:r>
    </w:p>
    <w:p>
      <w:pPr>
        <w:pStyle w:val="Heading2"/>
      </w:pPr>
      <w:r>
        <w:t>1. Сигнал конфликта — ещё не новый вывод.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2. Что делать с прежним основанием.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3. Как заменить вывод и сохранить преемственность.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4. Человек возражает — что именно меняется?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</w:pPr>
      <w:r>
        <w:t>Часть V. Доверие проверяется действием.</w:t>
      </w:r>
    </w:p>
    <w:p>
      <w:pPr>
        <w:pStyle w:val="Heading2"/>
      </w:pPr>
      <w:r>
        <w:t>1. Знать, предлагать и иметь право — разные вещи.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2. Инициатива без присвоения воли.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3. Проверка после паузы.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</w:pPr>
      <w:r>
        <w:t>4. Чему мы вправе доверять после успешного теста.</w:t>
      </w:r>
    </w:p>
    <w:p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</w:pPr>
      <w:r>
        <w:t>Эпилог — «Надёжность — это возможность исправить».</w:t>
      </w:r>
    </w:p>
    <w:p>
      <w:r>
        <w:t>Функция в книге: задать рамку вопроса и связать его с центральным тезисом о доверии, конфликте и исправлении.</w:t>
      </w:r>
    </w:p>
    <w:p>
      <w:pPr>
        <w:pStyle w:val="Heading1"/>
      </w:pPr>
      <w:r>
        <w:t>Имеющиеся основы и границы выводов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Crystal Volition</w:t>
        </w:r>
      </w:hyperlink>
      <w:r>
        <w:t xml:space="preserve"> — происхождение записей и авторство.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Mentaury: кворум и пересмотр</w:t>
        </w:r>
      </w:hyperlink>
      <w:r>
        <w:t xml:space="preserve"> — зависимые подтверждения и пересмотр.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Пилот политики, действий и состояния памяти</w:t>
        </w:r>
      </w:hyperlink>
      <w:r>
        <w:t xml:space="preserve"> — граница между предложением и разрешённым действием.</w:t>
      </w:r>
    </w:p>
    <w:p>
      <w:r>
        <w:t>Предложение Crystal V6 ещё не означает реализованный механизм. CLASS-1 PASS не доказывает универсальную эффективность. Надёжную память или инициативу не выдавать за доказательство сознания.</w:t>
      </w:r>
    </w:p>
    <w:p>
      <w:pPr>
        <w:pStyle w:val="Heading1"/>
      </w:pPr>
      <w:r>
        <w:t>Что нужно до рукописи</w:t>
      </w:r>
    </w:p>
    <w:p>
      <w:pPr>
        <w:pStyle w:val="ListBullet"/>
      </w:pPr>
      <w:r>
        <w:t>Обзор литературы об изменении убеждений и происхождении данных.</w:t>
      </w:r>
    </w:p>
    <w:p>
      <w:pPr>
        <w:pStyle w:val="ListBullet"/>
      </w:pPr>
      <w:r>
        <w:t>Независимые тесты кворума, отрицаний и устаревших источников.</w:t>
      </w:r>
    </w:p>
    <w:p>
      <w:pPr>
        <w:pStyle w:val="ListBullet"/>
      </w:pPr>
      <w:r>
        <w:t>Механизм преемственности старого и нового вывода.</w:t>
      </w:r>
    </w:p>
    <w:p>
      <w:pPr>
        <w:pStyle w:val="ListBullet"/>
      </w:pPr>
      <w:r>
        <w:t>Сквозная проверка от записи до возобновления сессии.</w:t>
      </w:r>
    </w:p>
    <w:p>
      <w:pPr>
        <w:pStyle w:val="ListBullet"/>
      </w:pPr>
      <w:r>
        <w:t>Авторские ответы о границах доверия — их нельзя выдумывать за автора.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Редакционный план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Доверие, конфликт и пересмотр  ·  Редакционный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8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526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69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664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3C5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 RU"/>
    <w:basedOn w:val="Caption"/>
    <w:rPr>
      <w:rFonts w:ascii="Aptos" w:hAnsi="Aptos"/>
      <w:i/>
      <w:color w:val="5A64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yperlink" Target="https://github.com/velantrian/Velantrim-Memory-Ruslan/blob/main/projects/crystal-volition.md" TargetMode="External"/><Relationship Id="rId13" Type="http://schemas.openxmlformats.org/officeDocument/2006/relationships/hyperlink" Target="https://github.com/velantrian/Velantrim-Memory-Ruslan/blob/main/projects/mentaury-quorum-revision.md" TargetMode="External"/><Relationship Id="rId14" Type="http://schemas.openxmlformats.org/officeDocument/2006/relationships/hyperlink" Target="https://github.com/velantrian/Velantrim-Memory-Ruslan/blob/main/projects/policy-action-and-memory-state-pilot-2026-10-17.md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Доверие, конфликт и пересмотр — редакционный план</dc:title>
  <dc:subject>Редакционный план книги</dc:subject>
  <dc:creator/>
  <cp:keywords/>
  <dc:description>План, а не полная рукопись.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