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drawing>
          <wp:inline xmlns:a="http://schemas.openxmlformats.org/drawingml/2006/main" xmlns:pic="http://schemas.openxmlformats.org/drawingml/2006/picture">
            <wp:extent cx="5868000" cy="391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cov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9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80"/>
        <w:jc w:val="center"/>
      </w:pPr>
      <w:r>
        <w:rPr>
          <w:rFonts w:ascii="Times New Roman" w:hAnsi="Times New Roman" w:eastAsia="Times New Roman"/>
          <w:b/>
          <w:color w:val="1C2C47"/>
          <w:sz w:val="54"/>
        </w:rPr>
        <w:t>Книга Иоанна у мандаев</w:t>
      </w:r>
    </w:p>
    <w:p>
      <w:pPr>
        <w:jc w:val="center"/>
      </w:pPr>
      <w:r>
        <w:rPr>
          <w:rFonts w:ascii="Times New Roman" w:hAnsi="Times New Roman" w:eastAsia="Times New Roman"/>
          <w:color w:val="507D82"/>
          <w:sz w:val="30"/>
        </w:rPr>
        <w:t>Sidra d-Yahya: «Учения царей», голоса и история текста</w:t>
      </w:r>
    </w:p>
    <w:p>
      <w:pPr>
        <w:spacing w:before="300"/>
        <w:jc w:val="center"/>
      </w:pPr>
      <w:r>
        <w:rPr>
          <w:rFonts w:ascii="Times New Roman" w:hAnsi="Times New Roman" w:eastAsia="Times New Roman"/>
          <w:color w:val="A06C3C"/>
          <w:sz w:val="20"/>
        </w:rPr>
        <w:t>HARVYRÐ  ·  читательский путеводитель  ·  v0.1</w:t>
      </w:r>
    </w:p>
    <w:p>
      <w:r>
        <w:br w:type="page"/>
      </w:r>
    </w:p>
    <w:p>
      <w:pPr>
        <w:pStyle w:val="Quote"/>
      </w:pPr>
      <w:r>
        <w:rPr>
          <w:b w:val="0"/>
          <w:i w:val="0"/>
        </w:rPr>
        <w:t>Это авторский обзор мандаейского текста, известного как Книга Иоанна. Он не является полным переводом, критическим изданием, биографией исторического Иоанна Крестителя или инструкцией к религиозной практике. Пересказ написан своими словами по академическим источникам; защищённые переводы не воспроизводятся, непубличное жреческое знание не реконструируется.</w:t>
      </w:r>
    </w:p>
    <w:p>
      <w:pPr>
        <w:pStyle w:val="Heading1"/>
      </w:pPr>
      <w:r>
        <w:rPr>
          <w:b w:val="0"/>
          <w:i w:val="0"/>
        </w:rPr>
        <w:t>Как читать эту книгу</w:t>
      </w:r>
    </w:p>
    <w:p>
      <w:r>
        <w:rPr>
          <w:b w:val="0"/>
          <w:i w:val="0"/>
        </w:rPr>
        <w:t xml:space="preserve">Название «Книга Иоанна» может сбить с толку. Это не одноимённое Евангелие Нового Завета, не последовательная биография Иоанна Крестителя и не книга, которую, по доказанным данным, написал сам Иоанн. Перед нами мандаейский сборник разнородных текстов: в нём есть наставления, мифологические рассказы, диалогические и гимнические формы, космологические мотивы и полемические эпизоды. В критическом издании Häberl и McGrath материал представлен как посвящение и 76 пронумерованных единиц. Это редакторская карта именно этого издания, а не универсальная нумерация всех рукописей. </w:t>
      </w:r>
      <w:hyperlink r:id="rId11">
        <w:r>
          <w:rPr>
            <w:color w:val="32717A"/>
            <w:u w:val="single"/>
          </w:rPr>
          <w:t>1</w:t>
        </w:r>
      </w:hyperlink>
      <w:r>
        <w:rPr>
          <w:b w:val="0"/>
          <w:i w:val="0"/>
        </w:rPr>
        <w:t xml:space="preserve"> </w:t>
      </w:r>
      <w:hyperlink r:id="rId12">
        <w:r>
          <w:rPr>
            <w:color w:val="32717A"/>
            <w:u w:val="single"/>
          </w:rPr>
          <w:t>3</w:t>
        </w:r>
      </w:hyperlink>
    </w:p>
    <w:p>
      <w:r>
        <w:rPr>
          <w:b w:val="0"/>
          <w:i w:val="0"/>
        </w:rPr>
        <w:t xml:space="preserve">В книге мы будем различать пять вещей. </w:t>
      </w:r>
      <w:r>
        <w:rPr>
          <w:b/>
          <w:i w:val="0"/>
        </w:rPr>
        <w:t>Рукопись</w:t>
      </w:r>
      <w:r>
        <w:rPr>
          <w:b w:val="0"/>
          <w:i w:val="0"/>
        </w:rPr>
        <w:t xml:space="preserve"> — конкретный физический список с его листами, почерком и колофоном. </w:t>
      </w:r>
      <w:r>
        <w:rPr>
          <w:b/>
          <w:i w:val="0"/>
        </w:rPr>
        <w:t>Критическая редакция</w:t>
      </w:r>
      <w:r>
        <w:rPr>
          <w:b w:val="0"/>
          <w:i w:val="0"/>
        </w:rPr>
        <w:t xml:space="preserve"> — научная работа, которая выбирает чтения и выстраивает текст по свидетельствам. </w:t>
      </w:r>
      <w:r>
        <w:rPr>
          <w:b/>
          <w:i w:val="0"/>
        </w:rPr>
        <w:t>Перевод</w:t>
      </w:r>
      <w:r>
        <w:rPr>
          <w:b w:val="0"/>
          <w:i w:val="0"/>
        </w:rPr>
        <w:t xml:space="preserve"> — передача смысла на другом языке; он не заменяет оригинал. </w:t>
      </w:r>
      <w:r>
        <w:rPr>
          <w:b/>
          <w:i w:val="0"/>
        </w:rPr>
        <w:t>Полемический источник</w:t>
      </w:r>
      <w:r>
        <w:rPr>
          <w:b w:val="0"/>
          <w:i w:val="0"/>
        </w:rPr>
        <w:t xml:space="preserve"> — текст, который говорит о другой группе с определённой позиции, а не нейтральный протокол. </w:t>
      </w:r>
      <w:r>
        <w:rPr>
          <w:b/>
          <w:i w:val="0"/>
        </w:rPr>
        <w:t>Современная практика</w:t>
      </w:r>
      <w:r>
        <w:rPr>
          <w:b w:val="0"/>
          <w:i w:val="0"/>
        </w:rPr>
        <w:t xml:space="preserve"> — жизнь нынешних мандаейских общин, которую нельзя вывести только из древнего текста или старой книги исследователя.</w:t>
      </w:r>
    </w:p>
    <w:p>
      <w:r>
        <w:rPr>
          <w:b w:val="0"/>
          <w:i w:val="0"/>
        </w:rPr>
        <w:t xml:space="preserve">Форма </w:t>
      </w:r>
      <w:r>
        <w:rPr>
          <w:b w:val="0"/>
          <w:i/>
        </w:rPr>
        <w:t>Sidra d-Yahya</w:t>
      </w:r>
      <w:r>
        <w:rPr>
          <w:b w:val="0"/>
          <w:i w:val="0"/>
        </w:rPr>
        <w:t xml:space="preserve"> используется здесь как знакомое читателю название. В академической литературе встречаются также </w:t>
      </w:r>
      <w:r>
        <w:rPr>
          <w:b w:val="0"/>
          <w:i/>
        </w:rPr>
        <w:t>Draša d-Yahya</w:t>
      </w:r>
      <w:r>
        <w:rPr>
          <w:b w:val="0"/>
          <w:i w:val="0"/>
        </w:rPr>
        <w:t xml:space="preserve"> и </w:t>
      </w:r>
      <w:r>
        <w:rPr>
          <w:b w:val="0"/>
          <w:i/>
        </w:rPr>
        <w:t>Draša d-Yuhana</w:t>
      </w:r>
      <w:r>
        <w:rPr>
          <w:b w:val="0"/>
          <w:i w:val="0"/>
        </w:rPr>
        <w:t xml:space="preserve">; критическое издание говорит о «Книге Иоанна», а также связывает традицию с названием «Учения царей». Это варианты наименования и редакторского описания, а не доказательство того, что перед нами разные книги. </w:t>
      </w:r>
      <w:hyperlink r:id="rId12">
        <w:r>
          <w:rPr>
            <w:color w:val="32717A"/>
            <w:u w:val="single"/>
          </w:rPr>
          <w:t>1</w:t>
        </w:r>
      </w:hyperlink>
    </w:p>
    <w:p>
      <w:pPr>
        <w:pStyle w:val="Heading1"/>
      </w:pPr>
      <w:r>
        <w:rPr>
          <w:b w:val="0"/>
          <w:i w:val="0"/>
        </w:rPr>
        <w:t>Содержание</w:t>
      </w:r>
    </w:p>
    <w:p>
      <w:pPr>
        <w:pStyle w:val="ListNumber"/>
      </w:pPr>
      <w:hyperlink r:id="rId13">
        <w:r>
          <w:rPr>
            <w:color w:val="32717A"/>
            <w:u w:val="single"/>
          </w:rPr>
          <w:t>Что скрывается за названием</w:t>
        </w:r>
      </w:hyperlink>
    </w:p>
    <w:p>
      <w:pPr>
        <w:pStyle w:val="ListNumber"/>
      </w:pPr>
      <w:hyperlink r:id="rId14">
        <w:r>
          <w:rPr>
            <w:color w:val="32717A"/>
            <w:u w:val="single"/>
          </w:rPr>
          <w:t>Карта составного корпуса</w:t>
        </w:r>
      </w:hyperlink>
    </w:p>
    <w:p>
      <w:pPr>
        <w:pStyle w:val="ListNumber"/>
      </w:pPr>
      <w:hyperlink r:id="rId15">
        <w:r>
          <w:rPr>
            <w:color w:val="32717A"/>
            <w:u w:val="single"/>
          </w:rPr>
          <w:t>Жанры: не один голос и не один сюжет</w:t>
        </w:r>
      </w:hyperlink>
    </w:p>
    <w:p>
      <w:pPr>
        <w:pStyle w:val="ListNumber"/>
      </w:pPr>
      <w:hyperlink r:id="rId16">
        <w:r>
          <w:rPr>
            <w:color w:val="32717A"/>
            <w:u w:val="single"/>
          </w:rPr>
          <w:t>Яхья, Мириаи и другие фигуры</w:t>
        </w:r>
      </w:hyperlink>
    </w:p>
    <w:p>
      <w:pPr>
        <w:pStyle w:val="ListNumber"/>
      </w:pPr>
      <w:hyperlink r:id="rId17">
        <w:r>
          <w:rPr>
            <w:color w:val="32717A"/>
            <w:u w:val="single"/>
          </w:rPr>
          <w:t>Свет, жизнь и истина</w:t>
        </w:r>
      </w:hyperlink>
    </w:p>
    <w:p>
      <w:pPr>
        <w:pStyle w:val="ListNumber"/>
      </w:pPr>
      <w:hyperlink r:id="rId18">
        <w:r>
          <w:rPr>
            <w:color w:val="32717A"/>
            <w:u w:val="single"/>
          </w:rPr>
          <w:t>Рукопись и дата</w:t>
        </w:r>
      </w:hyperlink>
    </w:p>
    <w:p>
      <w:pPr>
        <w:pStyle w:val="ListNumber"/>
      </w:pPr>
      <w:hyperlink r:id="rId19">
        <w:r>
          <w:rPr>
            <w:color w:val="32717A"/>
            <w:u w:val="single"/>
          </w:rPr>
          <w:t>Как текст стал доступен в печати</w:t>
        </w:r>
      </w:hyperlink>
    </w:p>
    <w:p>
      <w:pPr>
        <w:pStyle w:val="ListNumber"/>
      </w:pPr>
      <w:hyperlink r:id="rId20">
        <w:r>
          <w:rPr>
            <w:color w:val="32717A"/>
            <w:u w:val="single"/>
          </w:rPr>
          <w:t>Три разные книги: Иоанн, Ginza и Qolasta</w:t>
        </w:r>
      </w:hyperlink>
    </w:p>
    <w:p>
      <w:pPr>
        <w:pStyle w:val="ListNumber"/>
      </w:pPr>
      <w:hyperlink r:id="rId21">
        <w:r>
          <w:rPr>
            <w:color w:val="32717A"/>
            <w:u w:val="single"/>
          </w:rPr>
          <w:t>Исторический Иоанн и поздняя память</w:t>
        </w:r>
      </w:hyperlink>
    </w:p>
    <w:p>
      <w:pPr>
        <w:pStyle w:val="ListNumber"/>
      </w:pPr>
      <w:hyperlink r:id="rId22">
        <w:r>
          <w:rPr>
            <w:color w:val="32717A"/>
            <w:u w:val="single"/>
          </w:rPr>
          <w:t>Живая традиция и границы чтения</w:t>
        </w:r>
      </w:hyperlink>
    </w:p>
    <w:p>
      <w:r>
        <w:br w:type="page"/>
      </w:r>
    </w:p>
    <w:p>
      <w:pPr>
        <w:pStyle w:val="Heading1"/>
      </w:pPr>
      <w:r>
        <w:rPr>
          <w:b w:val="0"/>
          <w:i w:val="0"/>
        </w:rPr>
        <w:t>Глава 1. Что скрывается за названием</w:t>
      </w:r>
    </w:p>
    <w:p>
      <w:r>
        <w:rPr>
          <w:b w:val="0"/>
          <w:i w:val="0"/>
        </w:rPr>
        <w:t xml:space="preserve">Книга Иоанна — важный текст мандаейской письменности, но её привычное название описывает только часть содержания. Академический обзор называет её </w:t>
      </w:r>
      <w:r>
        <w:rPr>
          <w:b w:val="0"/>
          <w:i/>
        </w:rPr>
        <w:t>draša d-yahya</w:t>
      </w:r>
      <w:r>
        <w:rPr>
          <w:b w:val="0"/>
          <w:i w:val="0"/>
        </w:rPr>
        <w:t xml:space="preserve"> или </w:t>
      </w:r>
      <w:r>
        <w:rPr>
          <w:b w:val="0"/>
          <w:i/>
        </w:rPr>
        <w:t>draša d-yuhana</w:t>
      </w:r>
      <w:r>
        <w:rPr>
          <w:b w:val="0"/>
          <w:i w:val="0"/>
        </w:rPr>
        <w:t xml:space="preserve"> и связывает с обозначением «Книги царей» — </w:t>
      </w:r>
      <w:r>
        <w:rPr>
          <w:b w:val="0"/>
          <w:i/>
        </w:rPr>
        <w:t>draši d-malki</w:t>
      </w:r>
      <w:r>
        <w:rPr>
          <w:b w:val="0"/>
          <w:i w:val="0"/>
        </w:rPr>
        <w:t xml:space="preserve">. В пояснении критического издания используется английское название </w:t>
      </w:r>
      <w:r>
        <w:rPr>
          <w:b w:val="0"/>
          <w:i/>
        </w:rPr>
        <w:t>The Teachings of the Kings</w:t>
      </w:r>
      <w:r>
        <w:rPr>
          <w:b w:val="0"/>
          <w:i w:val="0"/>
        </w:rPr>
        <w:t xml:space="preserve"> — «Учения царей». Такие названия напоминают, что книга говорит не только о Яхье: её мир населяют небесные и световые существа, а наставление встроено в более широкие повествования о мироздании и духовном знании. </w:t>
      </w:r>
      <w:hyperlink r:id="rId11">
        <w:r>
          <w:rPr>
            <w:color w:val="32717A"/>
            <w:u w:val="single"/>
          </w:rPr>
          <w:t>1</w:t>
        </w:r>
      </w:hyperlink>
    </w:p>
    <w:p>
      <w:r>
        <w:rPr>
          <w:b w:val="0"/>
          <w:i w:val="0"/>
        </w:rPr>
        <w:t xml:space="preserve">Слово </w:t>
      </w:r>
      <w:r>
        <w:rPr>
          <w:b w:val="0"/>
          <w:i/>
        </w:rPr>
        <w:t>draša</w:t>
      </w:r>
      <w:r>
        <w:rPr>
          <w:b w:val="0"/>
          <w:i w:val="0"/>
        </w:rPr>
        <w:t xml:space="preserve"> передают как «учение», «наставление» или «речь» в зависимости от контекста. Русское «Книга Иоанна» удобно для ориентации, но не должно создавать иллюзию одного автора, одного сюжета и одной окончательной рукописной формы. Текст прошёл через передачу, переписывание, редакторскую группировку и перевод. </w:t>
      </w:r>
      <w:hyperlink r:id="rId11">
        <w:r>
          <w:rPr>
            <w:color w:val="32717A"/>
            <w:u w:val="single"/>
          </w:rPr>
          <w:t>1</w:t>
        </w:r>
      </w:hyperlink>
    </w:p>
    <w:p>
      <w:r>
        <w:rPr>
          <w:b w:val="0"/>
          <w:i w:val="0"/>
        </w:rPr>
        <w:t xml:space="preserve">Особенно важно не смешивать эту книгу с христианским Евангелием от Иоанна. Совпадение имени не означает совпадения произведения, литературной формы или богословской функции. Мандаейская книга принадлежит собственной традиции и должна читаться через её рукописи, язык и исследовательскую историю. </w:t>
      </w:r>
      <w:hyperlink r:id="rId12">
        <w:r>
          <w:rPr>
            <w:color w:val="32717A"/>
            <w:u w:val="single"/>
          </w:rPr>
          <w:t>1</w:t>
        </w:r>
      </w:hyperlink>
    </w:p>
    <w:p>
      <w:r>
        <w:rPr>
          <w:b w:val="0"/>
          <w:i w:val="0"/>
        </w:rPr>
        <w:t xml:space="preserve">Критическая публикация Häberl и McGrath включает мандаейский текст, английский перевод и комментарий. Это одна из наиболее полных научных точек входа в корпус, но не синоним «единственного оригинала»: даже хорошее критическое издание остаётся результатом редакторских решений. </w:t>
      </w:r>
      <w:hyperlink r:id="rId11">
        <w:r>
          <w:rPr>
            <w:color w:val="32717A"/>
            <w:u w:val="single"/>
          </w:rPr>
          <w:t>1</w:t>
        </w:r>
      </w:hyperlink>
    </w:p>
    <w:p>
      <w:r>
        <w:br w:type="page"/>
      </w:r>
    </w:p>
    <w:p>
      <w:pPr>
        <w:pStyle w:val="Heading1"/>
      </w:pPr>
      <w:r>
        <w:rPr>
          <w:b w:val="0"/>
          <w:i w:val="0"/>
        </w:rPr>
        <w:t>Глава 2. Карта составного корпуса</w:t>
      </w:r>
    </w:p>
    <w:p>
      <w:r>
        <w:rPr>
          <w:b w:val="0"/>
          <w:i w:val="0"/>
        </w:rPr>
        <w:t xml:space="preserve">Оглавление издания Häberl–McGrath делит текст на посвящение и 76 единиц, объединённых редакторами в тематические группы. В начале следуют циклы вопросов об Истине, тексты о Юшамине, Добром Пастыре, создании и Шеме. Затем идут крупный цикл John–Johannes, блоки о Мириаи и «ловце душ», наставления, разделы об Истине и планетах, материалы о Сокровище Жизни и Создании, а ближе к концу — повествования о последующих событиях, посещениях Манда д-Хаййе, плачах и Еноше в Иерусалиме. Заголовки в этих формулировках — удобная навигация по конкретной редакции, не перечень древних жанровых названий, присутствующих в каждой рукописи. </w:t>
      </w:r>
      <w:hyperlink r:id="rId11">
        <w:r>
          <w:rPr>
            <w:color w:val="32717A"/>
            <w:u w:val="single"/>
          </w:rPr>
          <w:t>1</w:t>
        </w:r>
      </w:hyperlink>
    </w:p>
    <w:p>
      <w:r>
        <w:rPr>
          <w:b w:val="0"/>
          <w:i w:val="0"/>
        </w:rPr>
        <w:t xml:space="preserve">Эта карта сразу разрушает представление о книге как о сплошном жизнеописании Иоанна. Яхья занимает заметное место, особенно в цикле, который редакторы обозначают как John–Johannes, но рядом с ним находятся другие персонажи, голоса и темы. В книге переплетены поучения, космические рассказы, мифологические мотивы, плачи и полемические сцены. </w:t>
      </w:r>
      <w:hyperlink r:id="rId11">
        <w:r>
          <w:rPr>
            <w:color w:val="32717A"/>
            <w:u w:val="single"/>
          </w:rPr>
          <w:t>1</w:t>
        </w:r>
      </w:hyperlink>
      <w:r>
        <w:rPr>
          <w:b w:val="0"/>
          <w:i w:val="0"/>
        </w:rPr>
        <w:t xml:space="preserve"> </w:t>
      </w:r>
      <w:hyperlink r:id="rId12">
        <w:r>
          <w:rPr>
            <w:color w:val="32717A"/>
            <w:u w:val="single"/>
          </w:rPr>
          <w:t>3</w:t>
        </w:r>
      </w:hyperlink>
    </w:p>
    <w:p>
      <w:r>
        <w:rPr>
          <w:b w:val="0"/>
          <w:i w:val="0"/>
        </w:rPr>
        <w:t xml:space="preserve">Составной характер не означает, что текст лишён связности. Повторяющиеся образы и темы создают родство между разными частями. Но связь не обязательно равна единому первоначальному плану. История передачи могла соединять разновременные материалы, а современная рубрикация помогает увидеть их как тематические циклы. Порядок страниц издания поэтому нельзя без дополнительного доказательства выдавать за первоначальную композицию всей традиции. </w:t>
      </w:r>
      <w:hyperlink r:id="rId23">
        <w:r>
          <w:rPr>
            <w:color w:val="32717A"/>
            <w:u w:val="single"/>
          </w:rPr>
          <w:t>3</w:t>
        </w:r>
      </w:hyperlink>
    </w:p>
    <w:p>
      <w:r>
        <w:rPr>
          <w:b w:val="0"/>
          <w:i w:val="0"/>
        </w:rPr>
        <w:t>Для читателя полезен простой вопрос: когда мы говорим «Книга Иоанна утверждает», о какой именно единице, рукописи или редакторской группе идёт речь? Иногда точнее сказать: «в цикле, обозначенном редакторами как John–Johannes» или «в одном из рассказов, представленном в критическом издании». Такая формулировка звучит осторожнее, зато не заставляет один фрагмент говорить за весь корпус.</w:t>
      </w:r>
    </w:p>
    <w:p>
      <w:r>
        <w:br w:type="page"/>
      </w:r>
    </w:p>
    <w:p>
      <w:pPr>
        <w:pStyle w:val="Heading1"/>
      </w:pPr>
      <w:r>
        <w:rPr>
          <w:b w:val="0"/>
          <w:i w:val="0"/>
        </w:rPr>
        <w:t>Глава 3. Жанры: не один голос и не один сюжет</w:t>
      </w:r>
    </w:p>
    <w:p>
      <w:r>
        <w:rPr>
          <w:b w:val="0"/>
          <w:i w:val="0"/>
        </w:rPr>
        <w:t xml:space="preserve">В книге сменяются повествование, разговор, прямое обращение к читателю и наставительная речь. В одном эпизоде рассказ может внезапно уступить место обращению к слушателям; диалог может служить не бытовой сценой, а способом показать спор интерпретаций; речь может становиться увещеванием. Это не роман с единым рассказчиком, а собрание литературных режимов. </w:t>
      </w:r>
      <w:hyperlink r:id="rId23">
        <w:r>
          <w:rPr>
            <w:color w:val="32717A"/>
            <w:u w:val="single"/>
          </w:rPr>
          <w:t>2</w:t>
        </w:r>
      </w:hyperlink>
    </w:p>
    <w:p>
      <w:r>
        <w:rPr>
          <w:b w:val="0"/>
          <w:i w:val="0"/>
        </w:rPr>
        <w:t xml:space="preserve">Исследователи говорят о наставлениях, гимнической речи, мифологических и космогонических сюжетах, эсхатологических мотивах и полемике. Эти термины полезны, но часть из них зависит от того, как редактор разбил текст и перевёл его. Название вроде «Наставления» может быть удобным переводным ориентиром, а не бесспорным самоназванием жанра в рукописи. </w:t>
      </w:r>
      <w:hyperlink r:id="rId11">
        <w:r>
          <w:rPr>
            <w:color w:val="32717A"/>
            <w:u w:val="single"/>
          </w:rPr>
          <w:t>1</w:t>
        </w:r>
      </w:hyperlink>
      <w:r>
        <w:rPr>
          <w:b w:val="0"/>
          <w:i w:val="0"/>
        </w:rPr>
        <w:t xml:space="preserve"> </w:t>
      </w:r>
      <w:hyperlink r:id="rId12">
        <w:r>
          <w:rPr>
            <w:color w:val="32717A"/>
            <w:u w:val="single"/>
          </w:rPr>
          <w:t>3</w:t>
        </w:r>
      </w:hyperlink>
    </w:p>
    <w:p>
      <w:r>
        <w:rPr>
          <w:b w:val="0"/>
          <w:i w:val="0"/>
        </w:rPr>
        <w:t xml:space="preserve">Повтор в таких текстах выполняет несколько задач. Он связывает отдельные части, удерживает внимание на ключевых образах и помогает формировать узнаваемый ритм речи. Но если два фрагмента похожи, это ещё не объясняет, почему: перед нами может быть общая традиция, редакторское соседство, повторная переработка или переводческая гармонизация. Чтобы выбрать одно объяснение, нужно сопоставлять свидетели и аргументы редакторов. </w:t>
      </w:r>
      <w:hyperlink r:id="rId23">
        <w:r>
          <w:rPr>
            <w:color w:val="32717A"/>
            <w:u w:val="single"/>
          </w:rPr>
          <w:t>2</w:t>
        </w:r>
      </w:hyperlink>
    </w:p>
    <w:p>
      <w:r>
        <w:rPr>
          <w:b w:val="0"/>
          <w:i w:val="0"/>
        </w:rPr>
        <w:t xml:space="preserve">Поэтому не стоит читать книгу как стенограмму реальных бесед Иоанна, Иисуса или небесных персонажей. Диалог в религиозном тексте — литературная форма, которая может объяснять, спорить, разоблачать или наставлять. Историческая реконструкция начинается только после того, как эти функции отделены от вопроса о реальных событиях. McGrath на примере рассказов о посетителях из мира Света в Иерусалиме показывает, как литературная полемика и редакционные слои меняют смысл исторических деталей. </w:t>
      </w:r>
      <w:hyperlink r:id="rId23">
        <w:r>
          <w:rPr>
            <w:color w:val="32717A"/>
            <w:u w:val="single"/>
          </w:rPr>
          <w:t>4</w:t>
        </w:r>
      </w:hyperlink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688000" cy="426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voices-and-dialogu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26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</w:rPr>
        <w:t>Иллюстрация — современная метафора литературного диалога, а не реконструкция звучания, музыки или исполнения текста.</w:t>
      </w:r>
    </w:p>
    <w:p>
      <w:r>
        <w:br w:type="page"/>
      </w:r>
    </w:p>
    <w:p>
      <w:pPr>
        <w:pStyle w:val="Heading1"/>
      </w:pPr>
      <w:r>
        <w:rPr>
          <w:b w:val="0"/>
          <w:i w:val="0"/>
        </w:rPr>
        <w:t>Глава 4. Яхья, Мириаи и другие фигуры</w:t>
      </w:r>
    </w:p>
    <w:p>
      <w:r>
        <w:rPr>
          <w:b w:val="0"/>
          <w:i w:val="0"/>
        </w:rPr>
        <w:t xml:space="preserve">Яхья — титульная и центральная пророческая фигура, но книга не ограничена его рассказом. В ней появляются Мириаи, Иисус, Шем, Анош/Енох, Манда д-Хаййе, Абатор и другие фигуры. Критическое оглавление выделяет отдельные группы о Мириаи, «ловце душ», Манда д-Хаййе и Еноше в Иерусалиме. Так что правильнее говорить о многоголосом мандаейском корпусе, где Иоанн занимает важное, но не исключительное положение. </w:t>
      </w:r>
      <w:hyperlink r:id="rId11">
        <w:r>
          <w:rPr>
            <w:color w:val="32717A"/>
            <w:u w:val="single"/>
          </w:rPr>
          <w:t>1</w:t>
        </w:r>
      </w:hyperlink>
      <w:r>
        <w:rPr>
          <w:b w:val="0"/>
          <w:i w:val="0"/>
        </w:rPr>
        <w:t xml:space="preserve"> </w:t>
      </w:r>
      <w:hyperlink r:id="rId12">
        <w:r>
          <w:rPr>
            <w:color w:val="32717A"/>
            <w:u w:val="single"/>
          </w:rPr>
          <w:t>3</w:t>
        </w:r>
      </w:hyperlink>
    </w:p>
    <w:p>
      <w:r>
        <w:rPr>
          <w:b w:val="0"/>
          <w:i w:val="0"/>
        </w:rPr>
        <w:t xml:space="preserve">В мандаейском религиозном самоописании Иоанн высоко почитаем. Однако академическая статья Iranica прямо предостерегает от превращения его в основателя мандаизма: он описывается как один из выдающихся представителей и священнослужителей традиции. Это различие важно. Почитание Иоанна внутри религии и доказательство того, что исторический Иоанн основал позднейшую мандаейскую общину, — два разных утверждения. </w:t>
      </w:r>
      <w:hyperlink r:id="rId12">
        <w:r>
          <w:rPr>
            <w:color w:val="32717A"/>
            <w:u w:val="single"/>
          </w:rPr>
          <w:t>3</w:t>
        </w:r>
      </w:hyperlink>
    </w:p>
    <w:p>
      <w:r>
        <w:rPr>
          <w:b w:val="0"/>
          <w:i w:val="0"/>
        </w:rPr>
        <w:t xml:space="preserve">В мандаейском корпусе Иоанн выступает в собственном повествовательном и богословском пространстве. Его нельзя автоматически подменять образом из христианской биографии, где его роль часто определяется отношением к Иисусу. Сходные имена и сюжеты могут входить в разные традиции и выполнять в них разные задачи. </w:t>
      </w:r>
      <w:hyperlink r:id="rId12">
        <w:r>
          <w:rPr>
            <w:color w:val="32717A"/>
            <w:u w:val="single"/>
          </w:rPr>
          <w:t>1</w:t>
        </w:r>
      </w:hyperlink>
      <w:r>
        <w:rPr>
          <w:b w:val="0"/>
          <w:i w:val="0"/>
        </w:rPr>
        <w:t xml:space="preserve"> </w:t>
      </w:r>
      <w:hyperlink r:id="rId23">
        <w:r>
          <w:rPr>
            <w:color w:val="32717A"/>
            <w:u w:val="single"/>
          </w:rPr>
          <w:t>4</w:t>
        </w:r>
      </w:hyperlink>
    </w:p>
    <w:p>
      <w:r>
        <w:rPr>
          <w:b w:val="0"/>
          <w:i w:val="0"/>
        </w:rPr>
        <w:t xml:space="preserve">Появление Иисуса в мандаейских текстах также требует аккуратности. Полемическое изображение Иисуса говорит прежде всего о том, как текст проводит религиозные границы и формирует собственную память. Оно не является нейтральной биографической справкой и не должно использоваться как простое доказательство того, что происходило в Иудее I века. То же относится к рассказам о других религиозных группах. </w:t>
      </w:r>
      <w:hyperlink r:id="rId23">
        <w:r>
          <w:rPr>
            <w:color w:val="32717A"/>
            <w:u w:val="single"/>
          </w:rPr>
          <w:t>3</w:t>
        </w:r>
      </w:hyperlink>
    </w:p>
    <w:p>
      <w:r>
        <w:br w:type="page"/>
      </w:r>
    </w:p>
    <w:p>
      <w:pPr>
        <w:pStyle w:val="Heading1"/>
      </w:pPr>
      <w:r>
        <w:rPr>
          <w:b w:val="0"/>
          <w:i w:val="0"/>
        </w:rPr>
        <w:t>Глава 5. Свет, жизнь и истина</w:t>
      </w:r>
    </w:p>
    <w:p>
      <w:r>
        <w:rPr>
          <w:b w:val="0"/>
          <w:i w:val="0"/>
        </w:rPr>
        <w:t xml:space="preserve">Один из ключевых образных миров мандаейской религиозности строится вокруг Света и Тьмы, жизни и смерти, души и тела. Эти слова не просто декоративные метафоры. Они участвуют в космологическом языке, через который тексты описывают мир, положение человека и возможность возвращения души к её источнику. Но короткий читательский обзор не может заменить подробное изложение мандаейской теологии, а одна схема не объясняет каждую главу книги. </w:t>
      </w:r>
      <w:hyperlink r:id="rId12">
        <w:r>
          <w:rPr>
            <w:color w:val="32717A"/>
            <w:u w:val="single"/>
          </w:rPr>
          <w:t>1</w:t>
        </w:r>
      </w:hyperlink>
    </w:p>
    <w:p>
      <w:r>
        <w:rPr>
          <w:b w:val="0"/>
          <w:i w:val="0"/>
        </w:rPr>
        <w:t xml:space="preserve">Истина в оглавлении критического издания появляется сразу в нескольких редакторских рубриках: вопросы Истины, Истина Шема, отдельные тексты «Истина». Для читателя это подсказка о повторяющемся поле вопросов и свидетельства. Однако английское название рубрики — часть редакторской и переводческой работы. Лучше говорить, что тема истины возвращается в разных речевых и повествовательных ситуациях, чем приписывать всему корпусу единый трактат об Истине. </w:t>
      </w:r>
      <w:hyperlink r:id="rId11">
        <w:r>
          <w:rPr>
            <w:color w:val="32717A"/>
            <w:u w:val="single"/>
          </w:rPr>
          <w:t>1</w:t>
        </w:r>
      </w:hyperlink>
    </w:p>
    <w:p>
      <w:r>
        <w:rPr>
          <w:b w:val="0"/>
          <w:i w:val="0"/>
        </w:rPr>
        <w:t xml:space="preserve">Космические мотивы соседствуют с этическим наставлением. Предисловие к критическому изданию характеризует книгу как писание, где моральные поучения встроены в широкий рассказ о небесных существах и устройстве миров. Это полезная рамка, но не повод сводить всё содержание к одной простой схеме добра и зла. </w:t>
      </w:r>
      <w:hyperlink r:id="rId11">
        <w:r>
          <w:rPr>
            <w:color w:val="32717A"/>
            <w:u w:val="single"/>
          </w:rPr>
          <w:t>2</w:t>
        </w:r>
      </w:hyperlink>
    </w:p>
    <w:p>
      <w:r>
        <w:rPr>
          <w:b w:val="0"/>
          <w:i w:val="0"/>
        </w:rPr>
        <w:t xml:space="preserve">Вода занимает особое место в мандаейской религиозной жизни и в памяти об Иоанне. Академический обзор отмечает важность проточной воды и связь водного ритуала с памятью о нём. В этом путеводителе мы упоминаем эту связь только как общий культурный и религиозный контекст. Мы не превращаем опубликованный текст в практическое руководство и не извлекаем из него порядок закрытых ритуалов. </w:t>
      </w:r>
      <w:hyperlink r:id="rId25">
        <w:r>
          <w:rPr>
            <w:color w:val="32717A"/>
            <w:u w:val="single"/>
          </w:rPr>
          <w:t>3</w:t>
        </w:r>
      </w:hyperlink>
    </w:p>
    <w:p>
      <w:r>
        <w:br w:type="page"/>
      </w:r>
    </w:p>
    <w:p>
      <w:pPr>
        <w:pStyle w:val="Heading1"/>
      </w:pPr>
      <w:r>
        <w:rPr>
          <w:b w:val="0"/>
          <w:i w:val="0"/>
        </w:rPr>
        <w:t>Глава 6. Рукопись и дата</w:t>
      </w:r>
    </w:p>
    <w:p>
      <w:r>
        <w:rPr>
          <w:b w:val="0"/>
          <w:i w:val="0"/>
        </w:rPr>
        <w:t xml:space="preserve">Самый ранний известный рукописный свидетель, названный в издательском предварительном материале, — Codex Sabéen 10. Его скопировал Зехрун бар Адам в Басре 13 октября 1616 года. Эта дата относится к конкретной сохранившейся копии. Она не говорит сама по себе, когда возникла книга, когда были написаны отдельные тексты или сколько времени существовали лежащие под ними устные и письменные традиции. </w:t>
      </w:r>
      <w:hyperlink r:id="rId26">
        <w:r>
          <w:rPr>
            <w:color w:val="32717A"/>
            <w:u w:val="single"/>
          </w:rPr>
          <w:t>5</w:t>
        </w:r>
      </w:hyperlink>
    </w:p>
    <w:p>
      <w:r>
        <w:rPr>
          <w:b w:val="0"/>
          <w:i w:val="0"/>
        </w:rPr>
        <w:t xml:space="preserve">Это различие — основа добросовестной истории текста. Поздняя рукопись может передавать более ранний материал; но сам факт позднего списка не доказывает древность каждого его фрагмента. Чтобы датировать слой, нужны дополнительные признаки: язык, формы письма, параллели, колофоны и сравнительный анализ. Ни имя Иоанна, ни религиозное предание не заменяют такого доказательства. </w:t>
      </w:r>
      <w:hyperlink r:id="rId26">
        <w:r>
          <w:rPr>
            <w:color w:val="32717A"/>
            <w:u w:val="single"/>
          </w:rPr>
          <w:t>4</w:t>
        </w:r>
      </w:hyperlink>
    </w:p>
    <w:p>
      <w:r>
        <w:rPr>
          <w:b w:val="0"/>
          <w:i w:val="0"/>
        </w:rPr>
        <w:t xml:space="preserve">Рукопись — не только слова. Это листы, почерк, порядок, переплёт, возможные пропуски и записи переписчика. Критическое издание работает с такими свидетельствами, но читатель видит уже подготовленный результат: выбранные чтения, последовательность и перевод. Доступная издательская страница и опубликованный текст не предоставляют полного цифрового каталога всех известных списков. Поэтому в этой книге мы называем только проверяемый рукописный якорь и не выдаём его за полную историю всех свидетелей. </w:t>
      </w:r>
      <w:hyperlink r:id="rId11">
        <w:r>
          <w:rPr>
            <w:color w:val="32717A"/>
            <w:u w:val="single"/>
          </w:rPr>
          <w:t>1</w:t>
        </w:r>
      </w:hyperlink>
      <w:r>
        <w:rPr>
          <w:b w:val="0"/>
          <w:i w:val="0"/>
        </w:rPr>
        <w:t xml:space="preserve"> </w:t>
      </w:r>
      <w:hyperlink r:id="rId26">
        <w:r>
          <w:rPr>
            <w:color w:val="32717A"/>
            <w:u w:val="single"/>
          </w:rPr>
          <w:t>5</w:t>
        </w:r>
      </w:hyperlink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688000" cy="426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manuscript-transmission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26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</w:rPr>
        <w:t>Иллюстрация символизирует передачу текста; это не изображение реального кодекса, каталожной комнаты или конкретной рукописи.</w:t>
      </w:r>
    </w:p>
    <w:p>
      <w:r>
        <w:br w:type="page"/>
      </w:r>
    </w:p>
    <w:p>
      <w:pPr>
        <w:pStyle w:val="Heading1"/>
      </w:pPr>
      <w:r>
        <w:rPr>
          <w:b w:val="0"/>
          <w:i w:val="0"/>
        </w:rPr>
        <w:t>Глава 7. Как текст стал доступен в печати</w:t>
      </w:r>
    </w:p>
    <w:p>
      <w:r>
        <w:rPr>
          <w:b w:val="0"/>
          <w:i w:val="0"/>
        </w:rPr>
        <w:t xml:space="preserve">Мандейский язык — разновидность арамейского, обычно классифицируемая как юго-восточный арамейский. Работы Теодора Нёльдеке, включая </w:t>
      </w:r>
      <w:r>
        <w:rPr>
          <w:b w:val="0"/>
          <w:i/>
        </w:rPr>
        <w:t>Mandäische Grammatik</w:t>
      </w:r>
      <w:r>
        <w:rPr>
          <w:b w:val="0"/>
          <w:i w:val="0"/>
        </w:rPr>
        <w:t xml:space="preserve"> 1875 года, стали частью ранней научной инфраструктуры для чтения этого языка. Грамматика помогает изучать язык, но не является критическим изданием Книги Иоанна. </w:t>
      </w:r>
      <w:hyperlink r:id="rId28">
        <w:r>
          <w:rPr>
            <w:color w:val="32717A"/>
            <w:u w:val="single"/>
          </w:rPr>
          <w:t>10</w:t>
        </w:r>
      </w:hyperlink>
    </w:p>
    <w:p>
      <w:r>
        <w:rPr>
          <w:b w:val="0"/>
          <w:i w:val="0"/>
        </w:rPr>
        <w:t xml:space="preserve">В начале XX века Марк Лидцбарский опубликовал немецкое издание </w:t>
      </w:r>
      <w:r>
        <w:rPr>
          <w:b w:val="0"/>
          <w:i/>
        </w:rPr>
        <w:t>Das Johannesbuch der Mandäer</w:t>
      </w:r>
      <w:r>
        <w:rPr>
          <w:b w:val="0"/>
          <w:i w:val="0"/>
        </w:rPr>
        <w:t xml:space="preserve"> в двух томах, выходивших в 1915 и 1922 годах. Предшествующие современному критическому изданию полные немецкий и арабский переводы, по сообщению Häberl и McGrath, передавали стихотворный текст прозой. Поэтому различия между версиями могут быть связаны не только с чтением рукописи, но и с тем, как переводчик переносит поэтическую форму и смысл на другой язык. </w:t>
      </w:r>
      <w:hyperlink r:id="rId29">
        <w:r>
          <w:rPr>
            <w:color w:val="32717A"/>
            <w:u w:val="single"/>
          </w:rPr>
          <w:t>2</w:t>
        </w:r>
      </w:hyperlink>
      <w:r>
        <w:rPr>
          <w:b w:val="0"/>
          <w:i w:val="0"/>
        </w:rPr>
        <w:t xml:space="preserve"> </w:t>
      </w:r>
      <w:hyperlink r:id="rId28">
        <w:r>
          <w:rPr>
            <w:color w:val="32717A"/>
            <w:u w:val="single"/>
          </w:rPr>
          <w:t>10</w:t>
        </w:r>
      </w:hyperlink>
    </w:p>
    <w:p>
      <w:r>
        <w:rPr>
          <w:b w:val="0"/>
          <w:i w:val="0"/>
        </w:rPr>
        <w:t xml:space="preserve">Э. С. Дроуэр — важная фигура в изучении мандаейских рукописей и современной ей общинной жизни, однако её </w:t>
      </w:r>
      <w:r>
        <w:rPr>
          <w:b w:val="0"/>
          <w:i/>
        </w:rPr>
        <w:t>The Canonical Prayerbook of the Mandæans</w:t>
      </w:r>
      <w:r>
        <w:rPr>
          <w:b w:val="0"/>
          <w:i w:val="0"/>
        </w:rPr>
        <w:t xml:space="preserve"> (1959) — издание и перевод молитвенника Qolasta, а не Книги Иоанна. Это полезный пример того, почему библиографические роли исследователей и названия книг нужно проверять отдельно. </w:t>
      </w:r>
      <w:hyperlink r:id="rId28">
        <w:r>
          <w:rPr>
            <w:color w:val="32717A"/>
            <w:u w:val="single"/>
          </w:rPr>
          <w:t>8</w:t>
        </w:r>
      </w:hyperlink>
    </w:p>
    <w:p>
      <w:r>
        <w:rPr>
          <w:b w:val="0"/>
          <w:i w:val="0"/>
        </w:rPr>
        <w:t xml:space="preserve">В 2012–2015 годах проект Rutgers готовил печатное и сетевое критическое издание, включавшее мандейский текст, английский перевод и комментарий. Итоговая работа Häberl и McGrath вышла у De Gruyter и стала основным современным научным изданием, которое здесь используется для карты текста и сопоставления редакторских решений. Авторы называют английский перевод первым полным и несокращённым; это их характеристика конкретной публикации, а не утверждение, будто прежде не существовало частичных переводов или исследований. </w:t>
      </w:r>
      <w:hyperlink r:id="rId11">
        <w:r>
          <w:rPr>
            <w:color w:val="32717A"/>
            <w:u w:val="single"/>
          </w:rPr>
          <w:t>1</w:t>
        </w:r>
      </w:hyperlink>
      <w:r>
        <w:rPr>
          <w:b w:val="0"/>
          <w:i w:val="0"/>
        </w:rPr>
        <w:t xml:space="preserve"> </w:t>
      </w:r>
      <w:hyperlink r:id="rId30">
        <w:r>
          <w:rPr>
            <w:color w:val="32717A"/>
            <w:u w:val="single"/>
          </w:rPr>
          <w:t>11</w:t>
        </w:r>
      </w:hyperlink>
    </w:p>
    <w:p>
      <w:r>
        <w:rPr>
          <w:b w:val="0"/>
          <w:i w:val="0"/>
        </w:rPr>
        <w:t xml:space="preserve">Необходимо разделять три ступени. </w:t>
      </w:r>
      <w:r>
        <w:rPr>
          <w:b/>
          <w:i w:val="0"/>
        </w:rPr>
        <w:t>Транслитерация</w:t>
      </w:r>
      <w:r>
        <w:rPr>
          <w:b w:val="0"/>
          <w:i w:val="0"/>
        </w:rPr>
        <w:t xml:space="preserve"> передаёт мандейское письмо средствами другого алфавита. </w:t>
      </w:r>
      <w:r>
        <w:rPr>
          <w:b/>
          <w:i w:val="0"/>
        </w:rPr>
        <w:t>Критический текст</w:t>
      </w:r>
      <w:r>
        <w:rPr>
          <w:b w:val="0"/>
          <w:i w:val="0"/>
        </w:rPr>
        <w:t xml:space="preserve"> отражает чтение рукописных свидетелей и решения редакторов. </w:t>
      </w:r>
      <w:r>
        <w:rPr>
          <w:b/>
          <w:i w:val="0"/>
        </w:rPr>
        <w:t>Перевод</w:t>
      </w:r>
      <w:r>
        <w:rPr>
          <w:b w:val="0"/>
          <w:i w:val="0"/>
        </w:rPr>
        <w:t xml:space="preserve"> предлагает смысл на новом языке. Например, шрифт Ardwan Lidzbarski, использованный для публикации мандейского текста, — современное типографское решение, основанное на изучении почерка; оно помогает читателю, но не является рукописью и не датирует её. </w:t>
      </w:r>
      <w:hyperlink r:id="rId11">
        <w:r>
          <w:rPr>
            <w:color w:val="32717A"/>
            <w:u w:val="single"/>
          </w:rPr>
          <w:t>2</w:t>
        </w:r>
      </w:hyperlink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688000" cy="426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john-and-history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26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</w:rPr>
        <w:t>Это художественная метафора разных исторических слоёв. Она не изображает конкретный город и не является археологическим свидетельством.</w:t>
      </w:r>
    </w:p>
    <w:p>
      <w:r>
        <w:br w:type="page"/>
      </w:r>
    </w:p>
    <w:p>
      <w:pPr>
        <w:pStyle w:val="Heading1"/>
      </w:pPr>
      <w:r>
        <w:rPr>
          <w:b w:val="0"/>
          <w:i w:val="0"/>
        </w:rPr>
        <w:t>Глава 8. Три разные книги: Иоанн, Ginza и Qolasta</w:t>
      </w:r>
    </w:p>
    <w:p>
      <w:r>
        <w:rPr>
          <w:b w:val="0"/>
          <w:i w:val="0"/>
        </w:rPr>
        <w:t xml:space="preserve">Соседние тома этой серии уже познакомили читателя с Ginza Rabba и Qolasta. Книга Иоанна — отдельный корпус, не сокращение Ginza и не другой вариант молитвенника. У трёх книг есть общие темы и религиозный язык, но их роль различается. </w:t>
      </w:r>
      <w:hyperlink r:id="rId12">
        <w:r>
          <w:rPr>
            <w:color w:val="32717A"/>
            <w:u w:val="single"/>
          </w:rPr>
          <w:t>3</w:t>
        </w:r>
      </w:hyperlink>
    </w:p>
    <w:p>
      <w:r>
        <w:rPr>
          <w:b/>
          <w:i w:val="0"/>
        </w:rPr>
        <w:t>Ginza Rabba</w:t>
      </w:r>
      <w:r>
        <w:rPr>
          <w:b w:val="0"/>
          <w:i w:val="0"/>
        </w:rPr>
        <w:t xml:space="preserve"> — большой и неоднородный сборник мандаейских сочинений. В академическом описании выделяются Правая и Левая Ginza: первая чаще обращается к космологии, богословию и наставлению; вторая сосредоточена на судьбе и восхождении души. Это полезная карта, но Ginza сама не является одним трактатом с единственным сюжетом. </w:t>
      </w:r>
      <w:hyperlink r:id="rId12">
        <w:r>
          <w:rPr>
            <w:color w:val="32717A"/>
            <w:u w:val="single"/>
          </w:rPr>
          <w:t>3</w:t>
        </w:r>
      </w:hyperlink>
    </w:p>
    <w:p>
      <w:r>
        <w:rPr>
          <w:b/>
          <w:i w:val="0"/>
        </w:rPr>
        <w:t>Qolasta</w:t>
      </w:r>
      <w:r>
        <w:rPr>
          <w:b w:val="0"/>
          <w:i w:val="0"/>
        </w:rPr>
        <w:t xml:space="preserve"> — канонический молитвенник, включающий литургические гимны, молитвы и ритуальные тексты. Академический обзор связывает его крупные функциональные области с </w:t>
      </w:r>
      <w:r>
        <w:rPr>
          <w:b w:val="0"/>
          <w:i/>
        </w:rPr>
        <w:t>maṣbuta</w:t>
      </w:r>
      <w:r>
        <w:rPr>
          <w:b w:val="0"/>
          <w:i w:val="0"/>
        </w:rPr>
        <w:t xml:space="preserve"> и </w:t>
      </w:r>
      <w:r>
        <w:rPr>
          <w:b w:val="0"/>
          <w:i/>
        </w:rPr>
        <w:t>masiqta</w:t>
      </w:r>
      <w:r>
        <w:rPr>
          <w:b w:val="0"/>
          <w:i w:val="0"/>
        </w:rPr>
        <w:t xml:space="preserve">. Здесь важна связь книги с литургическим действием, но печатное оглавление не превращается в инструкцию и не исчерпывает живую практику. </w:t>
      </w:r>
      <w:hyperlink r:id="rId12">
        <w:r>
          <w:rPr>
            <w:color w:val="32717A"/>
            <w:u w:val="single"/>
          </w:rPr>
          <w:t>3</w:t>
        </w:r>
      </w:hyperlink>
    </w:p>
    <w:p>
      <w:r>
        <w:rPr>
          <w:b/>
          <w:i w:val="0"/>
        </w:rPr>
        <w:t>Книга Иоанна</w:t>
      </w:r>
      <w:r>
        <w:rPr>
          <w:b w:val="0"/>
          <w:i w:val="0"/>
        </w:rPr>
        <w:t xml:space="preserve"> — смешанный поучительно-мифологический корпус. В нём есть наставления и диалоги, космогонические сюжеты, рассказы о Яхье, Мириаи и Иисусе, а также другие тематические циклы. В отличие от Qolasta, её основная задача не сводится к молитвенному употреблению; в отличие от Ginza, её известное издание организовано вокруг собственной последовательности текстов и циклов. </w:t>
      </w:r>
      <w:hyperlink r:id="rId11">
        <w:r>
          <w:rPr>
            <w:color w:val="32717A"/>
            <w:u w:val="single"/>
          </w:rPr>
          <w:t>1</w:t>
        </w:r>
      </w:hyperlink>
      <w:r>
        <w:rPr>
          <w:b w:val="0"/>
          <w:i w:val="0"/>
        </w:rPr>
        <w:t xml:space="preserve"> </w:t>
      </w:r>
      <w:hyperlink r:id="rId12">
        <w:r>
          <w:rPr>
            <w:color w:val="32717A"/>
            <w:u w:val="single"/>
          </w:rPr>
          <w:t>3</w:t>
        </w:r>
      </w:hyperlink>
    </w:p>
    <w:p>
      <w:r>
        <w:rPr>
          <w:b w:val="0"/>
          <w:i w:val="0"/>
        </w:rPr>
        <w:t xml:space="preserve">Упрощённая формула «Ginza — учение, Книга Иоанна — история, Qolasta — молитва» полезна только на старте. В Ginza есть разные жанры, Книга Иоанна не является чистым повествованием, а Qolasta не ограничивается гимнами. Мотивы могут пересекаться, но пересечение не делает книги взаимозаменяемыми. При ссылке на тему следует указывать, к какому корпусу, части и изданию она относится. </w:t>
      </w:r>
      <w:hyperlink r:id="rId12">
        <w:r>
          <w:rPr>
            <w:color w:val="32717A"/>
            <w:u w:val="single"/>
          </w:rPr>
          <w:t>1</w:t>
        </w:r>
      </w:hyperlink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688000" cy="426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three-books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26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</w:rPr>
        <w:t>Три книги показаны как самостоятельные формы внутри одной литературной традиции; композиция не устанавливает иерархию их авторитета.</w:t>
      </w:r>
    </w:p>
    <w:p>
      <w:r>
        <w:br w:type="page"/>
      </w:r>
    </w:p>
    <w:p>
      <w:pPr>
        <w:pStyle w:val="Heading1"/>
      </w:pPr>
      <w:r>
        <w:rPr>
          <w:b w:val="0"/>
          <w:i w:val="0"/>
        </w:rPr>
        <w:t>Глава 9. Исторический Иоанн и поздняя память</w:t>
      </w:r>
    </w:p>
    <w:p>
      <w:r>
        <w:rPr>
          <w:b w:val="0"/>
          <w:i w:val="0"/>
        </w:rPr>
        <w:t xml:space="preserve">О раннем Иоанне Крестителе лучше всего говорить, опираясь на источники его эпохи и на те ограничения, которые они задают. Иосиф Флавий в </w:t>
      </w:r>
      <w:r>
        <w:rPr>
          <w:b w:val="0"/>
          <w:i/>
        </w:rPr>
        <w:t>Иудейских древностях</w:t>
      </w:r>
      <w:r>
        <w:rPr>
          <w:b w:val="0"/>
          <w:i w:val="0"/>
        </w:rPr>
        <w:t xml:space="preserve"> описывает Иоанна как проповедника, призывавшего к добродетели и омовению, и сообщает о казни по приказу Ирода Антипы. Этот текст не связывает Иоанна с мандаями, Месопотамией или переселением его учеников. </w:t>
      </w:r>
      <w:hyperlink r:id="rId33">
        <w:r>
          <w:rPr>
            <w:color w:val="32717A"/>
            <w:u w:val="single"/>
          </w:rPr>
          <w:t>7</w:t>
        </w:r>
      </w:hyperlink>
    </w:p>
    <w:p>
      <w:r>
        <w:rPr>
          <w:b w:val="0"/>
          <w:i w:val="0"/>
        </w:rPr>
        <w:t xml:space="preserve">Раннехристианские тексты также рассказывают об Иоанне, его крещении и учениках, но делают это в богословской рамке христианства. Они важны как свидетельства ранней памяти об Иоанне; они не прослеживают непрерывную институциональную или этническую линию от Иудеи I века к позднейшим мандаейским общинам. </w:t>
      </w:r>
      <w:hyperlink r:id="rId33">
        <w:r>
          <w:rPr>
            <w:color w:val="32717A"/>
            <w:u w:val="single"/>
          </w:rPr>
          <w:t>6</w:t>
        </w:r>
      </w:hyperlink>
    </w:p>
    <w:p>
      <w:r>
        <w:rPr>
          <w:b w:val="0"/>
          <w:i w:val="0"/>
        </w:rPr>
        <w:t xml:space="preserve">Книга Иоанна — ценное свидетельство мандаейской памяти, самоописания и литературной полемики. Но её нельзя использовать как биографический отчёт современника. В ней есть редакционные слои, сюжеты, связанные с разными религиозными средами, и повествования, которые исследователи анализируют как части истории традиции. McGrath подчёркивает, что порядок материала и рассказы об Иерусалиме не дают сами по себе независимой хроники событий I века. </w:t>
      </w:r>
      <w:hyperlink r:id="rId23">
        <w:r>
          <w:rPr>
            <w:color w:val="32717A"/>
            <w:u w:val="single"/>
          </w:rPr>
          <w:t>2</w:t>
        </w:r>
      </w:hyperlink>
    </w:p>
    <w:p>
      <w:r>
        <w:rPr>
          <w:b w:val="0"/>
          <w:i w:val="0"/>
        </w:rPr>
        <w:t xml:space="preserve">Самые ранние материально датируемые мандаейские свидетельства, на которые указывает Iranica, относятся к III–IV векам; это магические тексты, а не рукописи Книги Иоанна. Между деятельностью Иоанна в начале I века и такими датируемыми следами лежит значительный временной промежуток. Возможность более ранних устных или литургических традиций нельзя исключить, но она не равна доказанной непрерывности. </w:t>
      </w:r>
      <w:hyperlink r:id="rId34">
        <w:r>
          <w:rPr>
            <w:color w:val="32717A"/>
            <w:u w:val="single"/>
          </w:rPr>
          <w:t>6</w:t>
        </w:r>
      </w:hyperlink>
    </w:p>
    <w:p>
      <w:r>
        <w:rPr>
          <w:b w:val="0"/>
          <w:i w:val="0"/>
        </w:rPr>
        <w:t xml:space="preserve">Исследователи предлагали разные модели происхождения мандаизма. Одни допускают палестинскую предысторию и опосредованную связь с баптистскими группами; другие считают, что мандаизм сформировался прежде всего в южной Месопотамии поздней античности, перерабатывая разные религиозные влияния. Современные мандаейские авторы также могут отстаивать более сильную гипотезу преемственности. Такую позицию следует обозначать как позицию автора, а не как научный консенсус. </w:t>
      </w:r>
      <w:hyperlink r:id="rId34">
        <w:r>
          <w:rPr>
            <w:color w:val="32717A"/>
            <w:u w:val="single"/>
          </w:rPr>
          <w:t>4</w:t>
        </w:r>
      </w:hyperlink>
      <w:r>
        <w:rPr>
          <w:b w:val="0"/>
          <w:i w:val="0"/>
        </w:rPr>
        <w:t xml:space="preserve"> </w:t>
      </w:r>
      <w:hyperlink r:id="rId35">
        <w:r>
          <w:rPr>
            <w:color w:val="32717A"/>
            <w:u w:val="single"/>
          </w:rPr>
          <w:t>9</w:t>
        </w:r>
      </w:hyperlink>
    </w:p>
    <w:p>
      <w:r>
        <w:rPr>
          <w:b w:val="0"/>
          <w:i w:val="0"/>
        </w:rPr>
        <w:t xml:space="preserve">Наиболее осторожный итог таков: мандаейская традиция глубоко сохранила и переосмыслила память об Иоанне. Возможная культурная или ритуальная связь заслуживает исследования. Но имеющиеся источники не доказывают, что Иоанн был мандаем, что мандаи — те же самые его ученики или что Книга Иоанна была написана в его кругу. </w:t>
      </w:r>
      <w:hyperlink r:id="rId34">
        <w:r>
          <w:rPr>
            <w:color w:val="32717A"/>
            <w:u w:val="single"/>
          </w:rPr>
          <w:t>4</w:t>
        </w:r>
      </w:hyperlink>
      <w:r>
        <w:rPr>
          <w:b w:val="0"/>
          <w:i w:val="0"/>
        </w:rPr>
        <w:t xml:space="preserve"> </w:t>
      </w:r>
      <w:hyperlink r:id="rId33">
        <w:r>
          <w:rPr>
            <w:color w:val="32717A"/>
            <w:u w:val="single"/>
          </w:rPr>
          <w:t>7</w:t>
        </w:r>
      </w:hyperlink>
    </w:p>
    <w:p>
      <w:r>
        <w:br w:type="page"/>
      </w:r>
    </w:p>
    <w:p>
      <w:pPr>
        <w:pStyle w:val="Heading1"/>
      </w:pPr>
      <w:r>
        <w:rPr>
          <w:b w:val="0"/>
          <w:i w:val="0"/>
        </w:rPr>
        <w:t>Глава 10. Живая традиция и границы чтения</w:t>
      </w:r>
    </w:p>
    <w:p>
      <w:r>
        <w:rPr>
          <w:b w:val="0"/>
          <w:i w:val="0"/>
        </w:rPr>
        <w:t xml:space="preserve">Мандаи — не только персонажи древних книг. Это живая религиозная община, исторически связанная с южным Ираком и Хузестаном и сегодня широко представленная в диаспоре. Университетский проект Exeter описывает вынужденное расселение после 2003 года и подчёркивает, что точные современные оценки численности неизвестны. Австралийская Nasoraean Mandaean Association описывает свою работу как поддержку общины, сохранение культуры и помощь новым беженцам. Это внешнее академическое описание и отдельное общинное самоописание; одно не следует подменять другим. </w:t>
      </w:r>
      <w:hyperlink r:id="rId36">
        <w:r>
          <w:rPr>
            <w:color w:val="32717A"/>
            <w:u w:val="single"/>
          </w:rPr>
          <w:t>12</w:t>
        </w:r>
      </w:hyperlink>
    </w:p>
    <w:p>
      <w:r>
        <w:rPr>
          <w:b w:val="0"/>
          <w:i w:val="0"/>
        </w:rPr>
        <w:t xml:space="preserve">Роль священнослужителей и передача знания особенно важны для понимания того, почему опубликованный текст — не вся религиозная жизнь. Exeter отмечает, что исследователи сталкивались с ограничениями доступа к уникальному жреческому знанию, а письмо рукописей исторически было тесно связано со священнической средой. Эти наблюдения относятся к истории исследования и не описывают одинаково каждую современную общину. Но они напоминают: доступный файл не даёт автоматического разрешения на всякое знание или его воспроизведение. </w:t>
      </w:r>
      <w:hyperlink r:id="rId25">
        <w:r>
          <w:rPr>
            <w:color w:val="32717A"/>
            <w:u w:val="single"/>
          </w:rPr>
          <w:t>13</w:t>
        </w:r>
      </w:hyperlink>
    </w:p>
    <w:p>
      <w:r>
        <w:rPr>
          <w:b w:val="0"/>
          <w:i w:val="0"/>
        </w:rPr>
        <w:t xml:space="preserve">В этом томе мы поэтому не пересказываем закрытые формулы, не реконструируем порядок посвящений или ритуальных действий, не перечисляем непубличные сакральные имена и не выдаём книжную рубрику за пошаговую инструкцию. Речь идёт о литературной истории, библиотечных описаниях, научных изданиях и общеизвестном контексте. Это позволяет познакомиться с книгой, не выдавая читателя за участника или носителя традиции. </w:t>
      </w:r>
      <w:hyperlink r:id="rId25">
        <w:r>
          <w:rPr>
            <w:color w:val="32717A"/>
            <w:u w:val="single"/>
          </w:rPr>
          <w:t>13</w:t>
        </w:r>
      </w:hyperlink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688000" cy="426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voices-and-dialogu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26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</w:rPr>
        <w:t>Иллюстрация служит литературным образом, а не описанием современного обряда.</w:t>
      </w:r>
    </w:p>
    <w:p>
      <w:pPr>
        <w:pStyle w:val="Heading1"/>
      </w:pPr>
      <w:r>
        <w:rPr>
          <w:b w:val="0"/>
          <w:i w:val="0"/>
        </w:rPr>
        <w:t>Как читать без смешения уровней</w:t>
      </w:r>
    </w:p>
    <w:p>
      <w:r>
        <w:rPr>
          <w:b w:val="0"/>
          <w:i w:val="0"/>
        </w:rPr>
        <w:t>Перед тем как принять сильное историческое утверждение, полезно задать три вопроса.</w:t>
      </w:r>
    </w:p>
    <w:p>
      <w:r>
        <w:rPr>
          <w:b/>
          <w:i w:val="0"/>
        </w:rPr>
        <w:t>Что именно перед нами?</w:t>
      </w:r>
      <w:r>
        <w:rPr>
          <w:b w:val="0"/>
          <w:i w:val="0"/>
        </w:rPr>
        <w:t xml:space="preserve"> Конкретный список, печатная редакция, перевод, комментарий, полемический текст или описание практики? Дата одного кодекса не становится датой всей книги; перевод не становится рукописью; рубрика не обязательно существовала во всех свидетелях. </w:t>
      </w:r>
      <w:hyperlink r:id="rId26">
        <w:r>
          <w:rPr>
            <w:color w:val="32717A"/>
            <w:u w:val="single"/>
          </w:rPr>
          <w:t>2</w:t>
        </w:r>
      </w:hyperlink>
    </w:p>
    <w:p>
      <w:r>
        <w:rPr>
          <w:b/>
          <w:i w:val="0"/>
        </w:rPr>
        <w:t>Кто говорит?</w:t>
      </w:r>
      <w:r>
        <w:rPr>
          <w:b w:val="0"/>
          <w:i w:val="0"/>
        </w:rPr>
        <w:t xml:space="preserve"> Иосиф Флавий, христианский автор, мандаейский текст, современный исследователь и представитель общинной организации обладают разными позициями и разными видами знания. Полемический рассказ ценен для истории самопонимания и споров, но не всегда для реконструкции событий, которые он описывает. </w:t>
      </w:r>
      <w:hyperlink r:id="rId34">
        <w:r>
          <w:rPr>
            <w:color w:val="32717A"/>
            <w:u w:val="single"/>
          </w:rPr>
          <w:t>4</w:t>
        </w:r>
      </w:hyperlink>
      <w:r>
        <w:rPr>
          <w:b w:val="0"/>
          <w:i w:val="0"/>
        </w:rPr>
        <w:t xml:space="preserve"> </w:t>
      </w:r>
      <w:hyperlink r:id="rId36">
        <w:r>
          <w:rPr>
            <w:color w:val="32717A"/>
            <w:u w:val="single"/>
          </w:rPr>
          <w:t>7</w:t>
        </w:r>
      </w:hyperlink>
    </w:p>
    <w:p>
      <w:r>
        <w:rPr>
          <w:b/>
          <w:i w:val="0"/>
        </w:rPr>
        <w:t>Какой вывод действительно следует?</w:t>
      </w:r>
      <w:r>
        <w:rPr>
          <w:b w:val="0"/>
          <w:i w:val="0"/>
        </w:rPr>
        <w:t xml:space="preserve"> Сходство крещальных практик не доказывает тождества общин. Почитание Иоанна не доказывает, что он основал мандаизм. Появление Иисуса в позднем тексте не делает его рассказ свидетельством очевидца. Хорошее чтение сохраняет интерес и одновременно ограничивает выводы тем, что позволяют источники. </w:t>
      </w:r>
      <w:hyperlink r:id="rId23">
        <w:r>
          <w:rPr>
            <w:color w:val="32717A"/>
            <w:u w:val="single"/>
          </w:rPr>
          <w:t>3</w:t>
        </w:r>
      </w:hyperlink>
      <w:r>
        <w:rPr>
          <w:b w:val="0"/>
          <w:i w:val="0"/>
        </w:rPr>
        <w:t xml:space="preserve"> </w:t>
      </w:r>
      <w:hyperlink r:id="rId34">
        <w:r>
          <w:rPr>
            <w:color w:val="32717A"/>
            <w:u w:val="single"/>
          </w:rPr>
          <w:t>6</w:t>
        </w:r>
      </w:hyperlink>
    </w:p>
    <w:p>
      <w:pPr>
        <w:pStyle w:val="Heading1"/>
      </w:pPr>
      <w:r>
        <w:rPr>
          <w:b w:val="0"/>
          <w:i w:val="0"/>
        </w:rPr>
        <w:t>Краткий словарь</w:t>
      </w:r>
    </w:p>
    <w:p>
      <w:r>
        <w:rPr>
          <w:b/>
          <w:i w:val="0"/>
        </w:rPr>
        <w:t>Мандаи.</w:t>
      </w:r>
      <w:r>
        <w:rPr>
          <w:b w:val="0"/>
          <w:i w:val="0"/>
        </w:rPr>
        <w:t xml:space="preserve"> Название религиозной общины и её традиции.</w:t>
      </w:r>
    </w:p>
    <w:p>
      <w:r>
        <w:rPr>
          <w:b/>
          <w:i w:val="0"/>
        </w:rPr>
        <w:t>Мандейский / мандаикский язык.</w:t>
      </w:r>
      <w:r>
        <w:rPr>
          <w:b w:val="0"/>
          <w:i w:val="0"/>
        </w:rPr>
        <w:t xml:space="preserve"> Арамейская языковая традиция, обычно классифицируемая как юго-восточный арамейский диалект.</w:t>
      </w:r>
    </w:p>
    <w:p>
      <w:r>
        <w:rPr>
          <w:b/>
          <w:i w:val="0"/>
        </w:rPr>
        <w:t>Draša d-Yahya / Draša d-Yuhana.</w:t>
      </w:r>
      <w:r>
        <w:rPr>
          <w:b w:val="0"/>
          <w:i w:val="0"/>
        </w:rPr>
        <w:t xml:space="preserve"> Академические варианты названия мандаейского корпуса, передаваемого по-русски как Книга Иоанна.</w:t>
      </w:r>
    </w:p>
    <w:p>
      <w:r>
        <w:rPr>
          <w:b/>
          <w:i w:val="0"/>
        </w:rPr>
        <w:t>Sidra d-Yahya.</w:t>
      </w:r>
      <w:r>
        <w:rPr>
          <w:b w:val="0"/>
          <w:i w:val="0"/>
        </w:rPr>
        <w:t xml:space="preserve"> Знакомая форма названия, используемая в этом путеводителе; она не отменяет вариантов, встречающихся в академической литературе.</w:t>
      </w:r>
    </w:p>
    <w:p>
      <w:r>
        <w:rPr>
          <w:b/>
          <w:i w:val="0"/>
        </w:rPr>
        <w:t>Teachings of the Kings.</w:t>
      </w:r>
      <w:r>
        <w:rPr>
          <w:b w:val="0"/>
          <w:i w:val="0"/>
        </w:rPr>
        <w:t xml:space="preserve"> «Учения царей» — название, связанное с мандаейским текстом и принятое в современном критическом описании.</w:t>
      </w:r>
    </w:p>
    <w:p>
      <w:r>
        <w:rPr>
          <w:b/>
          <w:i w:val="0"/>
        </w:rPr>
        <w:t>Критическое издание.</w:t>
      </w:r>
      <w:r>
        <w:rPr>
          <w:b w:val="0"/>
          <w:i w:val="0"/>
        </w:rPr>
        <w:t xml:space="preserve"> Научная публикация, в которой редакторы сопоставляют текстовые свидетельства и обосновывают выбранные чтения.</w:t>
      </w:r>
    </w:p>
    <w:p>
      <w:r>
        <w:rPr>
          <w:b/>
          <w:i w:val="0"/>
        </w:rPr>
        <w:t>Колофон.</w:t>
      </w:r>
      <w:r>
        <w:rPr>
          <w:b w:val="0"/>
          <w:i w:val="0"/>
        </w:rPr>
        <w:t xml:space="preserve"> Рукописная запись, которая может сообщать о переписчике, времени или истории конкретного экземпляра.</w:t>
      </w:r>
    </w:p>
    <w:p>
      <w:r>
        <w:rPr>
          <w:b/>
          <w:i w:val="0"/>
        </w:rPr>
        <w:t>Ginza Rabba.</w:t>
      </w:r>
      <w:r>
        <w:rPr>
          <w:b w:val="0"/>
          <w:i w:val="0"/>
        </w:rPr>
        <w:t xml:space="preserve"> Крупный мандаейский сборник с Правой и Левой частями; это не синоним Книги Иоанна.</w:t>
      </w:r>
    </w:p>
    <w:p>
      <w:r>
        <w:rPr>
          <w:b/>
          <w:i w:val="0"/>
        </w:rPr>
        <w:t>Qolasta.</w:t>
      </w:r>
      <w:r>
        <w:rPr>
          <w:b w:val="0"/>
          <w:i w:val="0"/>
        </w:rPr>
        <w:t xml:space="preserve"> Мандаейский молитвенник и литургический корпус; его функция отличается от повествовательно-наставительного профиля Книги Иоанна.</w:t>
      </w:r>
    </w:p>
    <w:p>
      <w:pPr>
        <w:pStyle w:val="Heading1"/>
      </w:pPr>
      <w:r>
        <w:rPr>
          <w:b w:val="0"/>
          <w:i w:val="0"/>
        </w:rPr>
        <w:t>Источники</w:t>
      </w:r>
    </w:p>
    <w:p>
      <w:pPr>
        <w:pStyle w:val="ListNumber"/>
      </w:pPr>
      <w:hyperlink r:id="rId37">
        <w:r>
          <w:rPr>
            <w:color w:val="32717A"/>
            <w:u w:val="single"/>
          </w:rPr>
          <w:t>Charles G. Häberl and James F. McGrath, The Mandaean Book of John: Critical Edition, Translation, and Commentary</w:t>
        </w:r>
      </w:hyperlink>
      <w:r>
        <w:rPr>
          <w:b w:val="0"/>
          <w:i w:val="0"/>
        </w:rPr>
        <w:t>. Научное критическое издание с переводом и комментарием.</w:t>
      </w:r>
    </w:p>
    <w:p>
      <w:pPr>
        <w:pStyle w:val="ListNumber"/>
      </w:pPr>
      <w:hyperlink r:id="rId11">
        <w:r>
          <w:rPr>
            <w:color w:val="32717A"/>
            <w:u w:val="single"/>
          </w:rPr>
          <w:t>Häberl and McGrath, The Mandaean Book of John: Text and Translation</w:t>
        </w:r>
      </w:hyperlink>
      <w:r>
        <w:rPr>
          <w:b w:val="0"/>
          <w:i w:val="0"/>
        </w:rPr>
        <w:t>. Открытая университетская копия текста и английского перевода.</w:t>
      </w:r>
    </w:p>
    <w:p>
      <w:pPr>
        <w:pStyle w:val="ListNumber"/>
      </w:pPr>
      <w:hyperlink r:id="rId12">
        <w:r>
          <w:rPr>
            <w:color w:val="32717A"/>
            <w:u w:val="single"/>
          </w:rPr>
          <w:t>Kurt Rudolph, “Mandaeans II. The Mandaean Religion,” Encyclopaedia Iranica</w:t>
        </w:r>
      </w:hyperlink>
      <w:r>
        <w:rPr>
          <w:b w:val="0"/>
          <w:i w:val="0"/>
        </w:rPr>
        <w:t>. Справочная статья о книгах, литературе, богословии и ритуальном контексте.</w:t>
      </w:r>
    </w:p>
    <w:p>
      <w:pPr>
        <w:pStyle w:val="ListNumber"/>
      </w:pPr>
      <w:hyperlink r:id="rId23">
        <w:r>
          <w:rPr>
            <w:color w:val="32717A"/>
            <w:u w:val="single"/>
          </w:rPr>
          <w:t>James F. McGrath, “Polemic, Redaction, and History in the Mandaean Book of John,” ARAM</w:t>
        </w:r>
      </w:hyperlink>
      <w:r>
        <w:rPr>
          <w:b w:val="0"/>
          <w:i w:val="0"/>
        </w:rPr>
        <w:t>. Рецензируемое исследование редакционных слоёв и ограничений исторического чтения.</w:t>
      </w:r>
    </w:p>
    <w:p>
      <w:pPr>
        <w:pStyle w:val="ListNumber"/>
      </w:pPr>
      <w:hyperlink r:id="rId26">
        <w:r>
          <w:rPr>
            <w:color w:val="32717A"/>
            <w:u w:val="single"/>
          </w:rPr>
          <w:t>De Gruyter preview к критическому изданию</w:t>
        </w:r>
      </w:hyperlink>
      <w:r>
        <w:rPr>
          <w:b w:val="0"/>
          <w:i w:val="0"/>
        </w:rPr>
        <w:t>. Издательский материал о Codex Sabéen 10 и рукописной истории.</w:t>
      </w:r>
    </w:p>
    <w:p>
      <w:pPr>
        <w:pStyle w:val="ListNumber"/>
      </w:pPr>
      <w:hyperlink r:id="rId34">
        <w:r>
          <w:rPr>
            <w:color w:val="32717A"/>
            <w:u w:val="single"/>
          </w:rPr>
          <w:t>“Mandaeans I. History,” Encyclopaedia Iranica</w:t>
        </w:r>
      </w:hyperlink>
      <w:r>
        <w:rPr>
          <w:b w:val="0"/>
          <w:i w:val="0"/>
        </w:rPr>
        <w:t>. Академический обзор истории, датируемых свидетельств и конкурирующих гипотез происхождения.</w:t>
      </w:r>
    </w:p>
    <w:p>
      <w:pPr>
        <w:pStyle w:val="ListNumber"/>
      </w:pPr>
      <w:hyperlink r:id="rId33">
        <w:r>
          <w:rPr>
            <w:color w:val="32717A"/>
            <w:u w:val="single"/>
          </w:rPr>
          <w:t>Josephus, Antiquities XVIII.116–119</w:t>
        </w:r>
      </w:hyperlink>
      <w:r>
        <w:rPr>
          <w:b w:val="0"/>
          <w:i w:val="0"/>
        </w:rPr>
        <w:t>. Первичный исторический источник об Иоанне; он не связывает его с мандаями.</w:t>
      </w:r>
    </w:p>
    <w:p>
      <w:pPr>
        <w:pStyle w:val="ListNumber"/>
      </w:pPr>
      <w:hyperlink r:id="rId29">
        <w:r>
          <w:rPr>
            <w:color w:val="32717A"/>
            <w:u w:val="single"/>
          </w:rPr>
          <w:t>Charles G. Häberl, “Of Calendars—and Kings—and Why the Winter is Boiling Hot,” Journal of the Royal Asiatic Society</w:t>
        </w:r>
      </w:hyperlink>
      <w:r>
        <w:rPr>
          <w:b w:val="0"/>
          <w:i w:val="0"/>
        </w:rPr>
        <w:t>. Академическая библиографическая опора для работ Лидцбарского и Дроуэр.</w:t>
      </w:r>
    </w:p>
    <w:p>
      <w:pPr>
        <w:pStyle w:val="ListNumber"/>
      </w:pPr>
      <w:hyperlink r:id="rId35">
        <w:r>
          <w:rPr>
            <w:color w:val="32717A"/>
            <w:u w:val="single"/>
          </w:rPr>
          <w:t>B. H. S. Nasoraia, “Probing the Relationships Between Mandaeans and the Followers of John the Baptist,” Religions</w:t>
        </w:r>
      </w:hyperlink>
      <w:r>
        <w:rPr>
          <w:b w:val="0"/>
          <w:i w:val="0"/>
        </w:rPr>
        <w:t>. Современная работа, отстаивающая более сильную гипотезу преемственности; в книге она обозначена как позиционная, а не консенсусная.</w:t>
      </w:r>
    </w:p>
    <w:p>
      <w:pPr>
        <w:pStyle w:val="ListNumber"/>
      </w:pPr>
      <w:hyperlink r:id="rId28">
        <w:r>
          <w:rPr>
            <w:color w:val="32717A"/>
            <w:u w:val="single"/>
          </w:rPr>
          <w:t>Comprehensive Aramaic Lexicon, Bibliography for Mandaic</w:t>
        </w:r>
      </w:hyperlink>
      <w:r>
        <w:rPr>
          <w:b w:val="0"/>
          <w:i w:val="0"/>
        </w:rPr>
        <w:t xml:space="preserve"> и </w:t>
      </w:r>
      <w:hyperlink r:id="rId38">
        <w:r>
          <w:rPr>
            <w:color w:val="32717A"/>
            <w:u w:val="single"/>
          </w:rPr>
          <w:t>“Mandaeans V. Mandaic Language,” Encyclopaedia Iranica</w:t>
        </w:r>
      </w:hyperlink>
      <w:r>
        <w:rPr>
          <w:b w:val="0"/>
          <w:i w:val="0"/>
        </w:rPr>
        <w:t>. Академическая библиография по мандейским исследованиям и справка о языке.</w:t>
      </w:r>
    </w:p>
    <w:p>
      <w:pPr>
        <w:pStyle w:val="ListNumber"/>
      </w:pPr>
      <w:hyperlink r:id="rId30">
        <w:r>
          <w:rPr>
            <w:color w:val="32717A"/>
            <w:u w:val="single"/>
          </w:rPr>
          <w:t>Rutgers University, проект критического издания Книги Иоанна</w:t>
        </w:r>
      </w:hyperlink>
      <w:r>
        <w:rPr>
          <w:b w:val="0"/>
          <w:i w:val="0"/>
        </w:rPr>
        <w:t>. Университетская запись проекта 2012–2015 годов.</w:t>
      </w:r>
    </w:p>
    <w:p>
      <w:pPr>
        <w:pStyle w:val="ListNumber"/>
      </w:pPr>
      <w:hyperlink r:id="rId39">
        <w:r>
          <w:rPr>
            <w:color w:val="32717A"/>
            <w:u w:val="single"/>
          </w:rPr>
          <w:t>University of Exeter Mandaean Priests Project, “Who are the Mandaeans?”</w:t>
        </w:r>
      </w:hyperlink>
      <w:r>
        <w:rPr>
          <w:b w:val="0"/>
          <w:i w:val="0"/>
        </w:rPr>
        <w:t>. Университетское описание диаспоры и современной общины; демографические оценки там помечены как неопределённые.</w:t>
      </w:r>
    </w:p>
    <w:p>
      <w:pPr>
        <w:pStyle w:val="ListNumber"/>
      </w:pPr>
      <w:hyperlink r:id="rId25">
        <w:r>
          <w:rPr>
            <w:color w:val="32717A"/>
            <w:u w:val="single"/>
          </w:rPr>
          <w:t>University of Exeter Mandaean Priests Project, “Academic Studies of the Mandaeans”</w:t>
        </w:r>
      </w:hyperlink>
      <w:r>
        <w:rPr>
          <w:b w:val="0"/>
          <w:i w:val="0"/>
        </w:rPr>
        <w:t>. История изучения, рукописная культура и ограничения доступа к жреческому знанию.</w:t>
      </w:r>
    </w:p>
    <w:p>
      <w:pPr>
        <w:pStyle w:val="ListNumber"/>
      </w:pPr>
      <w:hyperlink r:id="rId36">
        <w:r>
          <w:rPr>
            <w:color w:val="32717A"/>
            <w:u w:val="single"/>
          </w:rPr>
          <w:t>Nasoraean Mandaean Association Inc., общинное самоописание</w:t>
        </w:r>
      </w:hyperlink>
      <w:r>
        <w:rPr>
          <w:b w:val="0"/>
          <w:i w:val="0"/>
        </w:rPr>
        <w:t>. Источник о заявленных целях конкретной современной организации, не перепись и не универсальное описание всех общин.</w:t>
      </w:r>
    </w:p>
    <w:p>
      <w:pPr>
        <w:spacing w:before="100" w:after="100"/>
      </w:pPr>
      <w:r>
        <w:t>————————————————————————</w:t>
      </w:r>
    </w:p>
    <w:p>
      <w:pPr>
        <w:pStyle w:val="Heading1"/>
      </w:pPr>
      <w:r>
        <w:rPr>
          <w:b w:val="0"/>
          <w:i w:val="0"/>
        </w:rPr>
        <w:t>Редакторские границы этой версии</w:t>
      </w:r>
    </w:p>
    <w:p>
      <w:r>
        <w:rPr>
          <w:b w:val="0"/>
          <w:i w:val="0"/>
        </w:rPr>
        <w:t>Этот путеводитель — оригинальный русский обзор. Он не копирует английские переводы Lidzbarski, Drower или Häberl–McGrath, не является критическим переводом с мандейского и не пытается восстановить закрытые аспекты религиозной практики. Когда в тексте говорится о 76 единицах, имеется в виду карта критического издания Häberl–McGrath. Когда приводится 1616 год, речь идёт о датировке конкретного известного списка. Исторические сведения об Иоанне, поздняя мандаейская память, академические гипотезы и современные общинные заявления разведены и подписаны источниками.</w:t>
      </w:r>
    </w:p>
    <w:p>
      <w:r>
        <w:rPr>
          <w:b w:val="0"/>
          <w:i w:val="0"/>
        </w:rPr>
        <w:t>Иллюстрации созданы специально для этого тома как авторские метафоры. Они не являются факсимиле рукописей, реконструкцией древнего города, изображением реального обряда или свидетельством о том, как выглядели исторические персонажи.</w:t>
      </w:r>
    </w:p>
    <w:sectPr w:rsidR="00FC693F" w:rsidRPr="0006063C" w:rsidSect="00034616">
      <w:footerReference w:type="default" r:id="rId9"/>
      <w:pgSz w:w="11906" w:h="16838"/>
      <w:pgMar w:top="1191" w:right="1191" w:bottom="124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color w:val="8A765E"/>
        <w:sz w:val="16"/>
      </w:rPr>
      <w:t xml:space="preserve">HARVYRÐ  ·  КНИГА ИОАННА  ·  </w:t>
    </w: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2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C2C47"/>
      <w:sz w:val="4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43C5A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76F75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ind w:left="340" w:right="170"/>
    </w:pPr>
    <w:rPr>
      <w:rFonts w:ascii="Times New Roman" w:hAnsi="Times New Roman"/>
      <w:i/>
      <w:iCs/>
      <w:color w:val="4E596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https://butler.elsevierpure.com/ws/portalfiles/portal/40125718/The%20Mandaean%20Book%20of%20John_%20Text%20and%20Translation.pdf" TargetMode="External"/><Relationship Id="rId12" Type="http://schemas.openxmlformats.org/officeDocument/2006/relationships/hyperlink" Target="https://www.iranicaonline.org/articles/mandaeans/mandaeans-ii-the-mandaean-religion/" TargetMode="External"/><Relationship Id="rId13" Type="http://schemas.openxmlformats.org/officeDocument/2006/relationships/hyperlink" Target="#&#1075;&#1083;&#1072;&#1074;&#1072;-1-&#1095;&#1090;&#1086;-&#1089;&#1082;&#1088;&#1099;&#1074;&#1072;&#1077;&#1090;&#1089;&#1103;-&#1079;&#1072;-&#1085;&#1072;&#1079;&#1074;&#1072;&#1085;&#1080;&#1077;&#1084;" TargetMode="External"/><Relationship Id="rId14" Type="http://schemas.openxmlformats.org/officeDocument/2006/relationships/hyperlink" Target="#&#1075;&#1083;&#1072;&#1074;&#1072;-2-&#1082;&#1072;&#1088;&#1090;&#1072;-&#1089;&#1086;&#1089;&#1090;&#1072;&#1074;&#1085;&#1086;&#1075;&#1086;-&#1082;&#1086;&#1088;&#1087;&#1091;&#1089;&#1072;" TargetMode="External"/><Relationship Id="rId15" Type="http://schemas.openxmlformats.org/officeDocument/2006/relationships/hyperlink" Target="#&#1075;&#1083;&#1072;&#1074;&#1072;-3-&#1078;&#1072;&#1085;&#1088;&#1099;-&#1085;&#1077;-&#1086;&#1076;&#1080;&#1085;-&#1075;&#1086;&#1083;&#1086;&#1089;-&#1080;-&#1085;&#1077;-&#1086;&#1076;&#1080;&#1085;-&#1089;&#1102;&#1078;&#1077;&#1090;" TargetMode="External"/><Relationship Id="rId16" Type="http://schemas.openxmlformats.org/officeDocument/2006/relationships/hyperlink" Target="#&#1075;&#1083;&#1072;&#1074;&#1072;-4-&#1103;&#1093;&#1100;&#1103;-&#1084;&#1080;&#1088;&#1080;&#1072;&#1080;-&#1080;-&#1076;&#1088;&#1091;&#1075;&#1080;&#1077;-&#1092;&#1080;&#1075;&#1091;&#1088;&#1099;" TargetMode="External"/><Relationship Id="rId17" Type="http://schemas.openxmlformats.org/officeDocument/2006/relationships/hyperlink" Target="#&#1075;&#1083;&#1072;&#1074;&#1072;-5-&#1089;&#1074;&#1077;&#1090;-&#1078;&#1080;&#1079;&#1085;&#1100;-&#1080;-&#1080;&#1089;&#1090;&#1080;&#1085;&#1072;" TargetMode="External"/><Relationship Id="rId18" Type="http://schemas.openxmlformats.org/officeDocument/2006/relationships/hyperlink" Target="#&#1075;&#1083;&#1072;&#1074;&#1072;-6-&#1088;&#1091;&#1082;&#1086;&#1087;&#1080;&#1089;&#1100;-&#1080;-&#1076;&#1072;&#1090;&#1072;" TargetMode="External"/><Relationship Id="rId19" Type="http://schemas.openxmlformats.org/officeDocument/2006/relationships/hyperlink" Target="#&#1075;&#1083;&#1072;&#1074;&#1072;-7-&#1082;&#1072;&#1082;-&#1090;&#1077;&#1082;&#1089;&#1090;-&#1089;&#1090;&#1072;&#1083;-&#1076;&#1086;&#1089;&#1090;&#1091;&#1087;&#1077;&#1085;-&#1074;-&#1087;&#1077;&#1095;&#1072;&#1090;&#1080;" TargetMode="External"/><Relationship Id="rId20" Type="http://schemas.openxmlformats.org/officeDocument/2006/relationships/hyperlink" Target="#&#1075;&#1083;&#1072;&#1074;&#1072;-8-&#1090;&#1088;&#1080;-&#1088;&#1072;&#1079;&#1085;&#1099;&#1077;-&#1082;&#1085;&#1080;&#1075;&#1080;-&#1080;&#1086;&#1072;&#1085;&#1085;-ginza-&#1080;-qolasta" TargetMode="External"/><Relationship Id="rId21" Type="http://schemas.openxmlformats.org/officeDocument/2006/relationships/hyperlink" Target="#&#1075;&#1083;&#1072;&#1074;&#1072;-9-&#1080;&#1089;&#1090;&#1086;&#1088;&#1080;&#1095;&#1077;&#1089;&#1082;&#1080;&#1081;-&#1080;&#1086;&#1072;&#1085;&#1085;-&#1080;-&#1087;&#1086;&#1079;&#1076;&#1085;&#1103;&#1103;-&#1087;&#1072;&#1084;&#1103;&#1090;&#1100;" TargetMode="External"/><Relationship Id="rId22" Type="http://schemas.openxmlformats.org/officeDocument/2006/relationships/hyperlink" Target="#&#1075;&#1083;&#1072;&#1074;&#1072;-10-&#1078;&#1080;&#1074;&#1072;&#1103;-&#1090;&#1088;&#1072;&#1076;&#1080;&#1094;&#1080;&#1103;-&#1080;-&#1075;&#1088;&#1072;&#1085;&#1080;&#1094;&#1099;-&#1095;&#1090;&#1077;&#1085;&#1080;&#1103;" TargetMode="External"/><Relationship Id="rId23" Type="http://schemas.openxmlformats.org/officeDocument/2006/relationships/hyperlink" Target="https://digitalcommons.butler.edu/cgi/viewcontent.cgi?article=1941&amp;context=facsch_papers" TargetMode="External"/><Relationship Id="rId24" Type="http://schemas.openxmlformats.org/officeDocument/2006/relationships/image" Target="media/image2.jpg"/><Relationship Id="rId25" Type="http://schemas.openxmlformats.org/officeDocument/2006/relationships/hyperlink" Target="https://mandaeanpriests.exeter.ac.uk/academic-studies-of-the-mandaeans" TargetMode="External"/><Relationship Id="rId26" Type="http://schemas.openxmlformats.org/officeDocument/2006/relationships/hyperlink" Target="https://api.pageplace.de/preview/DT0400.9783110487862_A33482931/preview-9783110487862_A33482931.pdf" TargetMode="External"/><Relationship Id="rId27" Type="http://schemas.openxmlformats.org/officeDocument/2006/relationships/image" Target="media/image3.jpg"/><Relationship Id="rId28" Type="http://schemas.openxmlformats.org/officeDocument/2006/relationships/hyperlink" Target="https://cal.huc.edu/getbibsigla.php?myauthor=Mandaic" TargetMode="External"/><Relationship Id="rId29" Type="http://schemas.openxmlformats.org/officeDocument/2006/relationships/hyperlink" Target="https://www.cambridge.org/core/journals/journal-of-the-royal-asian-society/article/of-calendarsand-kingsand-why-the-winter-is-boiling-hot/074CF5A8A65C73265413E0A4F143D9D1" TargetMode="External"/><Relationship Id="rId30" Type="http://schemas.openxmlformats.org/officeDocument/2006/relationships/hyperlink" Target="https://www.researchwithrutgers.org/en/projects/the-mandaean-book-of-john-critical-edition-translation-and-commen/" TargetMode="External"/><Relationship Id="rId31" Type="http://schemas.openxmlformats.org/officeDocument/2006/relationships/image" Target="media/image4.jpg"/><Relationship Id="rId32" Type="http://schemas.openxmlformats.org/officeDocument/2006/relationships/image" Target="media/image5.jpg"/><Relationship Id="rId33" Type="http://schemas.openxmlformats.org/officeDocument/2006/relationships/hyperlink" Target="http://penelope.uchicago.edu/josephus/ant-18.html" TargetMode="External"/><Relationship Id="rId34" Type="http://schemas.openxmlformats.org/officeDocument/2006/relationships/hyperlink" Target="https://www.iranicaonline.org/articles/mandaeans/mandaeans-i-history/" TargetMode="External"/><Relationship Id="rId35" Type="http://schemas.openxmlformats.org/officeDocument/2006/relationships/hyperlink" Target="https://www.mdpi.com/2077-1444/16/1/14" TargetMode="External"/><Relationship Id="rId36" Type="http://schemas.openxmlformats.org/officeDocument/2006/relationships/hyperlink" Target="https://scoa.org.au/members/the-nasoraean-mandaean-association-inc/" TargetMode="External"/><Relationship Id="rId37" Type="http://schemas.openxmlformats.org/officeDocument/2006/relationships/hyperlink" Target="https://doi.org/10.1515/9783110487862" TargetMode="External"/><Relationship Id="rId38" Type="http://schemas.openxmlformats.org/officeDocument/2006/relationships/hyperlink" Target="https://www.iranicaonline.org/articles/mandaeans/mandaeans-v-mandaic-language/" TargetMode="External"/><Relationship Id="rId39" Type="http://schemas.openxmlformats.org/officeDocument/2006/relationships/hyperlink" Target="https://mandaeanpriests.exeter.ac.uk/the-mandaea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