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7F1E5"/>
  <w:body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79792" cy="10607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обложка_уточнить_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79792" cy="1060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5" w:h="16838"/>
          <w:pgMar w:top="58" w:right="58" w:bottom="58" w:left="58" w:header="0" w:footer="0" w:gutter="0"/>
          <w:cols w:space="720"/>
          <w:titlePg/>
          <w:docGrid w:linePitch="360"/>
        </w:sectPr>
      </w:pP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66360" cy="63992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хема_выбора_уточнени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6399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erif" w:hAnsi="Noto Serif" w:eastAsia="Noto Serif"/>
          <w:i/>
          <w:color w:val="5B6057"/>
          <w:sz w:val="16"/>
        </w:rPr>
        <w:t>Схема выбора между действием, точным уточнением и безопасной остановкой</w:t>
      </w:r>
    </w:p>
    <w:p>
      <w:pPr>
        <w:spacing w:before="80" w:after="140" w:line="300" w:lineRule="auto"/>
        <w:ind w:left="259" w:right="173"/>
        <w:pBdr>
          <w:left w:val="single" w:sz="14" w:space="7" w:color="B89657"/>
        </w:pBdr>
        <w:shd w:fill="F2EAD7" w:val="clear"/>
      </w:pPr>
      <w:r>
        <w:rPr>
          <w:rFonts w:ascii="Noto Serif" w:hAnsi="Noto Serif" w:eastAsia="Noto Serif"/>
          <w:b/>
          <w:i w:val="0"/>
          <w:color w:val="29342F"/>
          <w:sz w:val="20"/>
        </w:rPr>
        <w:t>Главная находка</w:t>
      </w:r>
      <w:r>
        <w:br/>
      </w:r>
      <w:r>
        <w:rPr>
          <w:rFonts w:ascii="Noto Serif" w:hAnsi="Noto Serif" w:eastAsia="Noto Serif"/>
          <w:b w:val="0"/>
          <w:i w:val="0"/>
          <w:color w:val="29342F"/>
          <w:sz w:val="20"/>
        </w:rPr>
        <w:br/>
        <w:t xml:space="preserve">Не всякая неопределённость требует вопроса — и не всякий вопрос помогает. Полезная система должна сначала определить, </w:t>
      </w:r>
      <w:r>
        <w:rPr>
          <w:rFonts w:ascii="Noto Serif" w:hAnsi="Noto Serif" w:eastAsia="Noto Serif"/>
          <w:b w:val="0"/>
          <w:i/>
          <w:color w:val="29342F"/>
          <w:sz w:val="20"/>
        </w:rPr>
        <w:t>какой именно элемент решения неизвестен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(референт, цель, способ, срок или полномочие), затем сравнить ожидаемую цену ошибки с ценой дополнительного хода, задать короткий вопрос, различающий возможные действия, и после ответа проверить, исчезло ли исходное расхождение. Это исследовательский синтез, а не уже проверенный алгоритм.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/>
          <w:color w:val="29342F"/>
          <w:sz w:val="20"/>
        </w:rPr>
        <w:t>❧ · ✦ · ❧</w:t>
      </w:r>
    </w:p>
    <w:p>
      <w:pPr>
        <w:pStyle w:val="Heading1"/>
        <w:keepNext/>
      </w:pPr>
      <w:r>
        <w:rPr>
          <w:rFonts w:ascii="Noto Serif" w:hAnsi="Noto Serif" w:eastAsia="Noto Serif"/>
          <w:color w:val="A98749"/>
          <w:sz w:val="22"/>
        </w:rPr>
        <w:t xml:space="preserve">❧  </w:t>
      </w:r>
      <w:r>
        <w:rPr>
          <w:rFonts w:ascii="Noto Serif" w:hAnsi="Noto Serif" w:eastAsia="Noto Serif"/>
          <w:b/>
          <w:i w:val="0"/>
          <w:color w:val="29342F"/>
          <w:sz w:val="20"/>
        </w:rPr>
        <w:t>В чём практическая проблема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Представим просьбу: «Перешли Марине последнюю версию». Если в истории есть две Марины или несколько документов, системе может быть неизвестно не «насколько она уверена вообще», а конкретно — </w:t>
      </w:r>
      <w:r>
        <w:rPr>
          <w:rFonts w:ascii="Noto Serif" w:hAnsi="Noto Serif" w:eastAsia="Noto Serif"/>
          <w:b/>
          <w:i w:val="0"/>
          <w:color w:val="29342F"/>
          <w:sz w:val="20"/>
        </w:rPr>
        <w:t>какую пару “получатель × документ” имел в виду человек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>. Общий вопрос «Можете уточнить?» перекладывает поиск проблемы на пользователя. Уверенный выбор наугад рискует отправить не тот файл не тому адресату.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>Эти случаи содержат по меньшей мере три разные задачи:</w:t>
      </w:r>
    </w:p>
    <w:p>
      <w:pPr>
        <w:pStyle w:val="ListBullet"/>
        <w:spacing w:after="60"/>
      </w:pPr>
      <w:r>
        <w:rPr>
          <w:rFonts w:ascii="Noto Serif" w:hAnsi="Noto Serif" w:eastAsia="Noto Serif"/>
          <w:b/>
          <w:i w:val="0"/>
          <w:color w:val="29342F"/>
          <w:sz w:val="20"/>
        </w:rPr>
        <w:t>Обнаружить пробел: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есть ли несколько правдоподобных прочтений, которые ведут к разным действиям?</w:t>
      </w:r>
    </w:p>
    <w:p>
      <w:pPr>
        <w:pStyle w:val="ListBullet"/>
        <w:spacing w:after="60"/>
      </w:pPr>
      <w:r>
        <w:rPr>
          <w:rFonts w:ascii="Noto Serif" w:hAnsi="Noto Serif" w:eastAsia="Noto Serif"/>
          <w:b/>
          <w:i w:val="0"/>
          <w:color w:val="29342F"/>
          <w:sz w:val="20"/>
        </w:rPr>
        <w:t>Локализовать его: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какое поле не определено — объект, цель, способ, срок, адресат или разрешение?</w:t>
      </w:r>
    </w:p>
    <w:p>
      <w:pPr>
        <w:pStyle w:val="ListBullet"/>
        <w:spacing w:after="60"/>
      </w:pPr>
      <w:r>
        <w:rPr>
          <w:rFonts w:ascii="Noto Serif" w:hAnsi="Noto Serif" w:eastAsia="Noto Serif"/>
          <w:b/>
          <w:i w:val="0"/>
          <w:color w:val="29342F"/>
          <w:sz w:val="20"/>
        </w:rPr>
        <w:t>Исправить и проверить: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какой минимальный вопрос разделит варианты, и подтверждает ли ответ именно нужное поле?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>Исследования давно рассматривают вопросы-уточнения как средство восстановить понимание, а более новые работы добавляют оценку неопределённости, стоимости вопроса и последствий действия.[1–6] Однако это не одно и то же: способность заметить риск не гарантирует, что система задаст точный вопрос; хороший вопрос не гарантирует, что ответ будет правильно встроен в общий контекст.</w:t>
      </w:r>
    </w:p>
    <w:p>
      <w:r>
        <w:br w:type="page"/>
      </w:r>
    </w:p>
    <w:p>
      <w:pPr>
        <w:pStyle w:val="Heading1"/>
        <w:keepNext/>
      </w:pPr>
      <w:r>
        <w:rPr>
          <w:rFonts w:ascii="Noto Serif" w:hAnsi="Noto Serif" w:eastAsia="Noto Serif"/>
          <w:color w:val="A98749"/>
          <w:sz w:val="22"/>
        </w:rPr>
        <w:t xml:space="preserve">❧  </w:t>
      </w:r>
      <w:r>
        <w:rPr>
          <w:rFonts w:ascii="Noto Serif" w:hAnsi="Noto Serif" w:eastAsia="Noto Serif"/>
          <w:b/>
          <w:i w:val="0"/>
          <w:color w:val="29342F"/>
          <w:sz w:val="20"/>
        </w:rPr>
        <w:t>Что показывают исследования</w:t>
      </w:r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0"/>
        </w:rPr>
        <w:t>1. Исправление разговора устроено поэтапно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>В анализе естественных разговоров Schegloff, Jefferson и Sacks описывают, как участники обнаруживают и исправляют проблемы речи и понимания. Часто говорящий сам исправляет свою реплику; если проблема требует вмешательства собеседника, участники используют способы уточнения, которые помогают локализовать источник непонимания.[1] Это важный ориентир для диалоговой системы: не трактовать каждую неясность как повод для широкого допроса, а искать локальную точку, где разошлись возможные прочтения.</w:t>
      </w:r>
    </w:p>
    <w:p>
      <w:pPr>
        <w:spacing w:after="120" w:line="324" w:lineRule="auto"/>
      </w:pPr>
      <w:r>
        <w:rPr>
          <w:rFonts w:ascii="Noto Serif" w:hAnsi="Noto Serif" w:eastAsia="Noto Serif"/>
          <w:b/>
          <w:i w:val="0"/>
          <w:color w:val="29342F"/>
          <w:sz w:val="20"/>
        </w:rPr>
        <w:t>Ограничение: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это анализ человеческих разговоров, а не эксперимент по безопасности цифрового помощника. Он описывает организацию ремонта реплик, но не устанавливает оптимальный порог для автоматического действия.</w:t>
      </w:r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0"/>
        </w:rPr>
        <w:t>2. Общее понимание надо не предполагать, а устанавливать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>Clark и Brennan рассматривают grounding — совместное установление того, что собеседники поняли друг друга. Для этого важны не только слова, но и доступные подтверждения, канал общения и цена обратной связи.[2] В терминах ИИ это означает: ответ пользователя должен быть свидетельством о конкретном недостающем факте, а не просто ещё одной строкой текста, после которой система автоматически объявляет задачу ясной.</w:t>
      </w:r>
    </w:p>
    <w:p>
      <w:pPr>
        <w:spacing w:after="120" w:line="324" w:lineRule="auto"/>
      </w:pPr>
      <w:r>
        <w:rPr>
          <w:rFonts w:ascii="Noto Serif" w:hAnsi="Noto Serif" w:eastAsia="Noto Serif"/>
          <w:b/>
          <w:i w:val="0"/>
          <w:color w:val="29342F"/>
          <w:sz w:val="20"/>
        </w:rPr>
        <w:t>Ограничение: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это теоретическая глава о коммуникации, не сравнительный тест современных LLM и не спецификация готового протокола.</w:t>
      </w:r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0"/>
        </w:rPr>
        <w:t>3. Цена вопроса и качество вопроса — отдельные части решения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>Wang и Ai построили риск-управляемую систему conversational search. Она выбирает между показом результатов и уточнением с учётом не только полноты запроса, но и качества доступного вопроса; авторы также моделируют терпение и переносимость пользователя к плохим вопросам. В симуляциях на MSDialog, Ubuntu Dialog Corpus и OpenDialKG политика превосходила несколько базовых стратегий в большинстве экспериментальных условий.[3]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>Это важная поправка к простому правилу «если не уверен — спроси»: вопрос сам может быть неуместным, а череда уточнений может утомить пользователя.</w:t>
      </w:r>
    </w:p>
    <w:p>
      <w:pPr>
        <w:spacing w:after="120" w:line="324" w:lineRule="auto"/>
      </w:pPr>
      <w:r>
        <w:rPr>
          <w:rFonts w:ascii="Noto Serif" w:hAnsi="Noto Serif" w:eastAsia="Noto Serif"/>
          <w:b/>
          <w:i w:val="0"/>
          <w:color w:val="29342F"/>
          <w:sz w:val="20"/>
        </w:rPr>
        <w:t>Ограничение: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это симуляции диалогового поиска с пользовательскими моделями; результат не доказывает, что та же политика безопасна при отправке писем, платежах или других внешних действиях.</w:t>
      </w:r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0"/>
        </w:rPr>
        <w:t>4. Неуверенность модели не равна человеческому желанию уточнить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>В совместной диалоговой задаче Testoni и Fernández показали, что неопределённость модели не повторяет человеческие паттерны запросов на уточнение. Их стратегия, строившая вопросы на оценке неопределённости самой модели, улучшила успешность задачи относительно ряда альтернатив.[4] Это предостерегает от обучения политики только на том, когда люди в датасете задавали вопрос: пропущенный человеком вопрос ещё не означает, что система может безопасно действовать.</w:t>
      </w:r>
    </w:p>
    <w:p>
      <w:pPr>
        <w:spacing w:after="120" w:line="324" w:lineRule="auto"/>
      </w:pPr>
      <w:r>
        <w:rPr>
          <w:rFonts w:ascii="Noto Serif" w:hAnsi="Noto Serif" w:eastAsia="Noto Serif"/>
          <w:b/>
          <w:i w:val="0"/>
          <w:color w:val="29342F"/>
          <w:sz w:val="20"/>
        </w:rPr>
        <w:t>Ограничение: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вывод относится к конкретной задаче совместного диалога и её показателям успеха; он не задаёт универсальную формулу вопроса для всех действий.</w:t>
      </w:r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0"/>
        </w:rPr>
        <w:t>5. Скрытое расхождение общего контекста трудно заметить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>Sarkar и коллеги изучили сбои grounding в технических беседах Ubuntu IRC. Различия в предположениях и убеждениях собеседников часто сопровождались «трением» в диалоге; это трение было связано с успешностью решения задачи. LLM распознавали явные случаи лучше, чем тонкие, зависящие от прагматики и предметной области.[5]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Для агента важен вывод: некоторые проблемы выглядят как обычное продолжение разговора, пока не выяснено, что у пользователя и системы разные представления о том, </w:t>
      </w:r>
      <w:r>
        <w:rPr>
          <w:rFonts w:ascii="Noto Serif" w:hAnsi="Noto Serif" w:eastAsia="Noto Serif"/>
          <w:b w:val="0"/>
          <w:i/>
          <w:color w:val="29342F"/>
          <w:sz w:val="20"/>
        </w:rPr>
        <w:t>какой объект, состояние или предыдущий шаг уже общий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>.</w:t>
      </w:r>
    </w:p>
    <w:p>
      <w:pPr>
        <w:spacing w:after="120" w:line="324" w:lineRule="auto"/>
      </w:pPr>
      <w:r>
        <w:rPr>
          <w:rFonts w:ascii="Noto Serif" w:hAnsi="Noto Serif" w:eastAsia="Noto Serif"/>
          <w:b/>
          <w:i w:val="0"/>
          <w:color w:val="29342F"/>
          <w:sz w:val="20"/>
        </w:rPr>
        <w:t>Ограничение: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наблюдаемая связь с успехом не доказывает, что трение само по себе причинно вызывает неудачу; корпус технических IRC-диалогов не представляет все бытовые и профессиональные сценарии.</w:t>
      </w:r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0"/>
        </w:rPr>
        <w:t>6. Люди учитывают риск ошибки, а не только сам факт сомнения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>В препринте 2026 года Tsvilodub, Mulligan, Snider, Hawkins и Franke проверяют выбор между уточняющим вопросом и действием. В двух экспериментах варьировали неопределённость относительно цели или референта и стоимость альтернативного ответа либо ошибочного действия. В первом участвовали 125 человек; во втором — 120, двое исключены после проверки внимания. В среднем большая неопределённость и более дорогая ошибка делали уточнение привлекательнее, а прямое действие — менее привлекательным.[6]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>Это ближе всего к правилу «сначала спросить, если цена неверного действия велика», но всё ещё не готовый автоматический policy. В статье предлагается модель ожидаемого сожаления: спрашивать стоит, когда возможная потеря от действия без полной информации превышает цену получения уточнения.</w:t>
      </w:r>
    </w:p>
    <w:p>
      <w:pPr>
        <w:spacing w:after="120" w:line="324" w:lineRule="auto"/>
      </w:pPr>
      <w:r>
        <w:rPr>
          <w:rFonts w:ascii="Noto Serif" w:hAnsi="Noto Serif" w:eastAsia="Noto Serif"/>
          <w:b/>
          <w:i w:val="0"/>
          <w:color w:val="29342F"/>
          <w:sz w:val="20"/>
        </w:rPr>
        <w:t>Ограничение: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это arXiv-препринт, не следует называть его рецензированной журнальной статьёй. Сценарии и ответы участников не равны наблюдению за помощником, который реально выполняет действия; перенос на живое использование остаётся открытым.</w:t>
      </w:r>
    </w:p>
    <w:p>
      <w:r>
        <w:br w:type="page"/>
      </w:r>
    </w:p>
    <w:p>
      <w:pPr>
        <w:pStyle w:val="Heading1"/>
        <w:keepNext/>
      </w:pPr>
      <w:r>
        <w:rPr>
          <w:rFonts w:ascii="Noto Serif" w:hAnsi="Noto Serif" w:eastAsia="Noto Serif"/>
          <w:color w:val="A98749"/>
          <w:sz w:val="22"/>
        </w:rPr>
        <w:t xml:space="preserve">❧  </w:t>
      </w:r>
      <w:r>
        <w:rPr>
          <w:rFonts w:ascii="Noto Serif" w:hAnsi="Noto Serif" w:eastAsia="Noto Serif"/>
          <w:b/>
          <w:i w:val="0"/>
          <w:color w:val="29342F"/>
          <w:sz w:val="20"/>
        </w:rPr>
        <w:t>Что уже есть в проекте — и чего ещё не хватает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В материалах Zauchit уже рассматриваются выбор полезной проверки при ограниченном бюджете и связь неоднозначной референции со знаниями конкретного партнёра. Поэтому новая тема </w:t>
      </w:r>
      <w:r>
        <w:rPr>
          <w:rFonts w:ascii="Noto Serif" w:hAnsi="Noto Serif" w:eastAsia="Noto Serif"/>
          <w:b/>
          <w:i w:val="0"/>
          <w:color w:val="29342F"/>
          <w:sz w:val="20"/>
        </w:rPr>
        <w:t>не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повторяет общий вопрос «когда спросить, а когда действовать». Она сужает следующий шаг: как обнаружить </w:t>
      </w:r>
      <w:r>
        <w:rPr>
          <w:rFonts w:ascii="Noto Serif" w:hAnsi="Noto Serif" w:eastAsia="Noto Serif"/>
          <w:b w:val="0"/>
          <w:i/>
          <w:color w:val="29342F"/>
          <w:sz w:val="20"/>
        </w:rPr>
        <w:t>тип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недостающей информации и задать вопрос, который различает действия, а не просто сообщает «модель сомневается».[7]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>Рабочая схема состоит из четырёх звеньев:</w:t>
      </w:r>
    </w:p>
    <w:p>
      <w:pPr>
        <w:pStyle w:val="ListNumber"/>
        <w:spacing w:after="60"/>
      </w:pPr>
      <w:r>
        <w:rPr>
          <w:rFonts w:ascii="Noto Serif" w:hAnsi="Noto Serif" w:eastAsia="Noto Serif"/>
          <w:b/>
          <w:i w:val="0"/>
          <w:color w:val="29342F"/>
          <w:sz w:val="20"/>
        </w:rPr>
        <w:t>Найти место расхождения.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Например, референт («какой файл?»), цель («для чего использовать?»), способ («как именно?»), срок («когда?») или полномочие («можно ли отправлять?»).</w:t>
      </w:r>
    </w:p>
    <w:p>
      <w:pPr>
        <w:pStyle w:val="ListNumber"/>
        <w:spacing w:after="60"/>
      </w:pPr>
      <w:r>
        <w:rPr>
          <w:rFonts w:ascii="Noto Serif" w:hAnsi="Noto Serif" w:eastAsia="Noto Serif"/>
          <w:b/>
          <w:i w:val="0"/>
          <w:color w:val="29342F"/>
          <w:sz w:val="20"/>
        </w:rPr>
        <w:t>Оценить последствия.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Если разные прочтения ведут к одному и тому же безопасному, обратимому результату, дополнительный вопрос может быть лишним. Если они ведут к разным или труднообратимым внешним действиям, цена угадывания выше.</w:t>
      </w:r>
    </w:p>
    <w:p>
      <w:pPr>
        <w:pStyle w:val="ListNumber"/>
        <w:spacing w:after="60"/>
      </w:pPr>
      <w:r>
        <w:rPr>
          <w:rFonts w:ascii="Noto Serif" w:hAnsi="Noto Serif" w:eastAsia="Noto Serif"/>
          <w:b/>
          <w:i w:val="0"/>
          <w:color w:val="29342F"/>
          <w:sz w:val="20"/>
        </w:rPr>
        <w:t>Сформулировать минимальный разделяющий вопрос.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Хороший вопрос должен исключать хотя бы одну опасную альтернативу, а не просить пользователя заново пересказать всю задачу.</w:t>
      </w:r>
    </w:p>
    <w:p>
      <w:pPr>
        <w:pStyle w:val="ListNumber"/>
        <w:spacing w:after="60"/>
      </w:pPr>
      <w:r>
        <w:rPr>
          <w:rFonts w:ascii="Noto Serif" w:hAnsi="Noto Serif" w:eastAsia="Noto Serif"/>
          <w:b/>
          <w:i w:val="0"/>
          <w:color w:val="29342F"/>
          <w:sz w:val="20"/>
        </w:rPr>
        <w:t>Проверить ответ.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Ответ принят как разрешение только если он различает исходные варианты. Если после ответа остаются две разные трактовки, не считать общее понимание восстановленным.</w:t>
      </w:r>
    </w:p>
    <w:p>
      <w:pPr>
        <w:spacing w:before="80" w:after="140" w:line="300" w:lineRule="auto"/>
        <w:ind w:left="259" w:right="173"/>
        <w:pBdr>
          <w:left w:val="single" w:sz="14" w:space="7" w:color="B89657"/>
        </w:pBdr>
        <w:shd w:fill="F2EAD7" w:val="clear"/>
      </w:pPr>
      <w:r>
        <w:rPr>
          <w:rFonts w:ascii="Noto Serif" w:hAnsi="Noto Serif" w:eastAsia="Noto Serif"/>
          <w:b/>
          <w:i w:val="0"/>
          <w:color w:val="29342F"/>
          <w:sz w:val="20"/>
        </w:rPr>
        <w:t>Рабочее правило — гипотеза, а не установленный стандарт</w:t>
      </w:r>
      <w:r>
        <w:br/>
      </w:r>
      <w:r>
        <w:rPr>
          <w:rFonts w:ascii="Noto Serif" w:hAnsi="Noto Serif" w:eastAsia="Noto Serif"/>
          <w:b w:val="0"/>
          <w:i w:val="0"/>
          <w:color w:val="29342F"/>
          <w:sz w:val="20"/>
        </w:rPr>
        <w:br/>
        <w:t>Сравнивать ожидаемую потерю от лучшего немедленного действия с ценой одного точного уточнения. При высокой цене ошибки предпочитать уточнение или безопасную остановку; при низкой цене и обратимом результате можно действовать с явно названным предположением. Не спрашивать о деталях, которые не изменят действие.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/>
          <w:color w:val="29342F"/>
          <w:sz w:val="20"/>
        </w:rPr>
        <w:t>❧ · ✦ · ❧</w:t>
      </w:r>
    </w:p>
    <w:p>
      <w:r>
        <w:br w:type="page"/>
      </w:r>
    </w:p>
    <w:p>
      <w:pPr>
        <w:pStyle w:val="Heading1"/>
        <w:keepNext/>
      </w:pPr>
      <w:r>
        <w:rPr>
          <w:rFonts w:ascii="Noto Serif" w:hAnsi="Noto Serif" w:eastAsia="Noto Serif"/>
          <w:color w:val="A98749"/>
          <w:sz w:val="22"/>
        </w:rPr>
        <w:t xml:space="preserve">❧  </w:t>
      </w:r>
      <w:r>
        <w:rPr>
          <w:rFonts w:ascii="Noto Serif" w:hAnsi="Noto Serif" w:eastAsia="Noto Serif"/>
          <w:b/>
          <w:i w:val="0"/>
          <w:color w:val="29342F"/>
          <w:sz w:val="20"/>
        </w:rPr>
        <w:t>Проверяемые гипотезы для Zauchit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>Ни одна из гипотез ниже не проверялась. Это предложения для будущего эксперимента, а не результаты исследования.</w:t>
      </w:r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0"/>
        </w:rPr>
        <w:t>H1. Точное уточнение полезнее общего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>Когда имеется ровно один критичный пробел, вопрос, назвавший это поле и предложивший различающие варианты, даст больше правильно разрешённых эпизодов и потребует меньше ходов, чем общий вопрос «уточните, пожалуйста», при одинаковом лимите вопросов и токенов.</w:t>
      </w:r>
    </w:p>
    <w:p>
      <w:pPr>
        <w:spacing w:after="120" w:line="324" w:lineRule="auto"/>
      </w:pPr>
      <w:r>
        <w:rPr>
          <w:rFonts w:ascii="Noto Serif" w:hAnsi="Noto Serif" w:eastAsia="Noto Serif"/>
          <w:b/>
          <w:i w:val="0"/>
          <w:color w:val="29342F"/>
          <w:sz w:val="20"/>
        </w:rPr>
        <w:t>Пример: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вместо «Что вы имеете в виду?» — «Какой файл отправить: </w:t>
      </w:r>
      <w:r>
        <w:rPr>
          <w:rFonts w:ascii="Noto Sans Mono" w:hAnsi="Noto Sans Mono" w:eastAsia="Noto Sans Mono"/>
          <w:b w:val="0"/>
          <w:i w:val="0"/>
          <w:color w:val="39443E"/>
          <w:sz w:val="17"/>
        </w:rPr>
        <w:t>План_черновик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или </w:t>
      </w:r>
      <w:r>
        <w:rPr>
          <w:rFonts w:ascii="Noto Sans Mono" w:hAnsi="Noto Sans Mono" w:eastAsia="Noto Sans Mono"/>
          <w:b w:val="0"/>
          <w:i w:val="0"/>
          <w:color w:val="39443E"/>
          <w:sz w:val="17"/>
        </w:rPr>
        <w:t>План_финал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>?» Тест должен сравнить не красоту формулировки, а то, уменьшил ли вопрос число возможных действий.</w:t>
      </w:r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0"/>
        </w:rPr>
        <w:t>H2. Риск действия меняет порог уточнения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>При одинаковой неопределённости повышение цены ошибочного действия увеличит долю точных уточнений или безопасных остановок; повышение цены пользовательского хода снизит число вопросов главным образом в низкорисковых, обратимых случаях. Иными словами, стоимость ошибки и стоимость вопроса должны оцениваться совместно, а не превращаться в один порог уверенности.</w:t>
      </w:r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0"/>
        </w:rPr>
        <w:t>H3. Ответ нужно проверить на разрешающую силу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>Политика, которая после ответа проверяет, снято ли исходное неоднозначное поле, реже выполнит неверное действие, чем политика, считающая любой ответ достаточным подтверждением. Важно измерять и лишние повторные вопросы: проверка не должна превращаться в бесконечный цикл.</w:t>
      </w:r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0"/>
        </w:rPr>
        <w:t>H4. При высоком риске молчание или неясный ответ не равны разрешению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>Если пользователь не ответил либо ответ оставил неоднозначность, система чаще должна остановиться или предложить безопасный обратимый следующий шаг, а не угадывать. Это особенно важно для внешних действий; в первом прототипе их следует тестировать только в закрытой симуляции.</w:t>
      </w:r>
    </w:p>
    <w:p>
      <w:r>
        <w:br w:type="page"/>
      </w:r>
    </w:p>
    <w:p>
      <w:pPr>
        <w:pStyle w:val="Heading1"/>
        <w:keepNext/>
      </w:pPr>
      <w:r>
        <w:rPr>
          <w:rFonts w:ascii="Noto Serif" w:hAnsi="Noto Serif" w:eastAsia="Noto Serif"/>
          <w:color w:val="A98749"/>
          <w:sz w:val="22"/>
        </w:rPr>
        <w:t xml:space="preserve">❧  </w:t>
      </w:r>
      <w:r>
        <w:rPr>
          <w:rFonts w:ascii="Noto Serif" w:hAnsi="Noto Serif" w:eastAsia="Noto Serif"/>
          <w:b/>
          <w:i w:val="0"/>
          <w:color w:val="29342F"/>
          <w:sz w:val="20"/>
        </w:rPr>
        <w:t>Как проверить без реальных внешних действий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>Сначала создать закрытый синтетический набор задач с известным правильным решением. В каждом эпизоде намеренно оставить один пробел: референт, цель, способ, срок или полномочие. Затем независимо варьировать неопределённость, последствия ошибки и стоимость дополнительного хода. Ни пользовательские данные, ни реальные отправки, оплаты или изменения аккаунтов для такой проверки не нужны.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>Сравнить не менее пяти политик при одинаковом бюджете:</w:t>
      </w:r>
    </w:p>
    <w:p>
      <w:pPr>
        <w:pStyle w:val="ListBullet"/>
        <w:spacing w:after="60"/>
      </w:pPr>
      <w:r>
        <w:rPr>
          <w:rFonts w:ascii="Noto Serif" w:hAnsi="Noto Serif" w:eastAsia="Noto Serif"/>
          <w:b/>
          <w:i w:val="0"/>
          <w:color w:val="29342F"/>
          <w:sz w:val="20"/>
        </w:rPr>
        <w:t>Всегда действовать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— контроль риска угадывания.</w:t>
      </w:r>
    </w:p>
    <w:p>
      <w:pPr>
        <w:pStyle w:val="ListBullet"/>
        <w:spacing w:after="60"/>
      </w:pPr>
      <w:r>
        <w:rPr>
          <w:rFonts w:ascii="Noto Serif" w:hAnsi="Noto Serif" w:eastAsia="Noto Serif"/>
          <w:b/>
          <w:i w:val="0"/>
          <w:color w:val="29342F"/>
          <w:sz w:val="20"/>
        </w:rPr>
        <w:t>Всегда уточнять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— контроль лишних вопросов.</w:t>
      </w:r>
    </w:p>
    <w:p>
      <w:pPr>
        <w:pStyle w:val="ListBullet"/>
        <w:spacing w:after="60"/>
      </w:pPr>
      <w:r>
        <w:rPr>
          <w:rFonts w:ascii="Noto Serif" w:hAnsi="Noto Serif" w:eastAsia="Noto Serif"/>
          <w:b/>
          <w:i w:val="0"/>
          <w:color w:val="29342F"/>
          <w:sz w:val="20"/>
        </w:rPr>
        <w:t>Порог общей уверенности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— простая модель «спросить при низкой уверенности».</w:t>
      </w:r>
    </w:p>
    <w:p>
      <w:pPr>
        <w:pStyle w:val="ListBullet"/>
        <w:spacing w:after="60"/>
      </w:pPr>
      <w:r>
        <w:rPr>
          <w:rFonts w:ascii="Noto Serif" w:hAnsi="Noto Serif" w:eastAsia="Noto Serif"/>
          <w:b/>
          <w:i w:val="0"/>
          <w:color w:val="29342F"/>
          <w:sz w:val="20"/>
        </w:rPr>
        <w:t>Учитывать только цену действия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— проверить, что добавляет цена вопроса.</w:t>
      </w:r>
    </w:p>
    <w:p>
      <w:pPr>
        <w:pStyle w:val="ListBullet"/>
        <w:spacing w:after="60"/>
      </w:pPr>
      <w:r>
        <w:rPr>
          <w:rFonts w:ascii="Noto Serif" w:hAnsi="Noto Serif" w:eastAsia="Noto Serif"/>
          <w:b/>
          <w:i w:val="0"/>
          <w:color w:val="29342F"/>
          <w:sz w:val="20"/>
        </w:rPr>
        <w:t>Локализовать пробел и проверять ответ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— предлагаемая политика.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>Для каждого эпизода заранее разметить: какое поле отсутствует, какие ответы различают варианты и какое действие безопасно при неразрешённой неопределённости. Первичные метрики: доля неверных действий, успешность задачи и точность выбора поля для вопроса. Вторичные: уместность вопроса, число ходов, задержка, доля лишних вопросов, доля ответов, после которых неоднозначность остаётся, и качество безопасной остановки. Отдельно показать результаты при низком и высоком риске — среднее по всем случаям может скрыть опасный сдвиг.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>До запуска надо зафиксировать бюджет, правила разметки, минимально полезную разницу и критерий остановки. Первый проход — автоматизированные seeds на синтетических сценариях; только затем можно планировать добровольный человеческий пилот на безвредных ситуациях. Такие числа как размер выборки и границы решения следует рассчитать по пилоту, а не выдавать заранее за универсальные пороги.</w:t>
      </w:r>
    </w:p>
    <w:p>
      <w:r>
        <w:br w:type="page"/>
      </w:r>
    </w:p>
    <w:p>
      <w:pPr>
        <w:pStyle w:val="Heading1"/>
        <w:keepNext/>
      </w:pPr>
      <w:r>
        <w:rPr>
          <w:rFonts w:ascii="Noto Serif" w:hAnsi="Noto Serif" w:eastAsia="Noto Serif"/>
          <w:color w:val="A98749"/>
          <w:sz w:val="22"/>
        </w:rPr>
        <w:t xml:space="preserve">❧  </w:t>
      </w:r>
      <w:r>
        <w:rPr>
          <w:rFonts w:ascii="Noto Serif" w:hAnsi="Noto Serif" w:eastAsia="Noto Serif"/>
          <w:b/>
          <w:i w:val="0"/>
          <w:color w:val="29342F"/>
          <w:sz w:val="20"/>
        </w:rPr>
        <w:t>Что осталось открытым</w:t>
      </w:r>
    </w:p>
    <w:p>
      <w:pPr>
        <w:pStyle w:val="ListBullet"/>
        <w:spacing w:after="60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Насколько хорошо система может </w:t>
      </w:r>
      <w:r>
        <w:rPr>
          <w:rFonts w:ascii="Noto Serif" w:hAnsi="Noto Serif" w:eastAsia="Noto Serif"/>
          <w:b w:val="0"/>
          <w:i/>
          <w:color w:val="29342F"/>
          <w:sz w:val="20"/>
        </w:rPr>
        <w:t>локализовать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источник неоднозначности отдельно от общей оценки собственной уверенности?</w:t>
      </w:r>
    </w:p>
    <w:p>
      <w:pPr>
        <w:pStyle w:val="ListBullet"/>
        <w:spacing w:after="60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>Уменьшает ли целевой вопрос число ошибок после учёта его длины, времени ответа и раздражения пользователя?</w:t>
      </w:r>
    </w:p>
    <w:p>
      <w:pPr>
        <w:pStyle w:val="ListBullet"/>
        <w:spacing w:after="60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>Как отличать ответ, который действительно разрешил референт, от ответа вроде «обычный», который всё ещё допускает несколько объектов?</w:t>
      </w:r>
    </w:p>
    <w:p>
      <w:pPr>
        <w:pStyle w:val="ListBullet"/>
        <w:spacing w:after="60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>Может ли одна политика учитывать и риск действия, и цену пользовательского внимания, не задавая избыточные вопросы?</w:t>
      </w:r>
    </w:p>
    <w:p>
      <w:pPr>
        <w:pStyle w:val="ListBullet"/>
        <w:spacing w:after="60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>Как переносить выводы с симуляций и текстовых задач на мультимодальные контексты, инструменты и долгие совместные задачи?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Наиболее полезный ближайший тест — сравнить общий порог уверенности с локализацией поля и проверкой ответа в одной и той же закрытой среде. Это отделит «агент знает, что сомневается» от более практичного навыка: «агент знает, </w:t>
      </w:r>
      <w:r>
        <w:rPr>
          <w:rFonts w:ascii="Noto Serif" w:hAnsi="Noto Serif" w:eastAsia="Noto Serif"/>
          <w:b w:val="0"/>
          <w:i/>
          <w:color w:val="29342F"/>
          <w:sz w:val="20"/>
        </w:rPr>
        <w:t>что именно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нужно выяснить, и замечает, когда ответ этого ещё не сделал».</w:t>
      </w:r>
    </w:p>
    <w:p>
      <w:pPr>
        <w:spacing w:before="80" w:after="140" w:line="300" w:lineRule="auto"/>
        <w:ind w:left="259" w:right="173"/>
        <w:pBdr>
          <w:left w:val="single" w:sz="14" w:space="7" w:color="B89657"/>
        </w:pBdr>
        <w:shd w:fill="F2EAD7" w:val="clear"/>
      </w:pPr>
      <w:r>
        <w:rPr>
          <w:rFonts w:ascii="Noto Serif" w:hAnsi="Noto Serif" w:eastAsia="Noto Serif"/>
          <w:b/>
          <w:i w:val="0"/>
          <w:color w:val="29342F"/>
          <w:sz w:val="20"/>
        </w:rPr>
        <w:t>Статус проекта</w:t>
      </w:r>
      <w:r>
        <w:br/>
      </w:r>
      <w:r>
        <w:rPr>
          <w:rFonts w:ascii="Noto Serif" w:hAnsi="Noto Serif" w:eastAsia="Noto Serif"/>
          <w:b w:val="0"/>
          <w:i w:val="0"/>
          <w:color w:val="29342F"/>
          <w:sz w:val="20"/>
        </w:rPr>
        <w:br/>
        <w:t>Это исследовательское предложение. Эксперименты не запускались; люди не набирались; никакие реальные пользовательские инструкции, переписки или внешние действия не анализировались.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/>
          <w:color w:val="29342F"/>
          <w:sz w:val="20"/>
        </w:rPr>
        <w:t>❧ · ✦ · ❧</w:t>
      </w:r>
    </w:p>
    <w:p>
      <w:r>
        <w:br w:type="page"/>
      </w:r>
    </w:p>
    <w:p>
      <w:pPr>
        <w:pStyle w:val="Heading1"/>
        <w:keepNext/>
      </w:pPr>
      <w:r>
        <w:rPr>
          <w:rFonts w:ascii="Noto Serif" w:hAnsi="Noto Serif" w:eastAsia="Noto Serif"/>
          <w:color w:val="A98749"/>
          <w:sz w:val="22"/>
        </w:rPr>
        <w:t xml:space="preserve">❧  </w:t>
      </w:r>
      <w:r>
        <w:rPr>
          <w:rFonts w:ascii="Noto Serif" w:hAnsi="Noto Serif" w:eastAsia="Noto Serif"/>
          <w:b/>
          <w:i w:val="0"/>
          <w:color w:val="29342F"/>
          <w:sz w:val="20"/>
        </w:rPr>
        <w:t>Источники</w:t>
      </w:r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0"/>
        </w:rPr>
        <w:t>[1] Ремонт реплик в обычном разговоре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Schegloff, E. A., Jefferson, G., &amp; Sacks, H. (1977). </w:t>
      </w:r>
      <w:r>
        <w:rPr>
          <w:rFonts w:ascii="Noto Serif" w:hAnsi="Noto Serif" w:eastAsia="Noto Serif"/>
          <w:b w:val="0"/>
          <w:i/>
          <w:color w:val="29342F"/>
          <w:sz w:val="20"/>
        </w:rPr>
        <w:t>The preference for self-correction in the organization of repair in conversation.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</w:t>
      </w:r>
      <w:r>
        <w:rPr>
          <w:rFonts w:ascii="Noto Serif" w:hAnsi="Noto Serif" w:eastAsia="Noto Serif"/>
          <w:b/>
          <w:i w:val="0"/>
          <w:color w:val="29342F"/>
          <w:sz w:val="20"/>
        </w:rPr>
        <w:t>Language, 53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>(2), 361–382. Теоретически и эмпирически влиятельный анализ очередности и самоисправления в разговоре.</w:t>
      </w:r>
    </w:p>
    <w:p>
      <w:pPr>
        <w:spacing w:after="120" w:line="324" w:lineRule="auto"/>
      </w:pPr>
      <w:hyperlink r:id="rId13">
        <w:r>
          <w:rPr>
            <w:color w:val="365E51"/>
            <w:u w:val="single"/>
          </w:rPr>
          <w:t>DOI 10.2307/413107</w:t>
        </w:r>
      </w:hyperlink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· </w:t>
      </w:r>
      <w:hyperlink r:id="rId14">
        <w:r>
          <w:rPr>
            <w:color w:val="365E51"/>
            <w:u w:val="single"/>
          </w:rPr>
          <w:t>JSTOR</w:t>
        </w:r>
      </w:hyperlink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0"/>
        </w:rPr>
        <w:t>[2] Установление общего основания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Clark, H. H., &amp; Brennan, S. E. (1991). </w:t>
      </w:r>
      <w:r>
        <w:rPr>
          <w:rFonts w:ascii="Noto Serif" w:hAnsi="Noto Serif" w:eastAsia="Noto Serif"/>
          <w:b w:val="0"/>
          <w:i/>
          <w:color w:val="29342F"/>
          <w:sz w:val="20"/>
        </w:rPr>
        <w:t>Grounding in communication.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In L. B. Resnick, J. M. Levine, &amp; S. D. Teasley (Eds.), </w:t>
      </w:r>
      <w:r>
        <w:rPr>
          <w:rFonts w:ascii="Noto Serif" w:hAnsi="Noto Serif" w:eastAsia="Noto Serif"/>
          <w:b/>
          <w:i w:val="0"/>
          <w:color w:val="29342F"/>
          <w:sz w:val="20"/>
        </w:rPr>
        <w:t>Perspectives on Socially Shared Cognition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>, 127–149. American Psychological Association.</w:t>
      </w:r>
    </w:p>
    <w:p>
      <w:pPr>
        <w:spacing w:after="120" w:line="324" w:lineRule="auto"/>
      </w:pPr>
      <w:hyperlink r:id="rId15">
        <w:r>
          <w:rPr>
            <w:color w:val="365E51"/>
            <w:u w:val="single"/>
          </w:rPr>
          <w:t>DOI 10.1037/10096-006</w:t>
        </w:r>
      </w:hyperlink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0"/>
        </w:rPr>
        <w:t>[3] Риск-управляемый разговорный поиск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Wang, Z., &amp; Ai, Q. (2022). </w:t>
      </w:r>
      <w:r>
        <w:rPr>
          <w:rFonts w:ascii="Noto Serif" w:hAnsi="Noto Serif" w:eastAsia="Noto Serif"/>
          <w:b w:val="0"/>
          <w:i/>
          <w:color w:val="29342F"/>
          <w:sz w:val="20"/>
        </w:rPr>
        <w:t>Simulating and Modeling the Risk of Conversational Search.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</w:t>
      </w:r>
      <w:r>
        <w:rPr>
          <w:rFonts w:ascii="Noto Serif" w:hAnsi="Noto Serif" w:eastAsia="Noto Serif"/>
          <w:b/>
          <w:i w:val="0"/>
          <w:color w:val="29342F"/>
          <w:sz w:val="20"/>
        </w:rPr>
        <w:t>ACM Transactions on Information Systems, 40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>(4), Article 85. В статье предложена симуляция терпения пользователя и политика выбора между уточняющим вопросом и выдачей результата.</w:t>
      </w:r>
    </w:p>
    <w:p>
      <w:pPr>
        <w:spacing w:after="120" w:line="324" w:lineRule="auto"/>
      </w:pPr>
      <w:hyperlink r:id="rId16">
        <w:r>
          <w:rPr>
            <w:color w:val="365E51"/>
            <w:u w:val="single"/>
          </w:rPr>
          <w:t>Страница первоисточника на arXiv</w:t>
        </w:r>
      </w:hyperlink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· </w:t>
      </w:r>
      <w:hyperlink r:id="rId17">
        <w:r>
          <w:rPr>
            <w:color w:val="365E51"/>
            <w:u w:val="single"/>
          </w:rPr>
          <w:t>DOI издателя</w:t>
        </w:r>
      </w:hyperlink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0"/>
        </w:rPr>
        <w:t>[4] Когда спрашивать: неопределённость человека и модели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Testoni, A., &amp; Fernández, R. (2024). </w:t>
      </w:r>
      <w:r>
        <w:rPr>
          <w:rFonts w:ascii="Noto Serif" w:hAnsi="Noto Serif" w:eastAsia="Noto Serif"/>
          <w:b w:val="0"/>
          <w:i/>
          <w:color w:val="29342F"/>
          <w:sz w:val="20"/>
        </w:rPr>
        <w:t>Asking the Right Question at the Right Time: Human and Model Uncertainty Guidance to Ask Clarification Questions.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</w:t>
      </w:r>
      <w:r>
        <w:rPr>
          <w:rFonts w:ascii="Noto Serif" w:hAnsi="Noto Serif" w:eastAsia="Noto Serif"/>
          <w:b/>
          <w:i w:val="0"/>
          <w:color w:val="29342F"/>
          <w:sz w:val="20"/>
        </w:rPr>
        <w:t>Proceedings of EACL 2024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>, 258–275.</w:t>
      </w:r>
    </w:p>
    <w:p>
      <w:pPr>
        <w:spacing w:after="120" w:line="324" w:lineRule="auto"/>
      </w:pPr>
      <w:hyperlink r:id="rId18">
        <w:r>
          <w:rPr>
            <w:color w:val="365E51"/>
            <w:u w:val="single"/>
          </w:rPr>
          <w:t>ACL Anthology</w:t>
        </w:r>
      </w:hyperlink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· </w:t>
      </w:r>
      <w:hyperlink r:id="rId19">
        <w:r>
          <w:rPr>
            <w:color w:val="365E51"/>
            <w:u w:val="single"/>
          </w:rPr>
          <w:t>DOI 10.18653/v1/2024.eacl-long.16</w:t>
        </w:r>
      </w:hyperlink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0"/>
        </w:rPr>
        <w:t>[5] Расхождение общего контекста в технических диалогах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Sarkar, R., Srikanth, N., Pellegrin, T., Rudinger, R., Bonial, C., &amp; Resnik, P. (2025). </w:t>
      </w:r>
      <w:r>
        <w:rPr>
          <w:rFonts w:ascii="Noto Serif" w:hAnsi="Noto Serif" w:eastAsia="Noto Serif"/>
          <w:b w:val="0"/>
          <w:i/>
          <w:color w:val="29342F"/>
          <w:sz w:val="20"/>
        </w:rPr>
        <w:t>Understanding Common Ground Misalignment in Goal-Oriented Dialog: A Case-Study with Ubuntu Chat Logs.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</w:t>
      </w:r>
      <w:r>
        <w:rPr>
          <w:rFonts w:ascii="Noto Serif" w:hAnsi="Noto Serif" w:eastAsia="Noto Serif"/>
          <w:b/>
          <w:i w:val="0"/>
          <w:color w:val="29342F"/>
          <w:sz w:val="20"/>
        </w:rPr>
        <w:t>Proceedings of ACL 2025, Volume 1: Long Papers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>, 3200–3215.</w:t>
      </w:r>
    </w:p>
    <w:p>
      <w:pPr>
        <w:spacing w:after="120" w:line="324" w:lineRule="auto"/>
      </w:pPr>
      <w:hyperlink r:id="rId20">
        <w:r>
          <w:rPr>
            <w:color w:val="365E51"/>
            <w:u w:val="single"/>
          </w:rPr>
          <w:t>ACL Anthology</w:t>
        </w:r>
      </w:hyperlink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· </w:t>
      </w:r>
      <w:hyperlink r:id="rId21">
        <w:r>
          <w:rPr>
            <w:color w:val="365E51"/>
            <w:u w:val="single"/>
          </w:rPr>
          <w:t>DOI 10.18653/v1/2025.acl-long.161</w:t>
        </w:r>
      </w:hyperlink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0"/>
        </w:rPr>
        <w:t>[6] Выбор между действием и уточнением при неопределённости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Tsvilodub, P., Mulligan, K., Snider, T., Hawkins, R. D., &amp; Franke, M. (2026). </w:t>
      </w:r>
      <w:r>
        <w:rPr>
          <w:rFonts w:ascii="Noto Serif" w:hAnsi="Noto Serif" w:eastAsia="Noto Serif"/>
          <w:b w:val="0"/>
          <w:i/>
          <w:color w:val="29342F"/>
          <w:sz w:val="20"/>
        </w:rPr>
        <w:t>Act or Clarify? Modeling Sensitivity to Uncertainty and Cost in Communication.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arXiv:2602.02843, версия 3. Препринт; не маркировать как рецензированную публикацию.</w:t>
      </w:r>
    </w:p>
    <w:p>
      <w:pPr>
        <w:spacing w:after="120" w:line="324" w:lineRule="auto"/>
      </w:pPr>
      <w:hyperlink r:id="rId22">
        <w:r>
          <w:rPr>
            <w:color w:val="365E51"/>
            <w:u w:val="single"/>
          </w:rPr>
          <w:t>arXiv:2602.02843</w:t>
        </w:r>
      </w:hyperlink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· </w:t>
      </w:r>
      <w:hyperlink r:id="rId23">
        <w:r>
          <w:rPr>
            <w:color w:val="365E51"/>
            <w:u w:val="single"/>
          </w:rPr>
          <w:t>Текст версии 3</w:t>
        </w:r>
      </w:hyperlink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0"/>
        </w:rPr>
        <w:t>[7] Связь с уже поставленными гипотезами Zauchit</w:t>
      </w:r>
    </w:p>
    <w:p>
      <w:pPr>
        <w:spacing w:after="120" w:line="324" w:lineRule="auto"/>
      </w:pPr>
      <w:r>
        <w:rPr>
          <w:rFonts w:ascii="Noto Serif" w:hAnsi="Noto Serif" w:eastAsia="Noto Serif"/>
          <w:b w:val="0"/>
          <w:i w:val="0"/>
          <w:color w:val="29342F"/>
          <w:sz w:val="20"/>
        </w:rPr>
        <w:t>В проекте уже есть H8 о знаниях конкретного партнёра при неоднозначных инструкциях и эксперимент E18 о выборе полезной проверки при ограниченном бюджете. Это дополнение предлагает тестировать более узкое звено — локализацию недостающего поля и проверку, что ответ действительно устранил неоднозначность.</w:t>
      </w:r>
    </w:p>
    <w:p>
      <w:pPr>
        <w:spacing w:after="120" w:line="324" w:lineRule="auto"/>
      </w:pPr>
      <w:hyperlink r:id="rId24">
        <w:r>
          <w:rPr>
            <w:color w:val="365E51"/>
            <w:u w:val="single"/>
          </w:rPr>
          <w:t>Реестр гипотез Zauchit</w:t>
        </w:r>
      </w:hyperlink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· </w:t>
      </w:r>
      <w:hyperlink r:id="rId25">
        <w:r>
          <w:rPr>
            <w:color w:val="365E51"/>
            <w:u w:val="single"/>
          </w:rPr>
          <w:t>План новых экспериментов Zauchit</w:t>
        </w:r>
      </w:hyperlink>
    </w:p>
    <w:p>
      <w:pPr>
        <w:spacing w:after="120" w:line="324" w:lineRule="auto"/>
      </w:pPr>
      <w:r>
        <w:rPr>
          <w:rFonts w:ascii="Noto Serif" w:hAnsi="Noto Serif" w:eastAsia="Noto Serif"/>
          <w:b/>
          <w:i w:val="0"/>
          <w:color w:val="29342F"/>
          <w:sz w:val="20"/>
        </w:rPr>
        <w:t>Версия: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v1.0 · </w:t>
      </w:r>
      <w:r>
        <w:rPr>
          <w:rFonts w:ascii="Noto Serif" w:hAnsi="Noto Serif" w:eastAsia="Noto Serif"/>
          <w:b/>
          <w:i w:val="0"/>
          <w:color w:val="29342F"/>
          <w:sz w:val="20"/>
        </w:rPr>
        <w:t>Дата: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31 октября 2026</w:t>
      </w:r>
      <w:r>
        <w:br/>
      </w:r>
      <w:r>
        <w:rPr>
          <w:rFonts w:ascii="Noto Serif" w:hAnsi="Noto Serif" w:eastAsia="Noto Serif"/>
          <w:b w:val="0"/>
          <w:i w:val="0"/>
          <w:color w:val="29342F"/>
          <w:sz w:val="20"/>
        </w:rPr>
        <w:br/>
      </w:r>
      <w:r>
        <w:rPr>
          <w:rFonts w:ascii="Noto Serif" w:hAnsi="Noto Serif" w:eastAsia="Noto Serif"/>
          <w:b/>
          <w:i w:val="0"/>
          <w:color w:val="29342F"/>
          <w:sz w:val="20"/>
        </w:rPr>
        <w:t>Изменения:</w:t>
      </w:r>
      <w:r>
        <w:rPr>
          <w:rFonts w:ascii="Noto Serif" w:hAnsi="Noto Serif" w:eastAsia="Noto Serif"/>
          <w:b w:val="0"/>
          <w:i w:val="0"/>
          <w:color w:val="29342F"/>
          <w:sz w:val="20"/>
        </w:rPr>
        <w:t xml:space="preserve"> новый источник-синтез, уточнённый открытый вопрос, четыре непроверенные гипотезы и проект закрытого теста. Не является отчётом о проведённом эксперименте.</w:t>
      </w:r>
    </w:p>
    <w:sectPr w:rsidR="00FC693F" w:rsidRPr="0006063C" w:rsidSect="00034616">
      <w:headerReference w:type="default" r:id="rId10"/>
      <w:footerReference w:type="default" r:id="rId11"/>
      <w:pgSz w:w="11905" w:h="16838"/>
      <w:pgMar w:top="1411" w:right="1411" w:bottom="1354" w:left="1411" w:header="792" w:footer="749" w:gutter="0"/>
      <w:cols w:space="720"/>
      <w:docGrid w:linePitch="360"/>
      <w:pgBorders w:offsetFrom="page" w:display="allPages">
        <w:top w:val="double" w:sz="8" w:space="22" w:color="B89657"/>
        <w:left w:val="double" w:sz="8" w:space="22" w:color="B89657"/>
        <w:bottom w:val="double" w:sz="8" w:space="22" w:color="B89657"/>
        <w:right w:val="double" w:sz="8" w:space="22" w:color="B89657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 w:eastAsia="Noto Sans"/>
        <w:color w:val="74694F"/>
        <w:sz w:val="14"/>
      </w:rPr>
      <w:t xml:space="preserve">31 октября 2026 · исследовательское дополнение v1.0 ·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" w:hAnsi="Noto Sans" w:eastAsia="Noto Sans"/>
        <w:b/>
        <w:color w:val="74694F"/>
        <w:sz w:val="14"/>
      </w:rPr>
      <w:t>ZAUCHIT · ДИАЛОГОВОЕ УТОЧНЕНИЕ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Noto Serif" w:hAnsi="Noto Serif" w:eastAsia="Noto Serif"/>
      <w:color w:val="2934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Noto Serif" w:hAnsi="Noto Serif" w:eastAsia="Noto Serif"/>
      <w:b/>
      <w:bCs/>
      <w:color w:val="243C3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erif" w:hAnsi="Noto Serif" w:eastAsia="Noto Serif"/>
      <w:b/>
      <w:bCs/>
      <w:color w:val="2E463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erif" w:hAnsi="Noto Serif" w:eastAsia="Noto Serif"/>
      <w:b/>
      <w:bCs/>
      <w:color w:val="725C32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hyperlink" Target="https://doi.org/10.2307/413107" TargetMode="External"/><Relationship Id="rId14" Type="http://schemas.openxmlformats.org/officeDocument/2006/relationships/hyperlink" Target="https://www.jstor.org/stable/413107" TargetMode="External"/><Relationship Id="rId15" Type="http://schemas.openxmlformats.org/officeDocument/2006/relationships/hyperlink" Target="https://doi.org/10.1037/10096-006" TargetMode="External"/><Relationship Id="rId16" Type="http://schemas.openxmlformats.org/officeDocument/2006/relationships/hyperlink" Target="https://arxiv.org/abs/2201.00235" TargetMode="External"/><Relationship Id="rId17" Type="http://schemas.openxmlformats.org/officeDocument/2006/relationships/hyperlink" Target="https://doi.org/10.1145/3507357" TargetMode="External"/><Relationship Id="rId18" Type="http://schemas.openxmlformats.org/officeDocument/2006/relationships/hyperlink" Target="https://aclanthology.org/2024.eacl-long.16/" TargetMode="External"/><Relationship Id="rId19" Type="http://schemas.openxmlformats.org/officeDocument/2006/relationships/hyperlink" Target="https://doi.org/10.18653/v1/2024.eacl-long.16" TargetMode="External"/><Relationship Id="rId20" Type="http://schemas.openxmlformats.org/officeDocument/2006/relationships/hyperlink" Target="https://aclanthology.org/2025.acl-long.161/" TargetMode="External"/><Relationship Id="rId21" Type="http://schemas.openxmlformats.org/officeDocument/2006/relationships/hyperlink" Target="https://doi.org/10.18653/v1/2025.acl-long.161" TargetMode="External"/><Relationship Id="rId22" Type="http://schemas.openxmlformats.org/officeDocument/2006/relationships/hyperlink" Target="https://arxiv.org/abs/2602.02843" TargetMode="External"/><Relationship Id="rId23" Type="http://schemas.openxmlformats.org/officeDocument/2006/relationships/hyperlink" Target="https://arxiv.org/html/2602.02843v3" TargetMode="External"/><Relationship Id="rId24" Type="http://schemas.openxmlformats.org/officeDocument/2006/relationships/hyperlink" Target="https://github.com/velantrian/Velantrim-Memory-Ruslan/blob/main/book-collections/zauchit/research/hypotheses.md" TargetMode="External"/><Relationship Id="rId25" Type="http://schemas.openxmlformats.org/officeDocument/2006/relationships/hyperlink" Target="https://github.com/velantrian/Velantrim-Memory-Ruslan/blob/main/book-collections/zauchit/expanded/research/experiments_new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Уточнить, прежде чем действовать: как выбрать точный вопрос и проверить общее понимание (v1.0)</dc:title>
  <dc:subject>Исследовательское дополнение Zauchit; обзор источников, гипотезы и предложенный тест. Эксперимент не запускался.</dc:subject>
  <dc:creator>Редакция исследовательского дополнения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