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6EA"/>
  <w:body>
    <w:p>
      <w:pPr>
        <w:pStyle w:val="Title"/>
        <w:jc w:val="center"/>
      </w:pPr>
      <w:r>
        <w:rPr>
          <w:b w:val="0"/>
          <w:i w:val="0"/>
        </w:rPr>
        <w:t>HARVYRÐ</w:t>
      </w:r>
    </w:p>
    <w:p>
      <w:pPr>
        <w:pStyle w:val="Heading1"/>
        <w:jc w:val="left"/>
      </w:pPr>
      <w:r>
        <w:rPr>
          <w:b w:val="0"/>
          <w:i w:val="0"/>
        </w:rPr>
        <w:t>Путеводитель читателя по Ginza Rabba — не перевод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a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227" w:right="170"/>
        <w:pBdr>
          <w:left w:val="single" w:sz="18" w:space="8" w:color="2C9A9A"/>
        </w:pBdr>
      </w:pPr>
      <w:r>
        <w:rPr>
          <w:b/>
          <w:i w:val="0"/>
        </w:rPr>
        <w:t>Короткая рамка.</w:t>
      </w:r>
      <w:r>
        <w:rPr>
          <w:b w:val="0"/>
          <w:i w:val="0"/>
        </w:rPr>
        <w:t xml:space="preserve"> Этот текст — авторский обзор Ginza Rabba, или Ginza Rba, «Великой сокровищницы» мандаев. Здесь нет полного перевода, дипломатической транскрипции, реконструкции утраченного оригинала или инструкции к религиозной практике. Формулировки обозначены как </w:t>
      </w:r>
      <w:r>
        <w:rPr>
          <w:b/>
          <w:i w:val="0"/>
        </w:rPr>
        <w:t>Авторский обзор</w:t>
      </w:r>
      <w:r>
        <w:rPr>
          <w:b w:val="0"/>
          <w:i w:val="0"/>
        </w:rPr>
        <w:t xml:space="preserve"> или </w:t>
      </w:r>
      <w:r>
        <w:rPr>
          <w:b/>
          <w:i w:val="0"/>
        </w:rPr>
        <w:t>Осторожный пересказ</w:t>
      </w:r>
      <w:r>
        <w:rPr>
          <w:b w:val="0"/>
          <w:i w:val="0"/>
        </w:rPr>
        <w:t>: они передают подтверждённые исследовательские описания на русском языке и сознательно не заменяют чтение конкретной мандейской рукописи, научного издания или общинного наставления.</w:t>
      </w:r>
    </w:p>
    <w:p>
      <w:pPr>
        <w:pStyle w:val="Heading1"/>
        <w:jc w:val="left"/>
      </w:pPr>
      <w:r>
        <w:rPr>
          <w:b w:val="0"/>
          <w:i w:val="0"/>
        </w:rPr>
        <w:t>Как пользоваться этим путеводителем</w:t>
      </w:r>
    </w:p>
    <w:p>
      <w:r>
        <w:rPr>
          <w:b w:val="0"/>
          <w:i w:val="0"/>
        </w:rPr>
        <w:t>Ginza Rabba лучше читать не как роман с одним автором и одной окончательной редакцией, а как составной священный корпус, который дошёл до нас через рукописи, переписывание, компиляцию, переводы и живую традицию. Поэтому один и тот же номер «книги» или «трактата» не всегда означает абсолютно одну и ту же текстовую единицу во всех свидетелях. В дальнейшем я буду различать три уровня: то, что сообщают сами издания и рукописи; научные гипотезы о слоях и происхождении; и современную религиозную практику мандаев.</w:t>
      </w:r>
    </w:p>
    <w:p>
      <w:r>
        <w:rPr>
          <w:b w:val="0"/>
          <w:i w:val="0"/>
        </w:rPr>
        <w:t>Цель путеводителя — дать карту, по которой неспециалист сможет не потеряться в названиях, датах и оговорках. Это не попытка «свести» мандаизм к одной теории — например, к гностицизму, дуализму или реконструированной древней истории. Живая традиция шире любой отдельной книги, а открытая исследователю часть корпуса меньше того знания, которым располагают общины и жреческие линии передачи.</w:t>
      </w:r>
    </w:p>
    <w:p>
      <w:pPr>
        <w:pBdr>
          <w:bottom w:val="single" w:sz="8" w:space="1" w:color="B99754"/>
        </w:pBdr>
      </w:pPr>
    </w:p>
    <w:p>
      <w:pPr>
        <w:pStyle w:val="Heading1"/>
        <w:jc w:val="left"/>
      </w:pPr>
      <w:r>
        <w:rPr>
          <w:b w:val="0"/>
          <w:i w:val="0"/>
        </w:rPr>
        <w:t>Глава 1. Что такое Ginza Rabba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Ginza Rabba — наиболее полное из сохранившихся собраний мандаейских сочинений, но не вся мандаейская религия и не единый трактат, написанный одним человеком. В справочном обзоре Курта Рудольфа она описывается как корпус, разделённый на Right Ginza и Left Ginza — Правую и Левую Гинзу [1]. В мандейской терминологии встречаются также формы </w:t>
      </w:r>
      <w:r>
        <w:rPr>
          <w:b w:val="0"/>
          <w:i/>
        </w:rPr>
        <w:t>Ginza Rba</w:t>
      </w:r>
      <w:r>
        <w:rPr>
          <w:b w:val="0"/>
          <w:i w:val="0"/>
        </w:rPr>
        <w:t xml:space="preserve">, </w:t>
      </w:r>
      <w:r>
        <w:rPr>
          <w:b w:val="0"/>
          <w:i/>
        </w:rPr>
        <w:t>Genzā Rabbā</w:t>
      </w:r>
      <w:r>
        <w:rPr>
          <w:b w:val="0"/>
          <w:i w:val="0"/>
        </w:rPr>
        <w:t xml:space="preserve">, </w:t>
      </w:r>
      <w:r>
        <w:rPr>
          <w:b w:val="0"/>
          <w:i/>
        </w:rPr>
        <w:t>Sidra Rabbā</w:t>
      </w:r>
      <w:r>
        <w:rPr>
          <w:b w:val="0"/>
          <w:i w:val="0"/>
        </w:rPr>
        <w:t xml:space="preserve"> и </w:t>
      </w:r>
      <w:r>
        <w:rPr>
          <w:b w:val="0"/>
          <w:i/>
        </w:rPr>
        <w:t>Sidra d-Adam</w:t>
      </w:r>
      <w:r>
        <w:rPr>
          <w:b w:val="0"/>
          <w:i w:val="0"/>
        </w:rPr>
        <w:t>. Названия и транслитерации могут меняться от издания к изданию.</w:t>
      </w:r>
    </w:p>
    <w:p>
      <w:r>
        <w:rPr>
          <w:b w:val="0"/>
          <w:i w:val="0"/>
        </w:rPr>
        <w:t xml:space="preserve">Слово «гинза» обычно передают как «сокровищница», а </w:t>
      </w:r>
      <w:r>
        <w:rPr>
          <w:b w:val="0"/>
          <w:i/>
        </w:rPr>
        <w:t>rba</w:t>
      </w:r>
      <w:r>
        <w:rPr>
          <w:b w:val="0"/>
          <w:i w:val="0"/>
        </w:rPr>
        <w:t xml:space="preserve"> — как «великая». Такое название не следует понимать как указание на одну тематическую книгу в современном издательском смысле. Перед нами собрание разнородных текстовых единиц: мифологических и богословских рассказов, космологических изложений, наставительных фрагментов, гимнических материалов и повествований о судьбе души. Внутри корпуса могли соединяться тексты разного времени и происхождения; научного согласия о полном составе источников и редакций нет [1].</w:t>
      </w:r>
    </w:p>
    <w:p>
      <w:r>
        <w:rPr>
          <w:b w:val="0"/>
          <w:i w:val="0"/>
        </w:rPr>
        <w:t>Традиционная схема, приведённая во введении Чарльза Хэберла к переизданию Петermann, говорит о 21 меньшей книге: 18 в Right Ginza и 3 в Left Ginza [2]. Это полезная карта конкретной редакционной традиции, но не универсальная сетка, которую можно механически наложить на каждый рукописный свидетель. Исследователь должен всегда уточнять, какое издание, перевод или рукопись он имеет в виду.</w:t>
      </w:r>
    </w:p>
    <w:p>
      <w:r>
        <w:rPr>
          <w:b w:val="0"/>
          <w:i w:val="0"/>
        </w:rPr>
        <w:t>Важно отделять Ginza от других мандаейских книг. Qolasta — канонический молитвенник, включающий гимны, молитвы и литургические тексты; Книга Иоанна содержит собственный комплекс повествовательных и учительных материалов; существуют также свитки, комментарии и тексты, предназначенные для жреческого использования [1]. Поэтому ссылку на Ginza нельзя автоматически использовать как источник любой мандаейской молитвы, обряда или нормы.</w:t>
      </w:r>
    </w:p>
    <w:p>
      <w:r>
        <w:rPr>
          <w:b/>
          <w:i w:val="0"/>
        </w:rPr>
        <w:t>Осторожный пересказ.</w:t>
      </w:r>
      <w:r>
        <w:rPr>
          <w:b w:val="0"/>
          <w:i w:val="0"/>
        </w:rPr>
        <w:t xml:space="preserve"> Для первого знакомства Ginza можно представить как большую библиотеку внутри мандаейской религии. Её тексты возвращаются к вопросам о происхождении мира, положении человека, отношении света и тьмы, судьбе души и возможности спасения, но делают это не одним последовательным рассказом.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>[2] Charles G. Häberl, «Introduction to the New Edition»: https://scholarship.libraries.rutgers.edu/esploro/outputs/bookChapter/Introduction-to-the-New-Edition-in/991031549909304646</w:t>
      </w:r>
    </w:p>
    <w:p>
      <w:pPr>
        <w:pStyle w:val="Heading1"/>
        <w:jc w:val="left"/>
      </w:pPr>
      <w:r>
        <w:rPr>
          <w:b w:val="0"/>
          <w:i w:val="0"/>
        </w:rPr>
        <w:t>Глава 2. Правая и Левая Гинза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dark-cosmolog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8"/>
          <w:sz w:val="16"/>
        </w:rPr>
        <w:t>Абстрактная композиция о противопоставлении света и тьмы; не изображает религиозный обряд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Right Ginza, или Ginza Yamina, — более объёмная «Правая Гинза». В источниках её связывают прежде всего с космологией, богословием, антропогонией, этическими наставлениями и повествовательными материалами о мире и его истории [1]. Left Ginza, или Ginza Smala, — меньшая «Левая Гинза», которую часто называют также «Книгой душ»: она сосредоточена на смерти тела, посмертной судьбе души и её возвращении в область света [1].</w:t>
      </w:r>
    </w:p>
    <w:p>
      <w:r>
        <w:rPr>
          <w:b w:val="0"/>
          <w:i w:val="0"/>
        </w:rPr>
        <w:t>Такая характеристика полезна, но это не краткое содержание каждой страницы. Правая часть не сводится к «земному миру», а Левая — к чистой схеме «неба». Справочная литература специально предупреждает, что обычные символические ассоциации слов «правый» и «левый» не полностью объясняют распределение материала в Ginza [3]. Поэтому формулу «Правая — жизнь, Левая — смерть» следует использовать только как ориентир, а не как строгую доктрину.</w:t>
      </w:r>
    </w:p>
    <w:p>
      <w:r>
        <w:rPr>
          <w:b w:val="0"/>
          <w:i w:val="0"/>
        </w:rPr>
        <w:t>В традиционном переплёте обе части соединяются в один том. Левая Гинза располагается перевёрнутой относительно Правой; обе читаются справа налево, как и другие мандейские тексты, записанные мандейским письмом [3]. Физическое устройство книги само по себе стало частью того, как читатель представляет её целостность: это не два случайно соседствующих произведения, а две половины единого священного корпуса.</w:t>
      </w:r>
    </w:p>
    <w:p>
      <w:r>
        <w:rPr>
          <w:b w:val="0"/>
          <w:i w:val="0"/>
        </w:rPr>
        <w:t>Тематическую связь можно осторожно описать как движение от устройства космоса и человеческой жизни к вопросу о посмертном пути. Но это аналитическая формула современного читателя. Она не означает, что в рукописи проведена идеально симметричная граница или что все мандаи одинаково объясняют отношение двух частей.</w:t>
      </w:r>
    </w:p>
    <w:p>
      <w:r>
        <w:rPr>
          <w:b w:val="0"/>
          <w:i w:val="0"/>
        </w:rPr>
        <w:t>Третий трактат Правой Гинзы особенно важен для истории чтения корпуса. В диссертации С. Альдихиси он назван крупнейшим и описан как текст о происхождении Мира Света и Мира Тьмы, последовательных Жизнях, создании космоса и земного мира, Адаме и Еве, нисхождении души в тело и спасительном противостоянии силам тьмы [4]. Это описание относится к третьему трактату и не должно без доказательства превращаться в содержание всей Ginza.</w:t>
      </w:r>
    </w:p>
    <w:p>
      <w:r>
        <w:rPr>
          <w:b/>
          <w:i w:val="0"/>
        </w:rPr>
        <w:t>Осторожный пересказ.</w:t>
      </w:r>
      <w:r>
        <w:rPr>
          <w:b w:val="0"/>
          <w:i w:val="0"/>
        </w:rPr>
        <w:t xml:space="preserve"> Правую и Левую Гинзу удобно видеть как две связанные перспективы: первая чаще говорит о космическом устройстве, происхождении и человеческом положении, вторая — о смерти и возвращении души к свету. Но внутри каждой части остаётся много жанрового и тематического разнообразия.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>[3] «Ginza Rabba ‘The Great Treasure’ The Holy Book of the Mandaeans», Mandaean Union: https://www.mandaeanunion.org/en/component/k2/item/1383-ginza-rebba</w:t>
      </w:r>
    </w:p>
    <w:p>
      <w:pPr>
        <w:pStyle w:val="ListBullet"/>
      </w:pPr>
      <w:r>
        <w:rPr>
          <w:b w:val="0"/>
          <w:i w:val="0"/>
        </w:rPr>
        <w:t xml:space="preserve">[4] S. Aldihisi, </w:t>
      </w:r>
      <w:r>
        <w:rPr>
          <w:b w:val="0"/>
          <w:i/>
        </w:rPr>
        <w:t>The story of creation in the Mandaean holy book in the Ginza Rba</w:t>
      </w:r>
      <w:r>
        <w:rPr>
          <w:b w:val="0"/>
          <w:i w:val="0"/>
        </w:rPr>
        <w:t>: https://discovery.ucl.ac.uk/id/eprint/1444088/</w:t>
      </w:r>
    </w:p>
    <w:p>
      <w:pPr>
        <w:pStyle w:val="Heading1"/>
        <w:jc w:val="left"/>
      </w:pPr>
      <w:r>
        <w:rPr>
          <w:b w:val="0"/>
          <w:i w:val="0"/>
        </w:rPr>
        <w:t>Глава 3. Как устроены темы и жанры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Открытое описание Ginza начинается не с «сюжета», а с набора повторяющихся вопросов. Как возникли миры? Как соотносятся Мир Света и Мир Тьмы? Что такое человек — тело, душа и внутреннее, связанное со светом начало? Почему душа оказывается в земной телесности? Каким образом она может вернуться к своему источнику? Эти вопросы образуют богословскую рамку, но разные книги отвечают на них разными литературными средствами.</w:t>
      </w:r>
    </w:p>
    <w:p>
      <w:r>
        <w:rPr>
          <w:b w:val="0"/>
          <w:i w:val="0"/>
        </w:rPr>
        <w:t>Одной из центральных схем является противопоставление света и тьмы. В обзоре Iranica душа и «внутренний Адам» связаны с миром света, тогда как тело и земной мир описываются в связи с космическими силами тьмы; спасение представлено как освобождение души и её возвращение к свету [1]. Это полезное резюме основных образов, но не стенограмма каждого раздела и не повод объявлять мандаизм простой двухцветной системой.</w:t>
      </w:r>
    </w:p>
    <w:p>
      <w:r>
        <w:rPr>
          <w:b w:val="0"/>
          <w:i w:val="0"/>
        </w:rPr>
        <w:t>В Ginza переплетаются мифологическое повествование, космогония, антропогония, учительная речь, этическое наставление, гимническая образность и материалы о небесных посланниках. Третий трактат, например, имеет одновременно космогонический, антропогонический и повествовательный характер [4]. Краткое название «миф» здесь может быть слишком узким: текст одновременно рассказывает, объясняет, наставляет и формирует сакральную картину мира.</w:t>
      </w:r>
    </w:p>
    <w:p>
      <w:r>
        <w:rPr>
          <w:b w:val="0"/>
          <w:i w:val="0"/>
        </w:rPr>
        <w:t>Этический слой подтверждён как часть дидактического содержания Правой Гинзы [1], однако доступные нам источники не дают безопасного основания выписывать полный список норм и приписывать каждую формулу определённой книге без проверки рукописи. Для читателя лучше удерживать общий вывод: Ginza говорит не только о происхождении космоса, но и о том, как следует понимать человеческое положение и ответственность.</w:t>
      </w:r>
    </w:p>
    <w:p>
      <w:r>
        <w:rPr>
          <w:b w:val="0"/>
          <w:i w:val="0"/>
        </w:rPr>
        <w:t>Значимы также образы спасительных посредников и посланников света. В открытых синоптических описаниях упоминаются, среди прочего, Манда д-Хайе, Птahиль и Руха, но последовательность и функция этих фигур могут зависеть от трактата и редакции. Не следует превращать перечень имён в единую, бесспорную «систему персонажей».</w:t>
      </w:r>
    </w:p>
    <w:p>
      <w:r>
        <w:rPr>
          <w:b w:val="0"/>
          <w:i w:val="0"/>
        </w:rPr>
        <w:t>Связь с Книгой Иоанна также требует осторожности. В мандаейской традиции Иоанн Креститель занимает важное место, но Iranica подчёркивает, что он не считается основателем религии; исторические гипотезы о происхождении движения и его связи с последователями Иоанна остаются спорными [1]. Ginza нельзя читать как прямую биографию Иоанна или как доказательство одной линии происхождения мандаизма.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 xml:space="preserve">[4] S. Aldihisi, </w:t>
      </w:r>
      <w:r>
        <w:rPr>
          <w:b w:val="0"/>
          <w:i/>
        </w:rPr>
        <w:t>The story of creation in the Mandaean holy book in the Ginza Rba</w:t>
      </w:r>
      <w:r>
        <w:rPr>
          <w:b w:val="0"/>
          <w:i w:val="0"/>
        </w:rPr>
        <w:t>: https://discovery.ucl.ac.uk/id/eprint/1444088/</w:t>
      </w:r>
    </w:p>
    <w:p>
      <w:pPr>
        <w:pStyle w:val="ListBullet"/>
      </w:pPr>
      <w:r>
        <w:rPr>
          <w:b w:val="0"/>
          <w:i w:val="0"/>
        </w:rPr>
        <w:t>[5] James F. McGrath, «Polemic, Redaction, and History in the Mandaean Book of John»: https://digitalcommons.butler.edu/cgi/viewcontent.cgi?article=1941&amp;context=facsch_papers</w:t>
      </w:r>
    </w:p>
    <w:p>
      <w:pPr>
        <w:pStyle w:val="Heading1"/>
        <w:jc w:val="left"/>
      </w:pPr>
      <w:r>
        <w:rPr>
          <w:b w:val="0"/>
          <w:i w:val="0"/>
        </w:rPr>
        <w:t>Глава 4. Слои, датировки и язык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Ginza Rabba не следует датировать одной цифрой. В исследовательском описании Охада Абудрахама говорится, что корпус был скомпилирован в раннеисламскую эпоху [6]. Это утверждение относится к компиляции или редакции корпуса, а не к каждому входящему гимну, рассказу или богословскому фрагменту. Отдельные материалы могли иметь более раннюю историю, но точная стратификация остаётся предметом дискуссии.</w:t>
      </w:r>
    </w:p>
    <w:p>
      <w:r>
        <w:rPr>
          <w:b w:val="0"/>
          <w:i w:val="0"/>
        </w:rPr>
        <w:t>Самые ранние известные сохранившиеся копии, о которых сообщается в связи с парижскими кодексами, намного позднее предполагаемого формирования традиции. Codex Sabéen 1 датирован 1560 годом, Codex Sabéen 2 — 1632–1633 годами [6]. Это даты физических рукописей, а не даты возникновения текстов. Поздняя копия может сохранять более ранний материал, а ранняя предполагаемая формула не становится датированной только потому, что её переписали в позднем кодексе.</w:t>
      </w:r>
    </w:p>
    <w:p>
      <w:r>
        <w:rPr>
          <w:b w:val="0"/>
          <w:i w:val="0"/>
        </w:rPr>
        <w:t>Язык Ginza — классический мандейский, юго-восточный арамейский диалект. Encyclopaedia Iranica различает доклассический мандейский, классический мандейский и новейший разговорный мандейский [7]. Эта периодизация описывает языковые состояния и корпуса, а не автоматически дату изготовления конкретной рукописи. Письменная норма могла сохранять архаические черты, тогда как переписчик — обновлять или менять написание.</w:t>
      </w:r>
    </w:p>
    <w:p>
      <w:r>
        <w:rPr>
          <w:b w:val="0"/>
          <w:i w:val="0"/>
        </w:rPr>
        <w:t>Мандейское письмо имеет 23 графемы и обладает консервативной письменной формой; поздние рукописи могут демонстрировать смешение знаков и другие орфографические особенности [7]. Поэтому язык не работает как простые часы. Архаизм может быть унаследованной нормой, а необычное написание — следствием переписывания, фонетического развития, гиперкоррекции или аналогии.</w:t>
      </w:r>
    </w:p>
    <w:p>
      <w:r>
        <w:rPr>
          <w:b w:val="0"/>
          <w:i w:val="0"/>
        </w:rPr>
        <w:t>Некоторые исследователи по колофонам и другим данным предполагают важные этапы производства мандейских текстов уже в конце II — начале III века н. э. [8]. Это реконструкция по косвенным свидетельствам, а не дата сохранившегося экземпляра Ginza. Её следует представлять как вывод части исследователей, а не как установленную дату всего корпуса.</w:t>
      </w:r>
    </w:p>
    <w:p>
      <w:r>
        <w:rPr>
          <w:b/>
          <w:i w:val="0"/>
        </w:rPr>
        <w:t>Осторожный пересказ.</w:t>
      </w:r>
      <w:r>
        <w:rPr>
          <w:b w:val="0"/>
          <w:i w:val="0"/>
        </w:rPr>
        <w:t xml:space="preserve"> Для Ginza правильнее говорить о долгой истории формирования: более ранние материалы, устные и письменные практики, компиляция и позднейшее переписывание могли взаимодействовать. Непрерывной документальной цепи от поздней античности до известных кодексов у нас нет.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[6] Ohad Abudraham, «Codexes Sabéen 1 and Sabéen 2 of the Ginza Rabba Revisited»: https://www.academia.edu/29668026/Codexes_Sab%C3%A9en_1_and_Sab%C3%A9en_2_of_the_Ginza_Rabba_Revisited</w:t>
      </w:r>
    </w:p>
    <w:p>
      <w:pPr>
        <w:pStyle w:val="ListBullet"/>
      </w:pPr>
      <w:r>
        <w:rPr>
          <w:b w:val="0"/>
          <w:i w:val="0"/>
        </w:rPr>
        <w:t>[7] Carsten-Michael Walbiner, «Mandaeans v. Mandaic Language»: https://www.iranicaonline.org/articles/mandaeans/mandaeans-v-mandaic-language/</w:t>
      </w:r>
    </w:p>
    <w:p>
      <w:pPr>
        <w:pStyle w:val="ListBullet"/>
      </w:pPr>
      <w:r>
        <w:rPr>
          <w:b w:val="0"/>
          <w:i w:val="0"/>
        </w:rPr>
        <w:t>[8] James F. McGrath, «Revisiting the Mandaeans and the New Testament»: https://bibleinterp.arizona.edu/articles/2013/08/mcg378026</w:t>
      </w:r>
    </w:p>
    <w:p>
      <w:pPr>
        <w:pStyle w:val="Heading1"/>
        <w:jc w:val="left"/>
      </w:pPr>
      <w:r>
        <w:rPr>
          <w:b w:val="0"/>
          <w:i w:val="0"/>
        </w:rPr>
        <w:t>Глава 5. Рукописи и передача текста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mi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8"/>
          <w:sz w:val="16"/>
        </w:rPr>
        <w:t>Художественная метафора рукописной передачи; поверхности оставлены без письма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Ginza известна нам не из одного авторитетного оригинала, а через множество рукописных свидетелей. История европейского изучения часто начинается с издания М. Норберга 1815–1816 годов и публикации копии Ginza Rba Генрихом Петermann в 1867 году [8]. Но первое европейское издание не означает возникновения текста; это начало новой фазы научной доступности.</w:t>
      </w:r>
    </w:p>
    <w:p>
      <w:r>
        <w:rPr>
          <w:b w:val="0"/>
          <w:i w:val="0"/>
        </w:rPr>
        <w:t>Абудрахам показывает, что CS1 послужил основой издания Петermann, а CS2 — источником раннего издания Норберга [6]. В его описании встречаются конкретные типы расхождений: апокопа конечного /n/, гибридные и фонетические написания, ложные начала, гиперкоррекции, полное написание шва и аналогические изменения в числительных. Такие явления важны не как список «ошибок», а как свидетельства работы переписчиков и живой истории текста.</w:t>
      </w:r>
    </w:p>
    <w:p>
      <w:r>
        <w:rPr>
          <w:b w:val="0"/>
          <w:i w:val="0"/>
        </w:rPr>
        <w:t>Практический пример даёт диссертация Альдихиси о третьей книге. Перевод выполнялся непосредственно по мандейской рукописи, а ещё четыре рукописи Ginza из собрания Oriental and India Office Британской библиотеки использовались для критического аппарата вариантов [4]. Это означает, что переводчик отличал чтение основного свидетеля от вариантов других рукописей. Такой подход особенно важен там, где одно написание меняет смысл или показывает редакторское вмешательство.</w:t>
      </w:r>
    </w:p>
    <w:p>
      <w:r>
        <w:rPr>
          <w:b w:val="0"/>
          <w:i w:val="0"/>
        </w:rPr>
        <w:t>Введение Хэберла перечисляет европейские свидетели, доступные Петermann: Oxford, Bodleian, MS Huntingdon 6; три рукописи British Library, MSS Add. 23,599, 23,600 и 23,601; и четыре парижские рукописи, обозначенные как Paris A–D [2]. Эти обозначения следует цитировать именно как исторические сведения из введения. Перед современной ссылкой на предмет нужно сверять актуальную библиотечную карточку и возможные новые шифры.</w:t>
      </w:r>
    </w:p>
    <w:p>
      <w:r>
        <w:rPr>
          <w:b w:val="0"/>
          <w:i w:val="0"/>
        </w:rPr>
        <w:t>Передача текста включала не только переписывание, но и чтение, отбор, компиляцию и использование в религиозном контексте. Нельзя уверенно восстановить для каждого фрагмента цепочку «сначала устно, затем записано». Вернее говорить о взаимодействии устных, ритуальных и письменных практик.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[2] Charles G. Häberl, «Introduction to the New Edition»: https://scholarship.libraries.rutgers.edu/view/pdfCoverPage?instCode=01RUT_INST&amp;filePid=13643534100004646&amp;download=true</w:t>
      </w:r>
    </w:p>
    <w:p>
      <w:pPr>
        <w:pStyle w:val="ListBullet"/>
      </w:pPr>
      <w:r>
        <w:rPr>
          <w:b w:val="0"/>
          <w:i w:val="0"/>
        </w:rPr>
        <w:t xml:space="preserve">[4] S. Aldihisi, </w:t>
      </w:r>
      <w:r>
        <w:rPr>
          <w:b w:val="0"/>
          <w:i/>
        </w:rPr>
        <w:t>The story of creation in the Mandaean holy book in the Ginza Rba</w:t>
      </w:r>
      <w:r>
        <w:rPr>
          <w:b w:val="0"/>
          <w:i w:val="0"/>
        </w:rPr>
        <w:t>: https://discovery.ucl.ac.uk/id/eprint/1444088/</w:t>
      </w:r>
    </w:p>
    <w:p>
      <w:pPr>
        <w:pStyle w:val="ListBullet"/>
      </w:pPr>
      <w:r>
        <w:rPr>
          <w:b w:val="0"/>
          <w:i w:val="0"/>
        </w:rPr>
        <w:t>[6] Ohad Abudraham, «Codexes Sabéen 1 and Sabéen 2 of the Ginza Rabba Revisited»: https://www.academia.edu/29668026/Codexes_Sab%C3%A9en_1_and_Sab%C3%A9en_2_of_the_Ginza_Rabba_Revisited</w:t>
      </w:r>
    </w:p>
    <w:p>
      <w:pPr>
        <w:pStyle w:val="Heading1"/>
        <w:jc w:val="left"/>
      </w:pPr>
      <w:r>
        <w:rPr>
          <w:b w:val="0"/>
          <w:i w:val="0"/>
        </w:rPr>
        <w:t>Глава 6. Издания, переводы и ловушка «Лидзбарского»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Под названием «Лидзбарский 1925» обычно понимают немецкое издание Марка Лидзбарского: </w:t>
      </w:r>
      <w:r>
        <w:rPr>
          <w:b w:val="0"/>
          <w:i/>
        </w:rPr>
        <w:t>Ginzā, der Schatz oder das Grosse Buch der Mandäer</w:t>
      </w:r>
      <w:r>
        <w:rPr>
          <w:b w:val="0"/>
          <w:i w:val="0"/>
        </w:rPr>
        <w:t>. Библиографически это Göttingen: Vandenhoeck &amp; Ruprecht; Leipzig: J. C. Hinrichs, 1925 [9]. Цифровая запись Internet Archive указывает немецкий язык и xvii, [1], 619 страниц [10].</w:t>
      </w:r>
    </w:p>
    <w:p>
      <w:r>
        <w:rPr>
          <w:b w:val="0"/>
          <w:i w:val="0"/>
        </w:rPr>
        <w:t>Главное: Lidzbarski 1925 — полный немецкий перевод с комментариями, а не современная критическая редакция полного мандейского текста. Во введении Хэберла сказано, что перевод был первым полным переводом Ginza и основывался на издании Петermann; британские рукописи были почти полностью проигнорированы [2]. Поэтому ссылку на Лидзбарского нельзя выдавать за реконструированный мандейский оригинал.</w:t>
      </w:r>
    </w:p>
    <w:p>
      <w:r>
        <w:rPr>
          <w:b w:val="0"/>
          <w:i w:val="0"/>
        </w:rPr>
        <w:t xml:space="preserve">Есть и другая дата, которая иногда создаёт путаницу. Хэберл называет первым печатным изданием Ginza на мандейском языке книгу </w:t>
      </w:r>
      <w:r>
        <w:rPr>
          <w:b w:val="0"/>
          <w:i/>
        </w:rPr>
        <w:t>Ginza Rba: The Great Treasure</w:t>
      </w:r>
      <w:r>
        <w:rPr>
          <w:b w:val="0"/>
          <w:i w:val="0"/>
        </w:rPr>
        <w:t>, вышедшую в Сиднее в 1998 году [2]. Значит, 1925 — рубеж полного немецкого перевода, а 1998 — дата печатного мандейского издания в этой истории. Это не противоречие, а различие между переводом и публикацией текста на языке оригинала.</w:t>
      </w:r>
    </w:p>
    <w:p>
      <w:r>
        <w:rPr>
          <w:b w:val="0"/>
          <w:i w:val="0"/>
        </w:rPr>
        <w:t xml:space="preserve">Для практической ссылки безопасна формула: «Lidzbarski, Mark. </w:t>
      </w:r>
      <w:r>
        <w:rPr>
          <w:b w:val="0"/>
          <w:i/>
        </w:rPr>
        <w:t>Ginzā, der Schatz oder das Grosse Buch der Mandäer</w:t>
      </w:r>
      <w:r>
        <w:rPr>
          <w:b w:val="0"/>
          <w:i w:val="0"/>
        </w:rPr>
        <w:t>. Göttingen: Vandenhoeck &amp; Ruprecht; Leipzig: J. C. Hinrichs, 1925, [страница]. Немецкий перевод и комментарий; не критическое издание мандейского текста». Если нужно цитировать мандейский вариант, следует отдельно указать конкретную рукопись или современную редакцию.</w:t>
      </w:r>
    </w:p>
    <w:p>
      <w:r>
        <w:rPr>
          <w:b w:val="0"/>
          <w:i w:val="0"/>
        </w:rPr>
        <w:t xml:space="preserve">Современная издательская инициатива </w:t>
      </w:r>
      <w:r>
        <w:rPr>
          <w:b w:val="0"/>
          <w:i/>
        </w:rPr>
        <w:t>Ginza d’Hiia / The Treasure of Life</w:t>
      </w:r>
      <w:r>
        <w:rPr>
          <w:b w:val="0"/>
          <w:i w:val="0"/>
        </w:rPr>
        <w:t>, под редакцией Rabi Rafid Al-Sabti, заявляет первое издание 2022 года, 608 страниц, ISBN 978-9090360058 и сравнительное чтение 22 рукописей [11]. Это важный пример живой работы с корпусом, но общинно-типографское заявление не следует автоматически называть рецензируемой академической критической редакцией, пока не проверены список свидетелей и методология.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[2] Charles G. Häberl, «Introduction to the New Edition»: https://scholarship.libraries.rutgers.edu/view/pdfCoverPage?instCode=01RUT_INST&amp;filePid=13643534100004646&amp;download=true</w:t>
      </w:r>
    </w:p>
    <w:p>
      <w:pPr>
        <w:pStyle w:val="ListBullet"/>
      </w:pPr>
      <w:r>
        <w:rPr>
          <w:b w:val="0"/>
          <w:i w:val="0"/>
        </w:rPr>
        <w:t xml:space="preserve">[9] Mark Lidzbarski, </w:t>
      </w:r>
      <w:r>
        <w:rPr>
          <w:b w:val="0"/>
          <w:i/>
        </w:rPr>
        <w:t>Ginzā, der Schatz oder das Grosse Buch der Mandäer</w:t>
      </w:r>
      <w:r>
        <w:rPr>
          <w:b w:val="0"/>
          <w:i w:val="0"/>
        </w:rPr>
        <w:t>, WorldCat: https://search.worldcat.org/title/Ginza-der-Schatz-oder-das-Grosse-buch-der-Mandaer/oclc/2721427</w:t>
      </w:r>
    </w:p>
    <w:p>
      <w:pPr>
        <w:pStyle w:val="ListBullet"/>
      </w:pPr>
      <w:r>
        <w:rPr>
          <w:b w:val="0"/>
          <w:i w:val="0"/>
        </w:rPr>
        <w:t xml:space="preserve">[10] Internet Archive, </w:t>
      </w:r>
      <w:r>
        <w:rPr>
          <w:b w:val="0"/>
          <w:i/>
        </w:rPr>
        <w:t>Ginzā, der Schatz oder das Grosse buch der Mandäer</w:t>
      </w:r>
      <w:r>
        <w:rPr>
          <w:b w:val="0"/>
          <w:i w:val="0"/>
        </w:rPr>
        <w:t xml:space="preserve"> (1925): https://archive.org/details/MN41563ucmf_2</w:t>
      </w:r>
    </w:p>
    <w:p>
      <w:pPr>
        <w:pStyle w:val="ListBullet"/>
      </w:pPr>
      <w:r>
        <w:rPr>
          <w:b w:val="0"/>
          <w:i w:val="0"/>
        </w:rPr>
        <w:t>[11] Ardwan Al-Sabti, «Designing the Ginza d’Hiia»: https://ardwan.nl/ginza</w:t>
      </w:r>
    </w:p>
    <w:p>
      <w:pPr>
        <w:pStyle w:val="Heading1"/>
        <w:jc w:val="left"/>
      </w:pPr>
      <w:r>
        <w:rPr>
          <w:b w:val="0"/>
          <w:i w:val="0"/>
        </w:rPr>
        <w:t>Глава 7. Текст, комментарий и живая практика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ver-mem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8"/>
          <w:sz w:val="16"/>
        </w:rPr>
        <w:t>Речной пейзаж о связи живой традиции с водой; без изображения обряда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Читатель легко смешивает три разных объекта: текст мандейской рукописи; перевод или редакторский пересказ; и то, как корпус существует в религиозной жизни. К этому нужно добавить четвёртый слой — введения и комментарии исследователей. Они помогают читать текст, но сами не являются его частью. Переводчик может предлагать варианты, а учёный — объяснять редакционные решения; это интерпретация конкретного издания, а не обязательно содержание Ginza. Ginza Rabba важна для мандаев, но она не заменяет все остальные книги, жреческое знание, молитву, обряд, общину и материальные условия традиции.</w:t>
      </w:r>
    </w:p>
    <w:p>
      <w:r>
        <w:rPr>
          <w:b w:val="0"/>
          <w:i w:val="0"/>
        </w:rPr>
        <w:t xml:space="preserve">Iranica различает Ginza и Qolasta: последняя особенно важна для литургических гимнов, молитв и служб, тогда как Left Ginza участвует в контексте обряда </w:t>
      </w:r>
      <w:r>
        <w:rPr>
          <w:b w:val="0"/>
          <w:i/>
        </w:rPr>
        <w:t>masiqta</w:t>
      </w:r>
      <w:r>
        <w:rPr>
          <w:b w:val="0"/>
          <w:i w:val="0"/>
        </w:rPr>
        <w:t xml:space="preserve"> [1]. Отсюда не следует, что любой современный обряд можно просто извлечь из Ginza или что Ginza целиком объясняет богослужение.</w:t>
      </w:r>
    </w:p>
    <w:p>
      <w:r>
        <w:rPr>
          <w:b w:val="0"/>
          <w:i w:val="0"/>
        </w:rPr>
        <w:t xml:space="preserve">Современная практика связана с </w:t>
      </w:r>
      <w:r>
        <w:rPr>
          <w:b w:val="0"/>
          <w:i/>
        </w:rPr>
        <w:t>masbuta</w:t>
      </w:r>
      <w:r>
        <w:rPr>
          <w:b w:val="0"/>
          <w:i w:val="0"/>
        </w:rPr>
        <w:t xml:space="preserve">, крещением в проточной воде, жреческой службой и общинными пространствами. В описании общины в Иране </w:t>
      </w:r>
      <w:r>
        <w:rPr>
          <w:b w:val="0"/>
          <w:i/>
        </w:rPr>
        <w:t>mandi</w:t>
      </w:r>
      <w:r>
        <w:rPr>
          <w:b w:val="0"/>
          <w:i w:val="0"/>
        </w:rPr>
        <w:t xml:space="preserve"> представлен как место молитвы, служб, религиозного обучения и внутренних дел [12]. SOAS связывает жизнеспособность практики с реками, водным кризисом, миграцией и необходимостью поддерживать доступ к воде [13]. Это напоминает: священная книга живёт не только в библиотеке, но и в конкретных местах, телах, языках и отношениях общины.</w:t>
      </w:r>
    </w:p>
    <w:p>
      <w:r>
        <w:rPr>
          <w:b w:val="0"/>
          <w:i w:val="0"/>
        </w:rPr>
        <w:t>Проект University of Exeter подчёркивает, что науку долго занимали древние тексты и гипотезы о «гностицизме», из-за чего живая мандаейская традиция оставалась в тени [14]. Там же отмечается, что мандаеи считали ритуалы более важными и более древними, чем тексты. Это не позволяет заменить самоописание общины внешней классификацией.</w:t>
      </w:r>
    </w:p>
    <w:p>
      <w:r>
        <w:rPr>
          <w:b w:val="0"/>
          <w:i w:val="0"/>
        </w:rPr>
        <w:t>Открытые публикации не отменяют границ доступа. Источники сообщают, что часть жреческого знания не предназначена для посторонних, посвящения в значительной степени непубличны, а некоторые тексты остаются неопубликованными или предназначены для жрецов [1], [12], [14]. Поэтому даже найденный онлайн материал нельзя автоматически пересказывать, реконструировать или применять как практическую инструкцию.</w:t>
      </w:r>
    </w:p>
    <w:p>
      <w:r>
        <w:rPr>
          <w:b/>
          <w:i w:val="0"/>
        </w:rPr>
        <w:t>Осторожный пересказ.</w:t>
      </w:r>
      <w:r>
        <w:rPr>
          <w:b w:val="0"/>
          <w:i w:val="0"/>
        </w:rPr>
        <w:t xml:space="preserve"> Ginza — центральный священный корпус, но её значение раскрывается внутри более широкой системы книг, ритуалов, жреческой передачи, общинной памяти и современной борьбы за сохранение языка и доступа к воде.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>[12] Encyclopaedia Iranica, «Mandaeans IV. Community in Iran»: https://www.iranicaonline.org/articles/mandaeans/mandaeans-iv-community-in-iran/</w:t>
      </w:r>
    </w:p>
    <w:p>
      <w:pPr>
        <w:pStyle w:val="ListBullet"/>
      </w:pPr>
      <w:r>
        <w:rPr>
          <w:b w:val="0"/>
          <w:i w:val="0"/>
        </w:rPr>
        <w:t>[13] SOAS, «Water, ritual, and resilience among Iraq’s Mandaeans»: https://www.soas.ac.uk/about/blogs/faith-crisis-water-ritual-and-resilience-among-iraqs-mandaeans</w:t>
      </w:r>
    </w:p>
    <w:p>
      <w:pPr>
        <w:pStyle w:val="ListBullet"/>
      </w:pPr>
      <w:r>
        <w:rPr>
          <w:b w:val="0"/>
          <w:i w:val="0"/>
        </w:rPr>
        <w:t>[14] University of Exeter, «Academic Studies of the Mandaeans»: https://mandaeanpriests.exeter.ac.uk/academic-studies-of-the-mandaeans</w:t>
      </w:r>
    </w:p>
    <w:p>
      <w:pPr>
        <w:pStyle w:val="Heading1"/>
        <w:jc w:val="left"/>
      </w:pPr>
      <w:r>
        <w:rPr>
          <w:b w:val="0"/>
          <w:i w:val="0"/>
        </w:rPr>
        <w:t>Глава 8. Что остаётся спорным</w:t>
      </w:r>
    </w:p>
    <w:p>
      <w:r>
        <w:rPr>
          <w:b/>
          <w:i w:val="0"/>
        </w:rPr>
        <w:t>Авторский обзор.</w:t>
      </w:r>
      <w:r>
        <w:rPr>
          <w:b w:val="0"/>
          <w:i w:val="0"/>
        </w:rPr>
        <w:t xml:space="preserve"> Нельзя уверенно назвать одну дату составления Ginza, одного автора или единую исходную редакцию. Ранние и поздние слои переплетены, а source analysis и redaction analysis не дали общепринятого результата [1]. Поэтому фраза «первоначальное учение Ginza» требует уточнения: о каком трактате, каком свидетеле и каком аргументе идёт речь?</w:t>
      </w:r>
    </w:p>
    <w:p>
      <w:r>
        <w:rPr>
          <w:b w:val="0"/>
          <w:i w:val="0"/>
        </w:rPr>
        <w:t>Не следует также превращать даты рукописей в даты традиции. 1560 и 1632–1633 годы относятся к CS1 и CS2 как к сохранившимся физическим кодексам [6]. Они не говорят, когда были созданы отдельные гимны или рассказы. Отсутствие более ранней найденной копии не доказывает, что более ранних рукописей никогда не существовало.</w:t>
      </w:r>
    </w:p>
    <w:p>
      <w:r>
        <w:rPr>
          <w:b w:val="0"/>
          <w:i w:val="0"/>
        </w:rPr>
        <w:t>Исторические связи с Палестиной, Иоанном Крестителем, христианскими, иудейскими, иранскими или месопотамскими традициями требуют отдельной доказательной работы. Наличие похожего мотива не доказывает прямого заимствования. Особенно осторожно нужно обращаться со словом «гностицизм»: это внешняя исследовательская категория, а не универсальная формула самоописания мандаев [14].</w:t>
      </w:r>
    </w:p>
    <w:p>
      <w:r>
        <w:rPr>
          <w:b w:val="0"/>
          <w:i w:val="0"/>
        </w:rPr>
        <w:t>Открытые цифровые изображения тоже не решают всех вопросов. Bodleian Libraries открывает объект MS. Drower 6 (R) и фотографии под лицензией CC BY-NC 4.0 [15], но каталог не является полной дипломатической публикацией или переводом всего корпуса. Отдельная доступная рукопись не делает доступной всю Ginza.</w:t>
      </w:r>
    </w:p>
    <w:p>
      <w:r>
        <w:rPr>
          <w:b w:val="0"/>
          <w:i w:val="0"/>
        </w:rPr>
        <w:t>Наконец, нужно различать историческую неопределённость и этическое ограничение. Если деталь закрыта для непосвящённых или не подтверждается открытым источником, её нельзя «достраивать» по аналогии. Неполнота знания — не пробел, который автор обязан заполнить.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>[6] Ohad Abudraham, «Codexes Sabéen 1 and Sabéen 2 of the Ginza Rabba Revisited»: https://www.academia.edu/29668026/Codexes_Sab%C3%A9en_1_and_Sab%C3%A9en_2_of_the_Ginza_Rabba_Revisited</w:t>
      </w:r>
    </w:p>
    <w:p>
      <w:pPr>
        <w:pStyle w:val="ListBullet"/>
      </w:pPr>
      <w:r>
        <w:rPr>
          <w:b w:val="0"/>
          <w:i w:val="0"/>
        </w:rPr>
        <w:t>[14] University of Exeter, «Academic Studies of the Mandaeans»: https://mandaeanpriests.exeter.ac.uk/academic-studies-of-the-mandaeans</w:t>
      </w:r>
    </w:p>
    <w:p>
      <w:pPr>
        <w:pStyle w:val="ListBullet"/>
      </w:pPr>
      <w:r>
        <w:rPr>
          <w:b w:val="0"/>
          <w:i w:val="0"/>
        </w:rPr>
        <w:t>[15] Bodleian Libraries, «Bodleian Library MS. Drower 6 (R)»: https://digital.bodleian.ox.ac.uk/objects/11053737-8dad-43be-93f4-df09382aed89/</w:t>
      </w:r>
    </w:p>
    <w:p>
      <w:pPr>
        <w:pStyle w:val="Heading1"/>
        <w:jc w:val="left"/>
      </w:pPr>
      <w:r>
        <w:rPr>
          <w:b w:val="0"/>
          <w:i w:val="0"/>
        </w:rPr>
        <w:t>Глава 9. Как читать уважительно</w:t>
      </w:r>
    </w:p>
    <w:p>
      <w:r>
        <w:rPr>
          <w:b/>
          <w:i w:val="0"/>
        </w:rPr>
        <w:t>Осторожный пересказ.</w:t>
      </w:r>
      <w:r>
        <w:rPr>
          <w:b w:val="0"/>
          <w:i w:val="0"/>
        </w:rPr>
        <w:t xml:space="preserve"> Уважительное чтение Ginza начинается с отказа от иллюзии полного владения текстом. Не стоит обращаться с ней как с «забытым кодексом», который внешний читатель наконец-то раскроет лучше носителей традиции. Правильнее видеть перед собой живой священный корпус, доступный исследователю лишь частично и в конкретных редакциях.</w:t>
      </w:r>
    </w:p>
    <w:p>
      <w:r>
        <w:rPr>
          <w:b w:val="0"/>
          <w:i w:val="0"/>
        </w:rPr>
        <w:t>Во-первых, называйте издание и перевод. «Лидзбарский говорит» означает не то же самое, что «мандейская рукопись говорит»: это немецкий перевод и комментарий 1925 года, основанный на Петermann и не учитывающий полноценно британские свидетели [2]. Для мандейского варианта указывайте рукопись или современную редакцию отдельно.</w:t>
      </w:r>
    </w:p>
    <w:p>
      <w:r>
        <w:rPr>
          <w:b w:val="0"/>
          <w:i w:val="0"/>
        </w:rPr>
        <w:t>Во-вторых, не стирайте различия между общинами. Формулы «мандаеи считают» лучше заменять на «этот источник сообщает», «в этой общине описывается» или «исследователь предлагает такую интерпретацию». Мандаейские общины живут в разных странах и могут различаться по языку, доступу к жрецам, ритуальным условиям и степени публичности знания.</w:t>
      </w:r>
    </w:p>
    <w:p>
      <w:r>
        <w:rPr>
          <w:b w:val="0"/>
          <w:i w:val="0"/>
        </w:rPr>
        <w:t>В-третьих, не превращайте открытость в разрешение. Не пересказывайте закрытые посвященческие сведения, сакральные формулы, последовательности действий или тайные толкования, если они не предназначены для публичного чтения. Не пытайтесь реконструировать их по каталогам, случайным фотографиям или старым этнографическим описаниям.</w:t>
      </w:r>
    </w:p>
    <w:p>
      <w:r>
        <w:rPr>
          <w:b w:val="0"/>
          <w:i w:val="0"/>
        </w:rPr>
        <w:t>В-четвёртых, сохраняйте масштаб утверждения. Третий трактат может освещать космогонию, но не тем самым представляет содержание всех 21 книг. Left Ginza связана с душой и посмертным путём, но не исчерпывается одной формулой. Поздний кодекс может сохранять ранний материал, но не становится автоматически ранней рукописью.</w:t>
      </w:r>
    </w:p>
    <w:p>
      <w:r>
        <w:rPr>
          <w:b w:val="0"/>
          <w:i w:val="0"/>
        </w:rPr>
        <w:t>Наконец, читайте Ginza в связке с историей её носителей. Река, язык, жреческая передача, общинное пространство, миграция и экологический кризис — не внешние детали, а условия, в которых священный корпус продолжает существовать. Любознательность здесь должна идти вместе с точностью, смирением и уважением к праву общины самой определять границы публичного знания.</w:t>
      </w:r>
    </w:p>
    <w:p>
      <w:pPr>
        <w:pStyle w:val="Heading2"/>
        <w:jc w:val="left"/>
      </w:pPr>
      <w:r>
        <w:rPr>
          <w:b w:val="0"/>
          <w:i w:val="0"/>
        </w:rPr>
        <w:t>Источники этой главы</w:t>
      </w:r>
    </w:p>
    <w:p>
      <w:pPr>
        <w:pStyle w:val="ListBullet"/>
      </w:pPr>
      <w:r>
        <w:rPr>
          <w:b w:val="0"/>
          <w:i w:val="0"/>
        </w:rPr>
        <w:t>[1] Kurt Rudolph, «Mandaeans II. The Mandaean Religion»: https://www.iranicaonline.org/articles/mandaeans/mandaeans-ii-the-mandaean-religion/</w:t>
      </w:r>
    </w:p>
    <w:p>
      <w:pPr>
        <w:pStyle w:val="ListBullet"/>
      </w:pPr>
      <w:r>
        <w:rPr>
          <w:b w:val="0"/>
          <w:i w:val="0"/>
        </w:rPr>
        <w:t>[2] Charles G. Häberl, «Introduction to the New Edition»: https://scholarship.libraries.rutgers.edu/view/pdfCoverPage?instCode=01RUT_INST&amp;filePid=13643534100004646&amp;download=true</w:t>
      </w:r>
    </w:p>
    <w:p>
      <w:pPr>
        <w:pStyle w:val="ListBullet"/>
      </w:pPr>
      <w:r>
        <w:rPr>
          <w:b w:val="0"/>
          <w:i w:val="0"/>
        </w:rPr>
        <w:t>[12] Encyclopaedia Iranica, «Mandaeans IV. Community in Iran»: https://www.iranicaonline.org/articles/mandaeans/mandaeans-iv-community-in-iran/</w:t>
      </w:r>
    </w:p>
    <w:p>
      <w:pPr>
        <w:pStyle w:val="ListBullet"/>
      </w:pPr>
      <w:r>
        <w:rPr>
          <w:b w:val="0"/>
          <w:i w:val="0"/>
        </w:rPr>
        <w:t>[14] University of Exeter, «Academic Studies of the Mandaeans»: https://mandaeanpriests.exeter.ac.uk/academic-studies-of-the-mandaeans</w:t>
      </w:r>
    </w:p>
    <w:p>
      <w:pPr>
        <w:pBdr>
          <w:bottom w:val="single" w:sz="8" w:space="1" w:color="B99754"/>
        </w:pBdr>
      </w:pPr>
    </w:p>
    <w:p>
      <w:pPr>
        <w:pStyle w:val="Heading1"/>
        <w:jc w:val="left"/>
      </w:pPr>
      <w:r>
        <w:rPr>
          <w:b w:val="0"/>
          <w:i w:val="0"/>
        </w:rPr>
        <w:t>Краткое заключение</w:t>
      </w:r>
    </w:p>
    <w:p>
      <w:r>
        <w:rPr>
          <w:b w:val="0"/>
          <w:i w:val="0"/>
        </w:rPr>
        <w:t>Ginza Rabba — это не одна прозрачная книга, а многослойная мандейская сокровищница. Правая и Левая Гинза образуют её традиционную архитектуру; космология света и тьмы, происхождение мира и человека, положение души, наставление и надежда на возвращение к свету — её наиболее устойчивые открытые темы. Но каждое такое резюме требует привязки к конкретному трактату, рукописи и исследовательскому источнику.</w:t>
      </w:r>
    </w:p>
    <w:p>
      <w:r>
        <w:rPr>
          <w:b w:val="0"/>
          <w:i w:val="0"/>
        </w:rPr>
        <w:t>История корпуса видна через поздние сохранившиеся кодексы, ранние европейские издания, переводы и современные сравнительные проекты. Она не даёт простой даты рождения текста и не отменяет вариативность рукописной передачи. А значение Ginza не исчерпывается страницами: оно раскрывается в живой религии, где книги соседствуют с ритуалом, жречеством, общиной, водой и памятью.</w:t>
      </w:r>
    </w:p>
    <w:p>
      <w:r>
        <w:rPr>
          <w:b w:val="0"/>
          <w:i w:val="0"/>
        </w:rPr>
        <w:t>Поэтому лучший способ начать чтение — не спрашивать, «какая единственная версия истинна», а уточнять: какой текст, какой свидетель, какой перевод, какой источник и чьё право на комментарий перед нами.</w:t>
      </w:r>
    </w:p>
    <w:p>
      <w:pPr>
        <w:pStyle w:val="Heading1"/>
        <w:jc w:val="left"/>
      </w:pPr>
      <w:r>
        <w:rPr>
          <w:b w:val="0"/>
          <w:i w:val="0"/>
        </w:rPr>
        <w:t>Источники</w:t>
      </w:r>
    </w:p>
    <w:p>
      <w:r>
        <w:rPr>
          <w:b w:val="0"/>
          <w:i w:val="0"/>
        </w:rPr>
        <w:t>[1]: https://www.iranicaonline.org/articles/mandaeans/mandaeans-ii-the-mandaean-religion/ «Mandaeans II. The Mandaean Religion»</w:t>
      </w:r>
    </w:p>
    <w:p>
      <w:r>
        <w:rPr>
          <w:b w:val="0"/>
          <w:i w:val="0"/>
        </w:rPr>
        <w:t>[2]: https://scholarship.libraries.rutgers.edu/view/pdfCoverPage?instCode=01RUT_INST&amp;filePid=13643534100004646&amp;download=true «Introduction to the New Edition, in The Great Treasure of the Mandaeans»</w:t>
      </w:r>
    </w:p>
    <w:p>
      <w:r>
        <w:rPr>
          <w:b w:val="0"/>
          <w:i w:val="0"/>
        </w:rPr>
        <w:t>[3]: https://www.mandaeanunion.org/en/component/k2/item/1383-ginza-rebba «Ginza Rabba ‘The Great Treasure’ The Holy Book of the Mandaeans»</w:t>
      </w:r>
    </w:p>
    <w:p>
      <w:r>
        <w:rPr>
          <w:b w:val="0"/>
          <w:i w:val="0"/>
        </w:rPr>
        <w:t>[4]: https://discovery.ucl.ac.uk/id/eprint/1444088/ «The story of creation in the Mandaean holy book in the Ginza Rba»</w:t>
      </w:r>
    </w:p>
    <w:p>
      <w:r>
        <w:rPr>
          <w:b w:val="0"/>
          <w:i w:val="0"/>
        </w:rPr>
        <w:t>[5]: https://digitalcommons.butler.edu/cgi/viewcontent.cgi?article=1941&amp;context=facsch_papers «Polemic, Redaction, and History in the Mandaean Book of John»</w:t>
      </w:r>
    </w:p>
    <w:p>
      <w:r>
        <w:rPr>
          <w:b w:val="0"/>
          <w:i w:val="0"/>
        </w:rPr>
        <w:t>[6]: https://www.academia.edu/29668026/Codexes_Sab%C3%A9en_1_and_Sab%C3%A9en_2_of_the_Ginza_Rabba_Revisited «Codexes Sabéen 1 and Sabéen 2 of the Ginza Rabba Revisited»</w:t>
      </w:r>
    </w:p>
    <w:p>
      <w:r>
        <w:rPr>
          <w:b w:val="0"/>
          <w:i w:val="0"/>
        </w:rPr>
        <w:t>[7]: https://www.iranicaonline.org/articles/mandaeans/mandaeans-v-mandaic-language/ «Mandaeans v. Mandaic Language»</w:t>
      </w:r>
    </w:p>
    <w:p>
      <w:r>
        <w:rPr>
          <w:b w:val="0"/>
          <w:i w:val="0"/>
        </w:rPr>
        <w:t>[8]: https://bibleinterp.arizona.edu/articles/2013/08/mcg378026 «Revisiting the Mandaeans and the New Testament»</w:t>
      </w:r>
    </w:p>
    <w:p>
      <w:r>
        <w:rPr>
          <w:b w:val="0"/>
          <w:i w:val="0"/>
        </w:rPr>
        <w:t>[9]: https://search.worldcat.org/title/Ginza-der-Schatz-oder-das-Grosse-buch-der-Mandaer/oclc/2721427 «Ginzā, der Schatz oder das Grosse buch der Mandäer, OCLC 2721427»</w:t>
      </w:r>
    </w:p>
    <w:p>
      <w:r>
        <w:rPr>
          <w:b w:val="0"/>
          <w:i w:val="0"/>
        </w:rPr>
        <w:t>[10]: https://archive.org/details/MN41563ucmf_2 «Ginzā, der Schatz oder das Grosse buch der Mandäer (1925)»</w:t>
      </w:r>
    </w:p>
    <w:p>
      <w:r>
        <w:rPr>
          <w:b w:val="0"/>
          <w:i w:val="0"/>
        </w:rPr>
        <w:t>[11]: https://ardwan.nl/ginza «Designing the Ginza d’Hiia»</w:t>
      </w:r>
    </w:p>
    <w:p>
      <w:r>
        <w:rPr>
          <w:b w:val="0"/>
          <w:i w:val="0"/>
        </w:rPr>
        <w:t>[12]: https://www.iranicaonline.org/articles/mandaeans/mandaeans-iv-community-in-iran/ «Mandaeans IV. Community in Iran»</w:t>
      </w:r>
    </w:p>
    <w:p>
      <w:r>
        <w:rPr>
          <w:b w:val="0"/>
          <w:i w:val="0"/>
        </w:rPr>
        <w:t>[13]: https://www.soas.ac.uk/about/blogs/faith-crisis-water-ritual-and-resilience-among-iraqs-mandaeans «Water, ritual, and resilience among Iraq’s Mandaeans»</w:t>
      </w:r>
    </w:p>
    <w:p>
      <w:r>
        <w:rPr>
          <w:b w:val="0"/>
          <w:i w:val="0"/>
        </w:rPr>
        <w:t>[14]: https://mandaeanpriests.exeter.ac.uk/academic-studies-of-the-mandaeans «Academic Studies of the Mandaeans»</w:t>
      </w:r>
    </w:p>
    <w:p>
      <w:r>
        <w:rPr>
          <w:b w:val="0"/>
          <w:i w:val="0"/>
        </w:rPr>
        <w:t>[15]: https://digital.bodleian.ox.ac.uk/objects/11053737-8dad-43be-93f4-df09382aed89/ «Bodleian Library MS. Drower 6 (R)»</w:t>
      </w:r>
    </w:p>
    <w:sectPr w:rsidR="00FC693F" w:rsidRPr="0006063C" w:rsidSect="00034616">
      <w:headerReference w:type="default" r:id="rId9"/>
      <w:footerReference w:type="default" r:id="rId10"/>
      <w:pgSz w:w="8391" w:h="11906"/>
      <w:pgMar w:top="850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8708A"/>
        <w:sz w:val="16"/>
      </w:rPr>
      <w:t xml:space="preserve">Авторский путеводитель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4B707D"/>
        <w:sz w:val="16"/>
      </w:rPr>
      <w:t>HARVYRÐ  ·  Ginza Rabba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DejaVu Serif" w:hAnsi="DejaVu Serif"/>
      <w:color w:val="2631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E2B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E2B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5540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b w:val="0"/>
      <w:color w:val="1B28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