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8000" cy="58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cosmo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58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" w:hAnsi="Noto Sans"/>
          <w:b/>
          <w:color w:val="10443E"/>
          <w:sz w:val="50"/>
        </w:rPr>
        <w:t>HARVYRÐ</w:t>
      </w:r>
    </w:p>
    <w:p>
      <w:pPr>
        <w:jc w:val="center"/>
      </w:pPr>
      <w:r>
        <w:rPr>
          <w:rFonts w:ascii="Noto Sans" w:hAnsi="Noto Sans"/>
          <w:b/>
          <w:color w:val="10443E"/>
          <w:sz w:val="34"/>
        </w:rPr>
        <w:t>ХАРВИРД</w:t>
      </w:r>
    </w:p>
    <w:p>
      <w:pPr>
        <w:jc w:val="center"/>
      </w:pPr>
      <w:r>
        <w:rPr>
          <w:rFonts w:ascii="Noto Sans" w:hAnsi="Noto Sans"/>
          <w:b w:val="0"/>
          <w:color w:val="B99453"/>
          <w:sz w:val="26"/>
        </w:rPr>
        <w:t>Суть с писаний</w:t>
      </w:r>
    </w:p>
    <w:p>
      <w:pPr>
        <w:jc w:val="center"/>
      </w:pPr>
      <w:r>
        <w:rPr>
          <w:rFonts w:ascii="Noto Sans" w:hAnsi="Noto Sans"/>
          <w:b/>
          <w:color w:val="263238"/>
          <w:sz w:val="22"/>
        </w:rPr>
        <w:t>Писание первое — КОРАН</w:t>
      </w:r>
    </w:p>
    <w:p>
      <w:pPr>
        <w:jc w:val="center"/>
      </w:pPr>
      <w:r>
        <w:rPr>
          <w:rFonts w:ascii="Noto Sans" w:hAnsi="Noto Sans"/>
          <w:b w:val="0"/>
          <w:color w:val="263238"/>
          <w:sz w:val="18"/>
        </w:rPr>
        <w:t>Авторское исследование и смысловое изложение</w:t>
      </w:r>
    </w:p>
    <w:p>
      <w:pPr>
        <w:jc w:val="center"/>
      </w:pPr>
      <w:r>
        <w:rPr>
          <w:rFonts w:ascii="Noto Sans" w:hAnsi="Noto Sans"/>
          <w:b/>
          <w:color w:val="10443E"/>
          <w:sz w:val="20"/>
        </w:rPr>
        <w:t>Erwann Harvyrð · Эрван Харвирд</w:t>
      </w:r>
    </w:p>
    <w:p>
      <w:pPr>
        <w:jc w:val="center"/>
      </w:pPr>
      <w:r>
        <w:rPr>
          <w:rFonts w:ascii="Noto Sans" w:hAnsi="Noto Sans"/>
          <w:b w:val="0"/>
          <w:color w:val="66757A"/>
          <w:sz w:val="16"/>
        </w:rPr>
        <w:t>Пилотная редакция v0.4 · имя PROPOSED</w:t>
      </w:r>
    </w:p>
    <w:p>
      <w:r>
        <w:br w:type="page"/>
      </w:r>
    </w:p>
    <w:p>
      <w:pPr>
        <w:pStyle w:val="Heading1"/>
      </w:pPr>
      <w:r>
        <w:rPr>
          <w:rFonts w:ascii="Noto Serif" w:hAnsi="Noto Serif" w:eastAsia="Noto Serif"/>
          <w:b w:val="0"/>
          <w:i w:val="0"/>
        </w:rPr>
        <w:t>HARVYRÐ — ХАРВИРД</w:t>
      </w:r>
    </w:p>
    <w:p>
      <w:pPr>
        <w:pStyle w:val="Heading2"/>
      </w:pPr>
      <w:r>
        <w:rPr>
          <w:rFonts w:ascii="Noto Serif" w:hAnsi="Noto Serif" w:eastAsia="Noto Serif"/>
          <w:b w:val="0"/>
          <w:i w:val="0"/>
        </w:rPr>
        <w:t>Суть с писаний</w:t>
      </w:r>
    </w:p>
    <w:p>
      <w:r>
        <w:rPr>
          <w:rFonts w:ascii="Noto Serif" w:hAnsi="Noto Serif" w:eastAsia="Noto Serif"/>
          <w:b/>
          <w:i w:val="0"/>
        </w:rPr>
        <w:t>Писание первое — КОРАН</w:t>
      </w:r>
      <w:r>
        <w:rPr>
          <w:rFonts w:ascii="Noto Serif" w:hAnsi="Noto Serif" w:eastAsia="Noto Serif"/>
          <w:b w:val="0"/>
          <w:i w:val="0"/>
        </w:rPr>
        <w:br/>
        <w:t>Авторское исследование и смысловое изложение</w:t>
      </w:r>
      <w:r>
        <w:rPr>
          <w:rFonts w:ascii="Noto Serif" w:hAnsi="Noto Serif" w:eastAsia="Noto Serif"/>
          <w:b w:val="0"/>
          <w:i w:val="0"/>
        </w:rPr>
        <w:br/>
      </w:r>
      <w:r>
        <w:rPr>
          <w:rFonts w:ascii="Noto Serif" w:hAnsi="Noto Serif" w:eastAsia="Noto Serif"/>
          <w:b/>
          <w:i w:val="0"/>
        </w:rPr>
        <w:t>Erwann Harvyrð</w:t>
      </w:r>
      <w:r>
        <w:rPr>
          <w:rFonts w:ascii="Noto Serif" w:hAnsi="Noto Serif" w:eastAsia="Noto Serif"/>
          <w:b w:val="0"/>
          <w:i w:val="0"/>
        </w:rPr>
        <w:t xml:space="preserve"> · Эрван Харвирд</w:t>
      </w:r>
      <w:r>
        <w:rPr>
          <w:rFonts w:ascii="Noto Serif" w:hAnsi="Noto Serif" w:eastAsia="Noto Serif"/>
          <w:b w:val="0"/>
          <w:i w:val="0"/>
        </w:rPr>
        <w:br/>
        <w:t>Авторская концепция серии: Velan (унаследованное обозначение v0.3; просит подтверждения владельца)</w:t>
      </w:r>
      <w:r>
        <w:rPr>
          <w:rFonts w:ascii="Noto Serif" w:hAnsi="Noto Serif" w:eastAsia="Noto Serif"/>
          <w:b w:val="0"/>
          <w:i w:val="0"/>
        </w:rPr>
        <w:br/>
      </w:r>
      <w:r>
        <w:rPr>
          <w:rFonts w:ascii="Noto Serif" w:hAnsi="Noto Serif" w:eastAsia="Noto Serif"/>
          <w:b/>
          <w:i w:val="0"/>
        </w:rPr>
        <w:t>Статус псевдонима: PROPOSED</w:t>
      </w:r>
      <w:r>
        <w:rPr>
          <w:rFonts w:ascii="Noto Serif" w:hAnsi="Noto Serif" w:eastAsia="Noto Serif"/>
          <w:b w:val="0"/>
          <w:i w:val="0"/>
        </w:rPr>
        <w:t xml:space="preserve"> · цифровое написание: HARVYRD</w:t>
      </w:r>
      <w:r>
        <w:rPr>
          <w:rFonts w:ascii="Noto Serif" w:hAnsi="Noto Serif" w:eastAsia="Noto Serif"/>
          <w:b w:val="0"/>
          <w:i w:val="0"/>
        </w:rPr>
        <w:br/>
      </w:r>
      <w:r>
        <w:rPr>
          <w:rFonts w:ascii="Noto Serif" w:hAnsi="Noto Serif" w:eastAsia="Noto Serif"/>
          <w:b/>
          <w:i w:val="0"/>
        </w:rPr>
        <w:t>v0.4 · проверяемая пилотная редакция · 13 октября 2026 года</w:t>
      </w:r>
    </w:p>
    <w:p>
      <w:r>
        <w:rPr>
          <w:rFonts w:ascii="Noto Serif" w:hAnsi="Noto Serif" w:eastAsia="Noto Serif"/>
          <w:b w:val="0"/>
          <w:i w:val="0"/>
        </w:rPr>
        <w:t>Это авторская сравнительно-религиоведческая и философская работа. Она не является переводом Корана, не заменяет чтение первоисточника и не формулирует новое исламское учение.</w:t>
      </w:r>
    </w:p>
    <w:p>
      <w:r>
        <w:rPr>
          <w:rFonts w:ascii="Noto Serif" w:hAnsi="Noto Serif" w:eastAsia="Noto Serif"/>
          <w:b/>
          <w:i w:val="0"/>
        </w:rPr>
        <w:t>Фактическая граница v0.4.</w:t>
      </w:r>
      <w:r>
        <w:rPr>
          <w:rFonts w:ascii="Noto Serif" w:hAnsi="Noto Serif" w:eastAsia="Noto Serif"/>
          <w:b w:val="0"/>
          <w:i w:val="0"/>
        </w:rPr>
        <w:t xml:space="preserve"> Последовательная смысловая разметка выполнена для 1:1–7 и 2:1–29: 36 аятов. Дополнительно разобраны шесть контрольных случаев в восьми аятах: 2:177, 4:135, 5:32, 5:89, 49:6 и 49:11–13. Нумерация — стандартная куфийская; структурный каталог содержит 114 сур и 6 236 аятов. </w:t>
      </w:r>
      <w:hyperlink r:id="rId12">
        <w:r>
          <w:rPr>
            <w:color w:val="11616A"/>
            <w:u w:val="single"/>
          </w:rPr>
          <w:t>18</w:t>
        </w:r>
      </w:hyperlink>
      <w:r>
        <w:rPr>
          <w:rFonts w:ascii="Noto Serif" w:hAnsi="Noto Serif" w:eastAsia="Noto Serif"/>
          <w:b w:val="0"/>
          <w:i w:val="0"/>
        </w:rPr>
        <w:t xml:space="preserve"> Это не означает, что они все исследованы: 114-сурная карта — только указатель. Унаследованный реестр v0.3 содержит 18 записей диапазонов, 31 уникальный аят в 13 сурах и 65 примеров REVIEW в 29 сурах; они не равны новому последовательному анализу. Ни одна сура не объявлена полностью исследованной в богословском или филологическом смысле. Все перенесённые из v0.3 читательские главы и «карта возможного смыслового ядра» являются EDITORIAL SYNTHESIS, не повторно аудированными целиком и не равными окончательному выбору CORE автором.</w:t>
      </w:r>
    </w:p>
    <w:p>
      <w:pPr>
        <w:pStyle w:val="Heading2"/>
      </w:pPr>
      <w:r>
        <w:rPr>
          <w:rFonts w:ascii="Noto Serif" w:hAnsi="Noto Serif" w:eastAsia="Noto Serif"/>
          <w:b w:val="0"/>
          <w:i w:val="0"/>
        </w:rPr>
        <w:t>Содержание</w:t>
      </w:r>
    </w:p>
    <w:p>
      <w:pPr>
        <w:pStyle w:val="ListBullet"/>
      </w:pPr>
      <w:hyperlink w:anchor="harvyr">
        <w:r>
          <w:rPr>
            <w:color w:val="11616A"/>
            <w:u w:val="single"/>
          </w:rPr>
          <w:t>HARVYRÐ — ХАРВИРД</w:t>
        </w:r>
      </w:hyperlink>
      <w:r>
        <w:rPr>
          <w:rFonts w:ascii="Noto Serif" w:hAnsi="Noto Serif" w:eastAsia="Noto Serif"/>
          <w:b w:val="0"/>
          <w:i w:val="0"/>
        </w:rPr>
        <w:br/>
      </w:r>
    </w:p>
    <w:p>
      <w:pPr>
        <w:pStyle w:val="ListBullet"/>
      </w:pPr>
      <w:hyperlink w:anchor="_1">
        <w:r>
          <w:rPr>
            <w:color w:val="11616A"/>
            <w:u w:val="single"/>
          </w:rPr>
          <w:t>Суть с писаний</w:t>
        </w:r>
      </w:hyperlink>
    </w:p>
    <w:p>
      <w:pPr>
        <w:pStyle w:val="ListBullet"/>
      </w:pPr>
      <w:hyperlink w:anchor="_2">
        <w:r>
          <w:rPr>
            <w:color w:val="11616A"/>
            <w:u w:val="single"/>
          </w:rPr>
          <w:t>Содержание</w:t>
        </w:r>
      </w:hyperlink>
    </w:p>
    <w:p>
      <w:pPr>
        <w:pStyle w:val="ListBullet"/>
      </w:pPr>
      <w:hyperlink w:anchor="_3">
        <w:r>
          <w:rPr>
            <w:color w:val="11616A"/>
            <w:u w:val="single"/>
          </w:rPr>
          <w:t>Предисловие: что здесь выбирается</w:t>
        </w:r>
      </w:hyperlink>
    </w:p>
    <w:p>
      <w:pPr>
        <w:pStyle w:val="ListBullet"/>
      </w:pPr>
      <w:hyperlink w:anchor="_4">
        <w:r>
          <w:rPr>
            <w:color w:val="11616A"/>
            <w:u w:val="single"/>
          </w:rPr>
          <w:t>Как читать эту книгу</w:t>
        </w:r>
      </w:hyperlink>
    </w:p>
    <w:p>
      <w:pPr>
        <w:pStyle w:val="ListBullet"/>
      </w:pPr>
      <w:hyperlink w:anchor="i">
        <w:r>
          <w:rPr>
            <w:color w:val="11616A"/>
            <w:u w:val="single"/>
          </w:rPr>
          <w:t>Часть I. Мироздание и его порядок</w:t>
        </w:r>
      </w:hyperlink>
      <w:r>
        <w:rPr>
          <w:rFonts w:ascii="Noto Serif" w:hAnsi="Noto Serif" w:eastAsia="Noto Serif"/>
          <w:b w:val="0"/>
          <w:i w:val="0"/>
        </w:rPr>
        <w:br/>
      </w:r>
    </w:p>
    <w:p>
      <w:pPr>
        <w:pStyle w:val="ListBullet"/>
      </w:pPr>
      <w:hyperlink w:anchor="1">
        <w:r>
          <w:rPr>
            <w:color w:val="11616A"/>
            <w:u w:val="single"/>
          </w:rPr>
          <w:t>1. Единство как исходная рамка</w:t>
        </w:r>
      </w:hyperlink>
    </w:p>
    <w:p>
      <w:pPr>
        <w:pStyle w:val="ListBullet"/>
      </w:pPr>
      <w:hyperlink w:anchor="2">
        <w:r>
          <w:rPr>
            <w:color w:val="11616A"/>
            <w:u w:val="single"/>
          </w:rPr>
          <w:t>2. Мир как предмет внимательного взгляда</w:t>
        </w:r>
      </w:hyperlink>
    </w:p>
    <w:p>
      <w:pPr>
        <w:pStyle w:val="ListBullet"/>
      </w:pPr>
      <w:hyperlink w:anchor="3">
        <w:r>
          <w:rPr>
            <w:color w:val="11616A"/>
            <w:u w:val="single"/>
          </w:rPr>
          <w:t>3. Человек внутри мира, но не его хозяин</w:t>
        </w:r>
      </w:hyperlink>
    </w:p>
    <w:p>
      <w:pPr>
        <w:pStyle w:val="ListBullet"/>
      </w:pPr>
      <w:hyperlink w:anchor="ii">
        <w:r>
          <w:rPr>
            <w:color w:val="11616A"/>
            <w:u w:val="single"/>
          </w:rPr>
          <w:t>Часть II. Человек, разум и проверка знания</w:t>
        </w:r>
      </w:hyperlink>
      <w:r>
        <w:rPr>
          <w:rFonts w:ascii="Noto Serif" w:hAnsi="Noto Serif" w:eastAsia="Noto Serif"/>
          <w:b w:val="0"/>
          <w:i w:val="0"/>
        </w:rPr>
        <w:br/>
      </w:r>
    </w:p>
    <w:p>
      <w:pPr>
        <w:pStyle w:val="ListBullet"/>
      </w:pPr>
      <w:hyperlink w:anchor="4">
        <w:r>
          <w:rPr>
            <w:color w:val="11616A"/>
            <w:u w:val="single"/>
          </w:rPr>
          <w:t>4. Не следовать за тем, чего не знаешь</w:t>
        </w:r>
      </w:hyperlink>
    </w:p>
    <w:p>
      <w:pPr>
        <w:pStyle w:val="ListBullet"/>
      </w:pPr>
      <w:hyperlink w:anchor="5">
        <w:r>
          <w:rPr>
            <w:color w:val="11616A"/>
            <w:u w:val="single"/>
          </w:rPr>
          <w:t>5. Слово может поддерживать достоинство — или разрушать его</w:t>
        </w:r>
      </w:hyperlink>
    </w:p>
    <w:p>
      <w:pPr>
        <w:pStyle w:val="ListBullet"/>
      </w:pPr>
      <w:hyperlink w:anchor="iii">
        <w:r>
          <w:rPr>
            <w:color w:val="11616A"/>
            <w:u w:val="single"/>
          </w:rPr>
          <w:t>Часть III. Нравственность и ответственность</w:t>
        </w:r>
      </w:hyperlink>
      <w:r>
        <w:rPr>
          <w:rFonts w:ascii="Noto Serif" w:hAnsi="Noto Serif" w:eastAsia="Noto Serif"/>
          <w:b w:val="0"/>
          <w:i w:val="0"/>
        </w:rPr>
        <w:br/>
      </w:r>
    </w:p>
    <w:p>
      <w:pPr>
        <w:pStyle w:val="ListBullet"/>
      </w:pPr>
      <w:hyperlink w:anchor="6">
        <w:r>
          <w:rPr>
            <w:color w:val="11616A"/>
            <w:u w:val="single"/>
          </w:rPr>
          <w:t>6. Справедливость начинается с проверки себя</w:t>
        </w:r>
      </w:hyperlink>
    </w:p>
    <w:p>
      <w:pPr>
        <w:pStyle w:val="ListBullet"/>
      </w:pPr>
      <w:hyperlink w:anchor="7">
        <w:r>
          <w:rPr>
            <w:color w:val="11616A"/>
            <w:u w:val="single"/>
          </w:rPr>
          <w:t>7. Добро — не только намерение</w:t>
        </w:r>
      </w:hyperlink>
    </w:p>
    <w:p>
      <w:pPr>
        <w:pStyle w:val="ListBullet"/>
      </w:pPr>
      <w:hyperlink w:anchor="8">
        <w:r>
          <w:rPr>
            <w:color w:val="11616A"/>
            <w:u w:val="single"/>
          </w:rPr>
          <w:t>8. Благодарность как внимание к дару и пределу</w:t>
        </w:r>
      </w:hyperlink>
    </w:p>
    <w:p>
      <w:pPr>
        <w:pStyle w:val="ListBullet"/>
      </w:pPr>
      <w:hyperlink w:anchor="iv">
        <w:r>
          <w:rPr>
            <w:color w:val="11616A"/>
            <w:u w:val="single"/>
          </w:rPr>
          <w:t>Часть IV. Отношения, слово и обещание</w:t>
        </w:r>
      </w:hyperlink>
      <w:r>
        <w:rPr>
          <w:rFonts w:ascii="Noto Serif" w:hAnsi="Noto Serif" w:eastAsia="Noto Serif"/>
          <w:b w:val="0"/>
          <w:i w:val="0"/>
        </w:rPr>
        <w:br/>
      </w:r>
    </w:p>
    <w:p>
      <w:pPr>
        <w:pStyle w:val="ListBullet"/>
      </w:pPr>
      <w:hyperlink w:anchor="9">
        <w:r>
          <w:rPr>
            <w:color w:val="11616A"/>
            <w:u w:val="single"/>
          </w:rPr>
          <w:t>9. Различие не обязано превращаться в отчуждение</w:t>
        </w:r>
      </w:hyperlink>
    </w:p>
    <w:p>
      <w:pPr>
        <w:pStyle w:val="ListBullet"/>
      </w:pPr>
      <w:hyperlink w:anchor="10">
        <w:r>
          <w:rPr>
            <w:color w:val="11616A"/>
            <w:u w:val="single"/>
          </w:rPr>
          <w:t>10. Договор и обещание держат доверие</w:t>
        </w:r>
      </w:hyperlink>
    </w:p>
    <w:p>
      <w:pPr>
        <w:pStyle w:val="ListBullet"/>
      </w:pPr>
      <w:hyperlink w:anchor="v">
        <w:r>
          <w:rPr>
            <w:color w:val="11616A"/>
            <w:u w:val="single"/>
          </w:rPr>
          <w:t>Часть V. Повествование как способ размышления</w:t>
        </w:r>
      </w:hyperlink>
    </w:p>
    <w:p>
      <w:pPr>
        <w:pStyle w:val="ListBullet"/>
      </w:pPr>
      <w:hyperlink w:anchor="vi">
        <w:r>
          <w:rPr>
            <w:color w:val="11616A"/>
            <w:u w:val="single"/>
          </w:rPr>
          <w:t>Часть VI. Десять открытых исследовательских вопросов</w:t>
        </w:r>
      </w:hyperlink>
      <w:r>
        <w:rPr>
          <w:rFonts w:ascii="Noto Serif" w:hAnsi="Noto Serif" w:eastAsia="Noto Serif"/>
          <w:b w:val="0"/>
          <w:i w:val="0"/>
        </w:rPr>
        <w:br/>
      </w:r>
    </w:p>
    <w:p>
      <w:pPr>
        <w:pStyle w:val="ListBullet"/>
      </w:pPr>
      <w:hyperlink w:anchor="11-review">
        <w:r>
          <w:rPr>
            <w:color w:val="11616A"/>
            <w:u w:val="single"/>
          </w:rPr>
          <w:t>11. Обряды, молитвы, пост и паломничество — REVIEW</w:t>
        </w:r>
      </w:hyperlink>
    </w:p>
    <w:p>
      <w:pPr>
        <w:pStyle w:val="ListBullet"/>
      </w:pPr>
      <w:hyperlink w:anchor="12-review">
        <w:r>
          <w:rPr>
            <w:color w:val="11616A"/>
            <w:u w:val="single"/>
          </w:rPr>
          <w:t>12. Пищевые запреты и ритуальная чистота — REVIEW</w:t>
        </w:r>
      </w:hyperlink>
    </w:p>
    <w:p>
      <w:pPr>
        <w:pStyle w:val="ListBullet"/>
      </w:pPr>
      <w:hyperlink w:anchor="13-review">
        <w:r>
          <w:rPr>
            <w:color w:val="11616A"/>
            <w:u w:val="single"/>
          </w:rPr>
          <w:t>13. Брак, развод, гендерные нормы и наследство — REVIEW</w:t>
        </w:r>
      </w:hyperlink>
    </w:p>
    <w:p>
      <w:pPr>
        <w:pStyle w:val="ListBullet"/>
      </w:pPr>
      <w:hyperlink w:anchor="14-review">
        <w:r>
          <w:rPr>
            <w:color w:val="11616A"/>
            <w:u w:val="single"/>
          </w:rPr>
          <w:t>14. Сделки, долги и имущественные правила — REVIEW</w:t>
        </w:r>
      </w:hyperlink>
    </w:p>
    <w:p>
      <w:pPr>
        <w:pStyle w:val="ListBullet"/>
      </w:pPr>
      <w:hyperlink w:anchor="15-review">
        <w:r>
          <w:rPr>
            <w:color w:val="11616A"/>
            <w:u w:val="single"/>
          </w:rPr>
          <w:t>15. Земные правовые наказания — REVIEW</w:t>
        </w:r>
      </w:hyperlink>
    </w:p>
    <w:p>
      <w:pPr>
        <w:pStyle w:val="ListBullet"/>
      </w:pPr>
      <w:hyperlink w:anchor="16-review">
        <w:r>
          <w:rPr>
            <w:color w:val="11616A"/>
            <w:u w:val="single"/>
          </w:rPr>
          <w:t>16. Полемика и осуждение других верований — REVIEW</w:t>
        </w:r>
      </w:hyperlink>
    </w:p>
    <w:p>
      <w:pPr>
        <w:pStyle w:val="ListBullet"/>
      </w:pPr>
      <w:hyperlink w:anchor="17-review">
        <w:r>
          <w:rPr>
            <w:color w:val="11616A"/>
            <w:u w:val="single"/>
          </w:rPr>
          <w:t>17. Исторические рассказы о пророках — REVIEW</w:t>
        </w:r>
      </w:hyperlink>
    </w:p>
    <w:p>
      <w:pPr>
        <w:pStyle w:val="ListBullet"/>
      </w:pPr>
      <w:hyperlink w:anchor="18-review">
        <w:r>
          <w:rPr>
            <w:color w:val="11616A"/>
            <w:u w:val="single"/>
          </w:rPr>
          <w:t>18. Сатана, джинны и искушение — REVIEW</w:t>
        </w:r>
      </w:hyperlink>
    </w:p>
    <w:p>
      <w:pPr>
        <w:pStyle w:val="ListBullet"/>
      </w:pPr>
      <w:hyperlink w:anchor="19-review">
        <w:r>
          <w:rPr>
            <w:color w:val="11616A"/>
            <w:u w:val="single"/>
          </w:rPr>
          <w:t>19. Воскресение, Судный день и жизнь после смерти — REVIEW</w:t>
        </w:r>
      </w:hyperlink>
    </w:p>
    <w:p>
      <w:pPr>
        <w:pStyle w:val="ListBullet"/>
      </w:pPr>
      <w:hyperlink w:anchor="20-review">
        <w:r>
          <w:rPr>
            <w:color w:val="11616A"/>
            <w:u w:val="single"/>
          </w:rPr>
          <w:t>20. Повторы и риторические обращения — REVIEW</w:t>
        </w:r>
      </w:hyperlink>
    </w:p>
    <w:p>
      <w:pPr>
        <w:pStyle w:val="ListBullet"/>
      </w:pPr>
      <w:hyperlink w:anchor="vii">
        <w:r>
          <w:rPr>
            <w:color w:val="11616A"/>
            <w:u w:val="single"/>
          </w:rPr>
          <w:t>Часть VII. Карта возможного смыслового ядра — не окончательный выбор</w:t>
        </w:r>
      </w:hyperlink>
    </w:p>
    <w:p>
      <w:pPr>
        <w:pStyle w:val="ListBullet"/>
      </w:pPr>
      <w:hyperlink w:anchor="a">
        <w:r>
          <w:rPr>
            <w:color w:val="11616A"/>
            <w:u w:val="single"/>
          </w:rPr>
          <w:t>Приложение A. Метод отбора и редакционные статусы</w:t>
        </w:r>
      </w:hyperlink>
      <w:r>
        <w:rPr>
          <w:rFonts w:ascii="Noto Serif" w:hAnsi="Noto Serif" w:eastAsia="Noto Serif"/>
          <w:b w:val="0"/>
          <w:i w:val="0"/>
        </w:rPr>
        <w:br/>
      </w:r>
    </w:p>
    <w:p>
      <w:pPr>
        <w:pStyle w:val="ListBullet"/>
      </w:pPr>
      <w:hyperlink w:anchor="_5">
        <w:r>
          <w:rPr>
            <w:color w:val="11616A"/>
            <w:u w:val="single"/>
          </w:rPr>
          <w:t>Единица анализа</w:t>
        </w:r>
      </w:hyperlink>
    </w:p>
    <w:p>
      <w:pPr>
        <w:pStyle w:val="ListBullet"/>
      </w:pPr>
      <w:hyperlink w:anchor="_6">
        <w:r>
          <w:rPr>
            <w:color w:val="11616A"/>
            <w:u w:val="single"/>
          </w:rPr>
          <w:t>Рабочие статусы</w:t>
        </w:r>
      </w:hyperlink>
    </w:p>
    <w:p>
      <w:pPr>
        <w:pStyle w:val="ListBullet"/>
      </w:pPr>
      <w:hyperlink w:anchor="_7">
        <w:r>
          <w:rPr>
            <w:color w:val="11616A"/>
            <w:u w:val="single"/>
          </w:rPr>
          <w:t>Четыре слоя высказывания</w:t>
        </w:r>
      </w:hyperlink>
    </w:p>
    <w:p>
      <w:pPr>
        <w:pStyle w:val="ListBullet"/>
      </w:pPr>
      <w:hyperlink w:anchor="b-114">
        <w:r>
          <w:rPr>
            <w:color w:val="11616A"/>
            <w:u w:val="single"/>
          </w:rPr>
          <w:t>Приложение B. Карта 114 сур и фактического охвата</w:t>
        </w:r>
      </w:hyperlink>
    </w:p>
    <w:p>
      <w:pPr>
        <w:pStyle w:val="ListBullet"/>
      </w:pPr>
      <w:hyperlink w:anchor="c">
        <w:r>
          <w:rPr>
            <w:color w:val="11616A"/>
            <w:u w:val="single"/>
          </w:rPr>
          <w:t>Приложение C. Реестр использованных аятов</w:t>
        </w:r>
      </w:hyperlink>
    </w:p>
    <w:p>
      <w:pPr>
        <w:pStyle w:val="ListBullet"/>
      </w:pPr>
      <w:hyperlink w:anchor="d">
        <w:r>
          <w:rPr>
            <w:color w:val="11616A"/>
            <w:u w:val="single"/>
          </w:rPr>
          <w:t>Приложение D. Исключения и смешанные случаи</w:t>
        </w:r>
      </w:hyperlink>
      <w:r>
        <w:rPr>
          <w:rFonts w:ascii="Noto Serif" w:hAnsi="Noto Serif" w:eastAsia="Noto Serif"/>
          <w:b w:val="0"/>
          <w:i w:val="0"/>
        </w:rPr>
        <w:br/>
      </w:r>
    </w:p>
    <w:p>
      <w:pPr>
        <w:pStyle w:val="ListBullet"/>
      </w:pPr>
      <w:hyperlink w:anchor="_8">
        <w:r>
          <w:rPr>
            <w:color w:val="11616A"/>
            <w:u w:val="single"/>
          </w:rPr>
          <w:t>Девять утверждённых исключений</w:t>
        </w:r>
      </w:hyperlink>
    </w:p>
    <w:p>
      <w:pPr>
        <w:pStyle w:val="ListBullet"/>
      </w:pPr>
      <w:hyperlink w:anchor="review">
        <w:r>
          <w:rPr>
            <w:color w:val="11616A"/>
            <w:u w:val="single"/>
          </w:rPr>
          <w:t>Десять категорий REVIEW</w:t>
        </w:r>
      </w:hyperlink>
    </w:p>
    <w:p>
      <w:pPr>
        <w:pStyle w:val="ListBullet"/>
      </w:pPr>
      <w:hyperlink w:anchor="_9">
        <w:r>
          <w:rPr>
            <w:color w:val="11616A"/>
            <w:u w:val="single"/>
          </w:rPr>
          <w:t>Отчёт о фактическом охвате этой редакции</w:t>
        </w:r>
      </w:hyperlink>
    </w:p>
    <w:p>
      <w:pPr>
        <w:pStyle w:val="ListBullet"/>
      </w:pPr>
      <w:hyperlink w:anchor="e-v04">
        <w:r>
          <w:rPr>
            <w:color w:val="11616A"/>
            <w:u w:val="single"/>
          </w:rPr>
          <w:t>Приложение E. Проверяемый пилот v0.4</w:t>
        </w:r>
      </w:hyperlink>
      <w:r>
        <w:rPr>
          <w:rFonts w:ascii="Noto Serif" w:hAnsi="Noto Serif" w:eastAsia="Noto Serif"/>
          <w:b w:val="0"/>
          <w:i w:val="0"/>
        </w:rPr>
        <w:br/>
      </w:r>
    </w:p>
    <w:p>
      <w:pPr>
        <w:pStyle w:val="ListBullet"/>
      </w:pPr>
      <w:hyperlink w:anchor="_10">
        <w:r>
          <w:rPr>
            <w:color w:val="11616A"/>
            <w:u w:val="single"/>
          </w:rPr>
          <w:t>Что было реально проверено</w:t>
        </w:r>
      </w:hyperlink>
      <w:r>
        <w:rPr>
          <w:rFonts w:ascii="Noto Serif" w:hAnsi="Noto Serif" w:eastAsia="Noto Serif"/>
          <w:b w:val="0"/>
          <w:i w:val="0"/>
        </w:rPr>
        <w:br/>
      </w:r>
    </w:p>
    <w:p>
      <w:pPr>
        <w:pStyle w:val="ListBullet"/>
      </w:pPr>
      <w:hyperlink w:anchor="_11">
        <w:r>
          <w:rPr>
            <w:color w:val="11616A"/>
            <w:u w:val="single"/>
          </w:rPr>
          <w:t>Черновой читательский фрагмент</w:t>
        </w:r>
      </w:hyperlink>
    </w:p>
    <w:p>
      <w:pPr>
        <w:pStyle w:val="ListBullet"/>
      </w:pPr>
      <w:hyperlink w:anchor="_12">
        <w:r>
          <w:rPr>
            <w:color w:val="11616A"/>
            <w:u w:val="single"/>
          </w:rPr>
          <w:t>Последовательный пилот: важные границы</w:t>
        </w:r>
      </w:hyperlink>
    </w:p>
    <w:p>
      <w:pPr>
        <w:pStyle w:val="ListBullet"/>
      </w:pPr>
      <w:hyperlink w:anchor="_13">
        <w:r>
          <w:rPr>
            <w:color w:val="11616A"/>
            <w:u w:val="single"/>
          </w:rPr>
          <w:t>Контрольные случаи смешанных аятов</w:t>
        </w:r>
      </w:hyperlink>
    </w:p>
    <w:p>
      <w:pPr>
        <w:pStyle w:val="ListBullet"/>
      </w:pPr>
      <w:hyperlink w:anchor="_14">
        <w:r>
          <w:rPr>
            <w:color w:val="11616A"/>
            <w:u w:val="single"/>
          </w:rPr>
          <w:t>Тематическая карта и смысловое ядро</w:t>
        </w:r>
      </w:hyperlink>
    </w:p>
    <w:p>
      <w:pPr>
        <w:pStyle w:val="ListBullet"/>
      </w:pPr>
      <w:hyperlink w:anchor="_15">
        <w:r>
          <w:rPr>
            <w:color w:val="11616A"/>
            <w:u w:val="single"/>
          </w:rPr>
          <w:t>Как читать диаграммы объёма</w:t>
        </w:r>
      </w:hyperlink>
    </w:p>
    <w:p>
      <w:pPr>
        <w:pStyle w:val="ListBullet"/>
      </w:pPr>
      <w:hyperlink w:anchor="_16">
        <w:r>
          <w:rPr>
            <w:color w:val="11616A"/>
            <w:u w:val="single"/>
          </w:rPr>
          <w:t>Исследовательская карта и решения, которые ждут автора</w:t>
        </w:r>
      </w:hyperlink>
    </w:p>
    <w:p>
      <w:pPr>
        <w:pStyle w:val="ListBullet"/>
      </w:pPr>
      <w:hyperlink w:anchor="_17">
        <w:r>
          <w:rPr>
            <w:color w:val="11616A"/>
            <w:u w:val="single"/>
          </w:rPr>
          <w:t>Иллюстрации и источники</w:t>
        </w:r>
      </w:hyperlink>
    </w:p>
    <w:p>
      <w:pPr>
        <w:pStyle w:val="ListBullet"/>
      </w:pPr>
      <w:hyperlink w:anchor="_18">
        <w:r>
          <w:rPr>
            <w:color w:val="11616A"/>
            <w:u w:val="single"/>
          </w:rPr>
          <w:t>Что осталось незавершённым</w:t>
        </w:r>
      </w:hyperlink>
    </w:p>
    <w:p>
      <w:pPr>
        <w:pStyle w:val="ListBullet"/>
      </w:pPr>
      <w:hyperlink w:anchor="_19">
        <w:r>
          <w:rPr>
            <w:color w:val="11616A"/>
            <w:u w:val="single"/>
          </w:rPr>
          <w:t>Источники и дальнейшая проверка</w:t>
        </w:r>
      </w:hyperlink>
      <w:r>
        <w:rPr>
          <w:rFonts w:ascii="Noto Serif" w:hAnsi="Noto Serif" w:eastAsia="Noto Serif"/>
          <w:b w:val="0"/>
          <w:i w:val="0"/>
        </w:rPr>
        <w:br/>
      </w:r>
    </w:p>
    <w:p>
      <w:pPr>
        <w:pStyle w:val="ListBullet"/>
      </w:pPr>
      <w:hyperlink w:anchor="_20">
        <w:r>
          <w:rPr>
            <w:color w:val="11616A"/>
            <w:u w:val="single"/>
          </w:rPr>
          <w:t>Академические работы, на которые ссылаются научные комментарии</w:t>
        </w:r>
      </w:hyperlink>
    </w:p>
    <w:p/>
    <w:p>
      <w:pPr>
        <w:pStyle w:val="Heading2"/>
      </w:pPr>
      <w:r>
        <w:rPr>
          <w:rFonts w:ascii="Noto Serif" w:hAnsi="Noto Serif" w:eastAsia="Noto Serif"/>
          <w:b w:val="0"/>
          <w:i w:val="0"/>
        </w:rPr>
        <w:t>Предисловие: что здесь выбирается</w:t>
      </w:r>
    </w:p>
    <w:p>
      <w:r>
        <w:rPr>
          <w:rFonts w:ascii="Noto Serif" w:hAnsi="Noto Serif" w:eastAsia="Noto Serif"/>
          <w:b w:val="0"/>
          <w:i w:val="0"/>
        </w:rPr>
        <w:t>Серия HARVYRÐ — «Харвирд» задумана как проект внимательного чтения древних и священных писаний. Мы не пересказываем Писание целиком и не пытаемся подменить его кратким конспектом. Мы спрашиваем, какие смысловые линии можно проследить в тексте, если исследователь заранее обозначает свои вопросы, сохраняет контекст и не скрывает собственные решения.</w:t>
      </w:r>
    </w:p>
    <w:p>
      <w:r>
        <w:rPr>
          <w:rFonts w:ascii="Noto Serif" w:hAnsi="Noto Serif" w:eastAsia="Noto Serif"/>
          <w:b w:val="0"/>
          <w:i w:val="0"/>
        </w:rPr>
        <w:t>В этой первой книге рассматривается Коран. Её замысел — проследить возможные идеи о Боге, мироздании, человеке, познании, нравственности и отношениях. Это не богословское заключение и не суждение о том, что является «настоящим» исламом. Это самостоятельный авторский исследовательский проект, который должен оставаться открытым для проверки и пересмотра.</w:t>
      </w:r>
    </w:p>
    <w:p>
      <w:r>
        <w:rPr>
          <w:rFonts w:ascii="Noto Serif" w:hAnsi="Noto Serif" w:eastAsia="Noto Serif"/>
          <w:b w:val="0"/>
          <w:i w:val="0"/>
        </w:rPr>
        <w:t>Девять тематических исключений в задании утверждены автором проекта. Они не расширяются по усмотрению редактора. Десять других категорий оставлены автором в статусе REVIEW. Ни одна из них в этой редакции не объявляется окончательно исключённой. Где несколько тем соединены в одном аяте, мы описываем только тот смысловой аспект, который исследуется, и прямо отмечаем соседние элементы, которые нельзя без потерь вынести за скобки.</w:t>
      </w:r>
    </w:p>
    <w:p>
      <w:r>
        <w:rPr>
          <w:rFonts w:ascii="Noto Serif" w:hAnsi="Noto Serif" w:eastAsia="Noto Serif"/>
          <w:b w:val="0"/>
          <w:i w:val="0"/>
        </w:rPr>
        <w:t xml:space="preserve">Само «смысловое ядро» здесь </w:t>
      </w:r>
      <w:r>
        <w:rPr>
          <w:rFonts w:ascii="Noto Serif" w:hAnsi="Noto Serif" w:eastAsia="Noto Serif"/>
          <w:b/>
          <w:i w:val="0"/>
        </w:rPr>
        <w:t>не выбрано за Velan</w:t>
      </w:r>
      <w:r>
        <w:rPr>
          <w:rFonts w:ascii="Noto Serif" w:hAnsi="Noto Serif" w:eastAsia="Noto Serif"/>
          <w:b w:val="0"/>
          <w:i w:val="0"/>
        </w:rPr>
        <w:t>. В последней части собраны возможные линии, которые проявились в ограниченной выборке. Это материал для авторского решения, а не его замена.</w:t>
      </w:r>
    </w:p>
    <w:p>
      <w:pPr>
        <w:pStyle w:val="Heading2"/>
      </w:pPr>
      <w:r>
        <w:rPr>
          <w:rFonts w:ascii="Noto Serif" w:hAnsi="Noto Serif" w:eastAsia="Noto Serif"/>
          <w:b w:val="0"/>
          <w:i w:val="0"/>
        </w:rPr>
        <w:t>Как читать эту книгу</w:t>
      </w:r>
    </w:p>
    <w:p>
      <w:r>
        <w:rPr>
          <w:rFonts w:ascii="Noto Serif" w:hAnsi="Noto Serif" w:eastAsia="Noto Serif"/>
          <w:b w:val="0"/>
          <w:i w:val="0"/>
        </w:rPr>
        <w:t xml:space="preserve">В тексте различаются четыре слоя. </w:t>
      </w:r>
      <w:r>
        <w:rPr>
          <w:rFonts w:ascii="Noto Serif" w:hAnsi="Noto Serif" w:eastAsia="Noto Serif"/>
          <w:b/>
          <w:i w:val="0"/>
        </w:rPr>
        <w:t>Аят</w:t>
      </w:r>
      <w:r>
        <w:rPr>
          <w:rFonts w:ascii="Noto Serif" w:hAnsi="Noto Serif" w:eastAsia="Noto Serif"/>
          <w:b w:val="0"/>
          <w:i w:val="0"/>
        </w:rPr>
        <w:t xml:space="preserve"> — место в первоисточнике. </w:t>
      </w:r>
      <w:r>
        <w:rPr>
          <w:rFonts w:ascii="Noto Serif" w:hAnsi="Noto Serif" w:eastAsia="Noto Serif"/>
          <w:b/>
          <w:i w:val="0"/>
        </w:rPr>
        <w:t>Перевод</w:t>
      </w:r>
      <w:r>
        <w:rPr>
          <w:rFonts w:ascii="Noto Serif" w:hAnsi="Noto Serif" w:eastAsia="Noto Serif"/>
          <w:b w:val="0"/>
          <w:i w:val="0"/>
        </w:rPr>
        <w:t xml:space="preserve"> — способ передать его смысл на другом языке; разные переводы могут иначе расставлять оттенки. </w:t>
      </w:r>
      <w:r>
        <w:rPr>
          <w:rFonts w:ascii="Noto Serif" w:hAnsi="Noto Serif" w:eastAsia="Noto Serif"/>
          <w:b/>
          <w:i w:val="0"/>
        </w:rPr>
        <w:t>Традиционное толкование</w:t>
      </w:r>
      <w:r>
        <w:rPr>
          <w:rFonts w:ascii="Noto Serif" w:hAnsi="Noto Serif" w:eastAsia="Noto Serif"/>
          <w:b w:val="0"/>
          <w:i w:val="0"/>
        </w:rPr>
        <w:t xml:space="preserve"> — объяснение, принадлежащее определённой религиозной школе или автору. </w:t>
      </w:r>
      <w:r>
        <w:rPr>
          <w:rFonts w:ascii="Noto Serif" w:hAnsi="Noto Serif" w:eastAsia="Noto Serif"/>
          <w:b/>
          <w:i w:val="0"/>
        </w:rPr>
        <w:t>Авторское смысловое изложение</w:t>
      </w:r>
      <w:r>
        <w:rPr>
          <w:rFonts w:ascii="Noto Serif" w:hAnsi="Noto Serif" w:eastAsia="Noto Serif"/>
          <w:b w:val="0"/>
          <w:i w:val="0"/>
        </w:rPr>
        <w:t xml:space="preserve"> — формулировка этой книги, предназначенная для обсуждения, а не дословная цитата.</w:t>
      </w:r>
    </w:p>
    <w:p>
      <w:r>
        <w:rPr>
          <w:rFonts w:ascii="Noto Serif" w:hAnsi="Noto Serif" w:eastAsia="Noto Serif"/>
          <w:b w:val="0"/>
          <w:i w:val="0"/>
        </w:rPr>
        <w:t>Все пассажи без кавычек — редакционные пересказы. Длинные фрагменты переводов не воспроизводятся. Ссылки ведут на страницу аята, где читатель может открыть арабский текст, выбранные переводы и тафсир. В v0.4 выполнено последовательное сопоставление русских версий Кулиева и Османова для 1:1–7 и 2:1–29; контрольные примеры сверены по русской странице Кулиева, арабскому тексту, лексико-грамматическим материалам и указанным тафсирам. Это ограниченный пилот, а не полная колляция переводов или рецензирование специалистом. Унаследованные главы v0.3 остаются исследовательским черновиком и не объявляются заново полностью верифицированными.</w:t>
      </w:r>
    </w:p>
    <w:p>
      <w:r>
        <w:rPr>
          <w:rFonts w:ascii="Noto Serif" w:hAnsi="Noto Serif" w:eastAsia="Noto Serif"/>
          <w:b/>
          <w:i w:val="0"/>
        </w:rPr>
        <w:t>Научный комментарий · описание и оценка.</w:t>
      </w:r>
      <w:r>
        <w:rPr>
          <w:rFonts w:ascii="Noto Serif" w:hAnsi="Noto Serif" w:eastAsia="Noto Serif"/>
          <w:b w:val="0"/>
          <w:i w:val="0"/>
        </w:rPr>
        <w:t xml:space="preserve"> Академический анализ текста и нормативное рассуждение о том, как следует понимать исламское право, — разные типы высказывания. Khaled Abou El Fadl прямо характеризует свою статью об этике и праве как нормативную и убеждающую, а не просто описательную. Здесь она служит примером необходимости обозначать позицию исследователя, а не подтверждением единственно верного прочтения. </w:t>
      </w:r>
      <w:hyperlink r:id="rId13">
        <w:r>
          <w:rPr>
            <w:color w:val="11616A"/>
            <w:u w:val="single"/>
          </w:rPr>
          <w:t>7</w:t>
        </w:r>
      </w:hyperlink>
    </w:p>
    <w:p>
      <w:r>
        <w:rPr>
          <w:rFonts w:ascii="Noto Serif" w:hAnsi="Noto Serif" w:eastAsia="Noto Serif"/>
          <w:b w:val="0"/>
          <w:i w:val="0"/>
        </w:rPr>
        <w:t xml:space="preserve">Для навигации используется распространённая куфийская нумерация: 114 сур и 6 236 пронумерованных аятов. Другие традиционные системы счёта границ аятов существуют; выбранная нумерация — рабочая договорённость, а не утверждение об отсутствии вариантов. Библиографическое описание структуры сверяется с </w:t>
      </w:r>
      <w:hyperlink r:id="rId12">
        <w:r>
          <w:rPr>
            <w:color w:val="11616A"/>
            <w:u w:val="single"/>
          </w:rPr>
          <w:t>Britannica</w:t>
        </w:r>
      </w:hyperlink>
      <w:r>
        <w:rPr>
          <w:rFonts w:ascii="Noto Serif" w:hAnsi="Noto Serif" w:eastAsia="Noto Serif"/>
          <w:b w:val="0"/>
          <w:i w:val="0"/>
        </w:rPr>
        <w:t xml:space="preserve">, лингвистическая навигация — с </w:t>
      </w:r>
      <w:hyperlink r:id="rId14">
        <w:r>
          <w:rPr>
            <w:color w:val="11616A"/>
            <w:u w:val="single"/>
          </w:rPr>
          <w:t>Quranic Arabic Corpus</w:t>
        </w:r>
      </w:hyperlink>
      <w:r>
        <w:rPr>
          <w:rFonts w:ascii="Noto Serif" w:hAnsi="Noto Serif" w:eastAsia="Noto Serif"/>
          <w:b w:val="0"/>
          <w:i w:val="0"/>
        </w:rPr>
        <w:t xml:space="preserve">, а страницы текста и переводов — с </w:t>
      </w:r>
      <w:hyperlink r:id="rId15">
        <w:r>
          <w:rPr>
            <w:color w:val="11616A"/>
            <w:u w:val="single"/>
          </w:rPr>
          <w:t>Quran.com</w:t>
        </w:r>
      </w:hyperlink>
      <w:r>
        <w:rPr>
          <w:rFonts w:ascii="Noto Serif" w:hAnsi="Noto Serif" w:eastAsia="Noto Serif"/>
          <w:b w:val="0"/>
          <w:i w:val="0"/>
        </w:rPr>
        <w:t>.</w:t>
      </w:r>
    </w:p>
    <w:p>
      <w:pPr>
        <w:pStyle w:val="Heading2"/>
      </w:pPr>
      <w:r>
        <w:rPr>
          <w:rFonts w:ascii="Noto Serif" w:hAnsi="Noto Serif" w:eastAsia="Noto Serif"/>
          <w:b w:val="0"/>
          <w:i w:val="0"/>
        </w:rPr>
        <w:t>Часть I. Мироздание и его порядок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8000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ld_ord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1. Единство как исходная рамка</w:t>
      </w:r>
    </w:p>
    <w:p>
      <w:r>
        <w:rPr>
          <w:rFonts w:ascii="Noto Serif" w:hAnsi="Noto Serif" w:eastAsia="Noto Serif"/>
          <w:b w:val="0"/>
          <w:i w:val="0"/>
        </w:rPr>
        <w:t>Короткая сура «аль-Ихляс» строится вокруг утверждения единства Бога и отказа от представления о Нём как о части ряда подобных существ. Её сжатость сама по себе выразительна: речь не о перечне свойств мира, а о предельно сосредоточенной рамке, через которую верующий читает реальность. В этой книге такой ход описывается как монотеистическая исходная позиция текста, а не как нейтральное доказательство, обязательное для каждого читателя.</w:t>
      </w:r>
    </w:p>
    <w:p>
      <w:r>
        <w:rPr>
          <w:rFonts w:ascii="Noto Serif" w:hAnsi="Noto Serif" w:eastAsia="Noto Serif"/>
          <w:b w:val="0"/>
          <w:i w:val="0"/>
        </w:rPr>
        <w:t>Из этой рамки следует важный методический вопрос: если Бог мыслится единым и несопоставимым, какие пределы это задаёт человеческим притязаниям на абсолютное знание и власть? Ответ не следует автоматически из одного короткого отрывка; он требует сопоставления с другими местами Корана и традициями толкования. Поэтому вывод о скромности человека здесь — исследовательская гипотеза, а не буквальная формула суры.</w:t>
      </w:r>
    </w:p>
    <w:p>
      <w:r>
        <w:rPr>
          <w:rFonts w:ascii="Noto Serif" w:hAnsi="Noto Serif" w:eastAsia="Noto Serif"/>
          <w:b/>
          <w:i w:val="0"/>
        </w:rPr>
        <w:t>Опора:</w:t>
      </w:r>
      <w:r>
        <w:rPr>
          <w:rFonts w:ascii="Noto Serif" w:hAnsi="Noto Serif" w:eastAsia="Noto Serif"/>
          <w:b w:val="0"/>
          <w:i w:val="0"/>
        </w:rPr>
        <w:t xml:space="preserve"> Коран </w:t>
      </w:r>
      <w:hyperlink r:id="rId17">
        <w:r>
          <w:rPr>
            <w:color w:val="11616A"/>
            <w:u w:val="single"/>
          </w:rPr>
          <w:t>112:1–4</w:t>
        </w:r>
      </w:hyperlink>
      <w:r>
        <w:rPr>
          <w:rFonts w:ascii="Noto Serif" w:hAnsi="Noto Serif" w:eastAsia="Noto Serif"/>
          <w:b w:val="0"/>
          <w:i w:val="0"/>
        </w:rPr>
        <w:t>. Эта ссылка ведёт на текст суры; смысловое изложение выше не является цитатой.</w:t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2. Мир как предмет внимательного взгляда</w:t>
      </w:r>
    </w:p>
    <w:p>
      <w:r>
        <w:rPr>
          <w:rFonts w:ascii="Noto Serif" w:hAnsi="Noto Serif" w:eastAsia="Noto Serif"/>
          <w:b w:val="0"/>
          <w:i w:val="0"/>
        </w:rPr>
        <w:t>В Коране природа не просто фон человеческой жизни. Чередование ночи и дня, устройство небес и земли становятся знаками, обращёнными к людям, способным размышлять. Здесь наблюдение и вера не выступают как две заранее враждующие области: текст предлагает смотреть на порядок мира и задаваться вопросом о его смысле. Однако коранический образ «знака» — богословская интерпретация природы, а не научная теория в современном смысле.</w:t>
      </w:r>
    </w:p>
    <w:p>
      <w:r>
        <w:rPr>
          <w:rFonts w:ascii="Noto Serif" w:hAnsi="Noto Serif" w:eastAsia="Noto Serif"/>
          <w:b w:val="0"/>
          <w:i w:val="0"/>
        </w:rPr>
        <w:t xml:space="preserve">Аят </w:t>
      </w:r>
      <w:hyperlink r:id="rId18">
        <w:r>
          <w:rPr>
            <w:color w:val="11616A"/>
            <w:u w:val="single"/>
          </w:rPr>
          <w:t>21:30</w:t>
        </w:r>
      </w:hyperlink>
      <w:r>
        <w:rPr>
          <w:rFonts w:ascii="Noto Serif" w:hAnsi="Noto Serif" w:eastAsia="Noto Serif"/>
          <w:b w:val="0"/>
          <w:i w:val="0"/>
        </w:rPr>
        <w:t xml:space="preserve"> соединяет образ разделённых небес и земли с происхождением живого из воды. В читательском изложении важно не превращать этот образ в предсказание современной космологии или биологии. Сходство формулировки с поздней научной моделью ещё не доказывает, что аят говорит именно о ней. Для этой книги достаточно более осторожного чтения: природный мир представлен как связное творение, которое побуждает к размышлению.</w:t>
      </w:r>
    </w:p>
    <w:p>
      <w:r>
        <w:rPr>
          <w:rFonts w:ascii="Noto Serif" w:hAnsi="Noto Serif" w:eastAsia="Noto Serif"/>
          <w:b/>
          <w:i w:val="0"/>
        </w:rPr>
        <w:t>Научный комментарий · Коран и естествознание.</w:t>
      </w:r>
      <w:r>
        <w:rPr>
          <w:rFonts w:ascii="Noto Serif" w:hAnsi="Noto Serif" w:eastAsia="Noto Serif"/>
          <w:b w:val="0"/>
          <w:i w:val="0"/>
        </w:rPr>
        <w:t xml:space="preserve"> В академической литературе различают научную экзегезу, которая привлекает научные данные для объяснения аятов, и более сильное утверждение, будто сам текст содержит конкретные современные научные открытия. История этих подходов неоднородна и спорна. Поэтому сходство образа с поздней теорией само по себе не подтверждает, что аят предсказывает её. </w:t>
      </w:r>
      <w:hyperlink r:id="rId19">
        <w:r>
          <w:rPr>
            <w:color w:val="11616A"/>
            <w:u w:val="single"/>
          </w:rPr>
          <w:t>1</w:t>
        </w:r>
      </w:hyperlink>
    </w:p>
    <w:p>
      <w:r>
        <w:rPr>
          <w:rFonts w:ascii="Noto Serif" w:hAnsi="Noto Serif" w:eastAsia="Noto Serif"/>
          <w:b/>
          <w:i w:val="0"/>
        </w:rPr>
        <w:t>Опоры:</w:t>
      </w:r>
      <w:r>
        <w:rPr>
          <w:rFonts w:ascii="Noto Serif" w:hAnsi="Noto Serif" w:eastAsia="Noto Serif"/>
          <w:b w:val="0"/>
          <w:i w:val="0"/>
        </w:rPr>
        <w:t xml:space="preserve"> Коран </w:t>
      </w:r>
      <w:hyperlink r:id="rId20">
        <w:r>
          <w:rPr>
            <w:color w:val="11616A"/>
            <w:u w:val="single"/>
          </w:rPr>
          <w:t>3:190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18">
        <w:r>
          <w:rPr>
            <w:color w:val="11616A"/>
            <w:u w:val="single"/>
          </w:rPr>
          <w:t>21:30</w:t>
        </w:r>
      </w:hyperlink>
      <w:r>
        <w:rPr>
          <w:rFonts w:ascii="Noto Serif" w:hAnsi="Noto Serif" w:eastAsia="Noto Serif"/>
          <w:b w:val="0"/>
          <w:i w:val="0"/>
        </w:rPr>
        <w:t>. Соседние аяты местами соединяют размышление с молитвой и представлениями о будущей жизни; данная глава не объявляет эти категории окончательно исключёнными и не приписывает им отсутствующий в источнике смысл.</w:t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3. Человек внутри мира, но не его хозяин</w:t>
      </w:r>
    </w:p>
    <w:p>
      <w:r>
        <w:rPr>
          <w:rFonts w:ascii="Noto Serif" w:hAnsi="Noto Serif" w:eastAsia="Noto Serif"/>
          <w:b w:val="0"/>
          <w:i w:val="0"/>
        </w:rPr>
        <w:t>Коран обращается к человеку как к существу, способному замечать, выбирать, благодарить и отвечать за поступки. Человеческое положение двойственно: человек достоин обращения и нравственного призыва, но не обладает безграничным знанием. Природные образы поэтому могут работать не только как картина мироздания, но и как напоминание о человеческой мере.</w:t>
      </w:r>
    </w:p>
    <w:p>
      <w:r>
        <w:rPr>
          <w:rFonts w:ascii="Noto Serif" w:hAnsi="Noto Serif" w:eastAsia="Noto Serif"/>
          <w:b w:val="0"/>
          <w:i w:val="0"/>
        </w:rPr>
        <w:t xml:space="preserve">В </w:t>
      </w:r>
      <w:hyperlink r:id="rId21">
        <w:r>
          <w:rPr>
            <w:color w:val="11616A"/>
            <w:u w:val="single"/>
          </w:rPr>
          <w:t>91:7–10</w:t>
        </w:r>
      </w:hyperlink>
      <w:r>
        <w:rPr>
          <w:rFonts w:ascii="Noto Serif" w:hAnsi="Noto Serif" w:eastAsia="Noto Serif"/>
          <w:b w:val="0"/>
          <w:i w:val="0"/>
        </w:rPr>
        <w:t xml:space="preserve"> о душе говорится в связи с распознаванием добра и зла и нравственным самоочищением. Это не современная психологическая теория и не подробная схема устройства личности. В пределах данного отрывка можно осторожно выделить лишь связь между внутренним нравственным различением и ответственностью за направление собственной жизни. Полные богословские трактовки души намного шире этого пересказа.</w:t>
      </w:r>
    </w:p>
    <w:p>
      <w:r>
        <w:rPr>
          <w:rFonts w:ascii="Noto Serif" w:hAnsi="Noto Serif" w:eastAsia="Noto Serif"/>
          <w:b/>
          <w:i w:val="0"/>
        </w:rPr>
        <w:t>Опора:</w:t>
      </w:r>
      <w:r>
        <w:rPr>
          <w:rFonts w:ascii="Noto Serif" w:hAnsi="Noto Serif" w:eastAsia="Noto Serif"/>
          <w:b w:val="0"/>
          <w:i w:val="0"/>
        </w:rPr>
        <w:t xml:space="preserve"> Коран </w:t>
      </w:r>
      <w:hyperlink r:id="rId21">
        <w:r>
          <w:rPr>
            <w:color w:val="11616A"/>
            <w:u w:val="single"/>
          </w:rPr>
          <w:t>91:7–10</w:t>
        </w:r>
      </w:hyperlink>
      <w:r>
        <w:rPr>
          <w:rFonts w:ascii="Noto Serif" w:hAnsi="Noto Serif" w:eastAsia="Noto Serif"/>
          <w:b w:val="0"/>
          <w:i w:val="0"/>
        </w:rPr>
        <w:t>.</w:t>
      </w:r>
    </w:p>
    <w:p>
      <w:pPr>
        <w:pStyle w:val="Heading2"/>
      </w:pPr>
      <w:r>
        <w:rPr>
          <w:rFonts w:ascii="Noto Serif" w:hAnsi="Noto Serif" w:eastAsia="Noto Serif"/>
          <w:b w:val="0"/>
          <w:i w:val="0"/>
        </w:rPr>
        <w:t>Часть II. Человек, разум и проверка знания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8000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mind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4. Не следовать за тем, чего не знаешь</w:t>
      </w:r>
    </w:p>
    <w:p>
      <w:r>
        <w:rPr>
          <w:rFonts w:ascii="Noto Serif" w:hAnsi="Noto Serif" w:eastAsia="Noto Serif"/>
          <w:b w:val="0"/>
          <w:i w:val="0"/>
        </w:rPr>
        <w:t xml:space="preserve">Один из наиболее ясных текстовых ориентиров для темы познания находится в </w:t>
      </w:r>
      <w:hyperlink r:id="rId23">
        <w:r>
          <w:rPr>
            <w:color w:val="11616A"/>
            <w:u w:val="single"/>
          </w:rPr>
          <w:t>17:36</w:t>
        </w:r>
      </w:hyperlink>
      <w:r>
        <w:rPr>
          <w:rFonts w:ascii="Noto Serif" w:hAnsi="Noto Serif" w:eastAsia="Noto Serif"/>
          <w:b w:val="0"/>
          <w:i w:val="0"/>
        </w:rPr>
        <w:t>: человеку предлагается не утверждать и не принимать то, для чего у него нет знания, а слух, зрение и внутреннее разумение связываются с ответственностью. В этой формуле важна не только возможность знать, но и обязанность проверять основания суждения.</w:t>
      </w:r>
    </w:p>
    <w:p>
      <w:r>
        <w:rPr>
          <w:rFonts w:ascii="Noto Serif" w:hAnsi="Noto Serif" w:eastAsia="Noto Serif"/>
          <w:b w:val="0"/>
          <w:i w:val="0"/>
        </w:rPr>
        <w:t>Такое чтение не следует расширять до утверждения, будто Коран предлагает современный научный метод. В аяте нет описания лабораторного эксперимента, процедуры рецензирования или конкретной теории источников. Здесь есть более общий нравственный принцип: не выдавать предположение за достоверное знание и не освобождать себя от ответственности за то, что услышал, увидел или решил.</w:t>
      </w:r>
    </w:p>
    <w:p>
      <w:r>
        <w:rPr>
          <w:rFonts w:ascii="Noto Serif" w:hAnsi="Noto Serif" w:eastAsia="Noto Serif"/>
          <w:b/>
          <w:i w:val="0"/>
        </w:rPr>
        <w:t>Научный комментарий · контекстуальный подход.</w:t>
      </w:r>
      <w:r>
        <w:rPr>
          <w:rFonts w:ascii="Noto Serif" w:hAnsi="Noto Serif" w:eastAsia="Noto Serif"/>
          <w:b w:val="0"/>
          <w:i w:val="0"/>
        </w:rPr>
        <w:t xml:space="preserve"> Akbar и Saeed описывают контекстуальное чтение как один из современных методов работы с этико-правовыми аятами. Они отмечают, что этот подход ещё требует теоретической разработки; он не является нейтральным консенсусом и не даёт редактору права произвольно переписывать текст. Здесь контекст используется как проверка границ вывода. </w:t>
      </w:r>
      <w:hyperlink r:id="rId24">
        <w:r>
          <w:rPr>
            <w:color w:val="11616A"/>
            <w:u w:val="single"/>
          </w:rPr>
          <w:t>2</w:t>
        </w:r>
      </w:hyperlink>
    </w:p>
    <w:p>
      <w:r>
        <w:rPr>
          <w:rFonts w:ascii="Noto Serif" w:hAnsi="Noto Serif" w:eastAsia="Noto Serif"/>
          <w:b w:val="0"/>
          <w:i w:val="0"/>
        </w:rPr>
        <w:t>Контекст усиливает эту мысль. Непосредственно перед ним упоминаются распоряжение имуществом сироты и честность меры и веса (</w:t>
      </w:r>
      <w:hyperlink r:id="rId25">
        <w:r>
          <w:rPr>
            <w:color w:val="11616A"/>
            <w:u w:val="single"/>
          </w:rPr>
          <w:t>17:34–35</w:t>
        </w:r>
      </w:hyperlink>
      <w:r>
        <w:rPr>
          <w:rFonts w:ascii="Noto Serif" w:hAnsi="Noto Serif" w:eastAsia="Noto Serif"/>
          <w:b w:val="0"/>
          <w:i w:val="0"/>
        </w:rPr>
        <w:t>). Значит, речь идёт не только об отвлечённом рассуждении: достоверность и ответственность связаны с материальными действиями, доверием и справедливостью. Эти соседние предписания — самостоятельные темы, и их нельзя незаметно растворить в современной идее «критического мышления».</w:t>
      </w:r>
    </w:p>
    <w:p>
      <w:r>
        <w:rPr>
          <w:rFonts w:ascii="Noto Serif" w:hAnsi="Noto Serif" w:eastAsia="Noto Serif"/>
          <w:b/>
          <w:i w:val="0"/>
        </w:rPr>
        <w:t>Научный комментарий · связь соседних пассажей.</w:t>
      </w:r>
      <w:r>
        <w:rPr>
          <w:rFonts w:ascii="Noto Serif" w:hAnsi="Noto Serif" w:eastAsia="Noto Serif"/>
          <w:b w:val="0"/>
          <w:i w:val="0"/>
        </w:rPr>
        <w:t xml:space="preserve"> M. A. S. Abdel-Haleem разбирает, как в некоторых местах Корана временное отступление от темы может связывать соседние наставления; его пример касается другого фрагмента — 2:238–240. Это полезное напоминание проверять композиционную связь, но не доказательство, что всякая соседняя последовательность имеет один бесспорный замысел. </w:t>
      </w:r>
      <w:hyperlink r:id="rId26">
        <w:r>
          <w:rPr>
            <w:color w:val="11616A"/>
            <w:u w:val="single"/>
          </w:rPr>
          <w:t>6</w:t>
        </w:r>
      </w:hyperlink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5. Слово может поддерживать достоинство — или разрушать его</w:t>
      </w:r>
    </w:p>
    <w:p>
      <w:r>
        <w:rPr>
          <w:rFonts w:ascii="Noto Serif" w:hAnsi="Noto Serif" w:eastAsia="Noto Serif"/>
          <w:b w:val="0"/>
          <w:i w:val="0"/>
        </w:rPr>
        <w:t xml:space="preserve">В </w:t>
      </w:r>
      <w:hyperlink r:id="rId27">
        <w:r>
          <w:rPr>
            <w:color w:val="11616A"/>
            <w:u w:val="single"/>
          </w:rPr>
          <w:t>49:11–12</w:t>
        </w:r>
      </w:hyperlink>
      <w:r>
        <w:rPr>
          <w:rFonts w:ascii="Noto Serif" w:hAnsi="Noto Serif" w:eastAsia="Noto Serif"/>
          <w:b w:val="0"/>
          <w:i w:val="0"/>
        </w:rPr>
        <w:t xml:space="preserve"> текст осуждает насмешку, уничижительные прозвища, необоснованные подозрения, слежку и злословие. Поэтическое сравнение в двенадцатом аяте показывает, насколько сильным может быть риторический образ. В пересказе мы не повторяем это сравнение дословно, но сохраняем его функцию: речь обращает внимание на моральную тяжесть унижения другого человека за его спиной.</w:t>
      </w:r>
    </w:p>
    <w:p>
      <w:r>
        <w:rPr>
          <w:rFonts w:ascii="Noto Serif" w:hAnsi="Noto Serif" w:eastAsia="Noto Serif"/>
          <w:b w:val="0"/>
          <w:i w:val="0"/>
        </w:rPr>
        <w:t>Адресат этих аятов обозначен внутри текста как верующие. Поэтому некорректно скрывать адресата или выдавать современную универсальную формулировку за дословное содержание. При этом более широкая человеческая перспектива звучит в следующем аяте: различие народов и племён описано как возможность узнавать друг друга (</w:t>
      </w:r>
      <w:hyperlink r:id="rId28">
        <w:r>
          <w:rPr>
            <w:color w:val="11616A"/>
            <w:u w:val="single"/>
          </w:rPr>
          <w:t>49:13</w:t>
        </w:r>
      </w:hyperlink>
      <w:r>
        <w:rPr>
          <w:rFonts w:ascii="Noto Serif" w:hAnsi="Noto Serif" w:eastAsia="Noto Serif"/>
          <w:b w:val="0"/>
          <w:i w:val="0"/>
        </w:rPr>
        <w:t>). Внутри одной суры соседствуют как обращение к общине, так и обращение к людям вообще; это различие важно сохранить.</w:t>
      </w:r>
    </w:p>
    <w:p>
      <w:r>
        <w:rPr>
          <w:rFonts w:ascii="Noto Serif" w:hAnsi="Noto Serif" w:eastAsia="Noto Serif"/>
          <w:b w:val="0"/>
          <w:i w:val="0"/>
        </w:rPr>
        <w:t>Из этой группы мест можно извлечь осторожную мысль о речи как форме общественного действия: слово способно унизить, обвинить или поддержать взаимное узнавание. Но текст не отменяет необходимости различать правдивую критику, доказанное свидетельство и злословие. Сводить все эти категории к одному понятию «негативных слов» было бы неточно.</w:t>
      </w:r>
    </w:p>
    <w:p>
      <w:r>
        <w:rPr>
          <w:rFonts w:ascii="Noto Serif" w:hAnsi="Noto Serif" w:eastAsia="Noto Serif"/>
          <w:b/>
          <w:i w:val="0"/>
        </w:rPr>
        <w:t>Опоры:</w:t>
      </w:r>
      <w:r>
        <w:rPr>
          <w:rFonts w:ascii="Noto Serif" w:hAnsi="Noto Serif" w:eastAsia="Noto Serif"/>
          <w:b w:val="0"/>
          <w:i w:val="0"/>
        </w:rPr>
        <w:t xml:space="preserve"> Коран </w:t>
      </w:r>
      <w:hyperlink r:id="rId27">
        <w:r>
          <w:rPr>
            <w:color w:val="11616A"/>
            <w:u w:val="single"/>
          </w:rPr>
          <w:t>49:11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29">
        <w:r>
          <w:rPr>
            <w:color w:val="11616A"/>
            <w:u w:val="single"/>
          </w:rPr>
          <w:t>49:12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28">
        <w:r>
          <w:rPr>
            <w:color w:val="11616A"/>
            <w:u w:val="single"/>
          </w:rPr>
          <w:t>49:13</w:t>
        </w:r>
      </w:hyperlink>
      <w:r>
        <w:rPr>
          <w:rFonts w:ascii="Noto Serif" w:hAnsi="Noto Serif" w:eastAsia="Noto Serif"/>
          <w:b w:val="0"/>
          <w:i w:val="0"/>
        </w:rPr>
        <w:t>.</w:t>
      </w:r>
    </w:p>
    <w:p>
      <w:pPr>
        <w:pStyle w:val="Heading2"/>
      </w:pPr>
      <w:r>
        <w:rPr>
          <w:rFonts w:ascii="Noto Serif" w:hAnsi="Noto Serif" w:eastAsia="Noto Serif"/>
          <w:b w:val="0"/>
          <w:i w:val="0"/>
        </w:rPr>
        <w:t>Часть III. Нравственность и ответственность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8000" cy="25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hics_balanc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6. Справедливость начинается с проверки себя</w:t>
      </w:r>
    </w:p>
    <w:p>
      <w:r>
        <w:rPr>
          <w:rFonts w:ascii="Noto Serif" w:hAnsi="Noto Serif" w:eastAsia="Noto Serif"/>
          <w:b w:val="0"/>
          <w:i w:val="0"/>
        </w:rPr>
        <w:t xml:space="preserve">В </w:t>
      </w:r>
      <w:hyperlink r:id="rId31">
        <w:r>
          <w:rPr>
            <w:color w:val="11616A"/>
            <w:u w:val="single"/>
          </w:rPr>
          <w:t>4:135</w:t>
        </w:r>
      </w:hyperlink>
      <w:r>
        <w:rPr>
          <w:rFonts w:ascii="Noto Serif" w:hAnsi="Noto Serif" w:eastAsia="Noto Serif"/>
          <w:b w:val="0"/>
          <w:i w:val="0"/>
        </w:rPr>
        <w:t xml:space="preserve"> справедливое свидетельство противопоставлено личной склонности и прямо распространяется на случаи, когда оно может быть невыгодно самому человеку, его родителям или близким. В </w:t>
      </w:r>
      <w:hyperlink r:id="rId32">
        <w:r>
          <w:rPr>
            <w:color w:val="11616A"/>
            <w:u w:val="single"/>
          </w:rPr>
          <w:t>5:8</w:t>
        </w:r>
      </w:hyperlink>
      <w:r>
        <w:rPr>
          <w:rFonts w:ascii="Noto Serif" w:hAnsi="Noto Serif" w:eastAsia="Noto Serif"/>
          <w:b w:val="0"/>
          <w:i w:val="0"/>
        </w:rPr>
        <w:t xml:space="preserve"> адресатам сказано не позволять неприязни к другой группе вести к несправедливости. Оба места связывают оценку суждений с неудобной задачей: быть беспристрастным не только к чужим, но и к своим интересам.</w:t>
      </w:r>
    </w:p>
    <w:p>
      <w:r>
        <w:rPr>
          <w:rFonts w:ascii="Noto Serif" w:hAnsi="Noto Serif" w:eastAsia="Noto Serif"/>
          <w:b w:val="0"/>
          <w:i w:val="0"/>
        </w:rPr>
        <w:t>Это не означает, что два аята снимают исторические, правовые или общинные контексты. В обоих текстах есть религиозный адресат и обращение к Богу. Смысл книги не в том, чтобы удалить этот слой, а в том, чтобы различить: перед нами наставление конкретной общине и одновременно формулировка, которую можно обсуждать как этический ориентир. Такое обсуждение — авторский вывод.</w:t>
      </w:r>
    </w:p>
    <w:p>
      <w:r>
        <w:rPr>
          <w:rFonts w:ascii="Noto Serif" w:hAnsi="Noto Serif" w:eastAsia="Noto Serif"/>
          <w:b w:val="0"/>
          <w:i w:val="0"/>
        </w:rPr>
        <w:t>Справедливость здесь не сводится к одинаковому обращению с любыми обстоятельствами. В одном случае подчёркнута независимость свидетельства от родства и достатка, в другом — от чувства неприязни. Это два разных риска пристрастия, а не универсальная инструкция по разрешению всех конфликтов.</w:t>
      </w:r>
    </w:p>
    <w:p>
      <w:r>
        <w:rPr>
          <w:rFonts w:ascii="Noto Serif" w:hAnsi="Noto Serif" w:eastAsia="Noto Serif"/>
          <w:b/>
          <w:i w:val="0"/>
        </w:rPr>
        <w:t>Опоры:</w:t>
      </w:r>
      <w:r>
        <w:rPr>
          <w:rFonts w:ascii="Noto Serif" w:hAnsi="Noto Serif" w:eastAsia="Noto Serif"/>
          <w:b w:val="0"/>
          <w:i w:val="0"/>
        </w:rPr>
        <w:t xml:space="preserve"> Коран </w:t>
      </w:r>
      <w:hyperlink r:id="rId31">
        <w:r>
          <w:rPr>
            <w:color w:val="11616A"/>
            <w:u w:val="single"/>
          </w:rPr>
          <w:t>4:135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32">
        <w:r>
          <w:rPr>
            <w:color w:val="11616A"/>
            <w:u w:val="single"/>
          </w:rPr>
          <w:t>5:8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33">
        <w:r>
          <w:rPr>
            <w:color w:val="11616A"/>
            <w:u w:val="single"/>
          </w:rPr>
          <w:t>16:90</w:t>
        </w:r>
      </w:hyperlink>
      <w:r>
        <w:rPr>
          <w:rFonts w:ascii="Noto Serif" w:hAnsi="Noto Serif" w:eastAsia="Noto Serif"/>
          <w:b w:val="0"/>
          <w:i w:val="0"/>
        </w:rPr>
        <w:t>.</w:t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7. Добро — не только намерение</w:t>
      </w:r>
    </w:p>
    <w:p>
      <w:r>
        <w:rPr>
          <w:rFonts w:ascii="Noto Serif" w:hAnsi="Noto Serif" w:eastAsia="Noto Serif"/>
          <w:b w:val="0"/>
          <w:i w:val="0"/>
        </w:rPr>
        <w:t xml:space="preserve">Аят </w:t>
      </w:r>
      <w:hyperlink r:id="rId33">
        <w:r>
          <w:rPr>
            <w:color w:val="11616A"/>
            <w:u w:val="single"/>
          </w:rPr>
          <w:t>16:90</w:t>
        </w:r>
      </w:hyperlink>
      <w:r>
        <w:rPr>
          <w:rFonts w:ascii="Noto Serif" w:hAnsi="Noto Serif" w:eastAsia="Noto Serif"/>
          <w:b w:val="0"/>
          <w:i w:val="0"/>
        </w:rPr>
        <w:t xml:space="preserve"> соединяет справедливость с благодеянием и заботой о близких, противопоставляя им разрушительное поведение. В </w:t>
      </w:r>
      <w:hyperlink r:id="rId34">
        <w:r>
          <w:rPr>
            <w:color w:val="11616A"/>
            <w:u w:val="single"/>
          </w:rPr>
          <w:t>2:177</w:t>
        </w:r>
      </w:hyperlink>
      <w:r>
        <w:rPr>
          <w:rFonts w:ascii="Noto Serif" w:hAnsi="Noto Serif" w:eastAsia="Noto Serif"/>
          <w:b w:val="0"/>
          <w:i w:val="0"/>
        </w:rPr>
        <w:t xml:space="preserve"> нравственная добродетель раскрывается через несколько слоёв сразу: веру, помощь родственникам, сиротам и нуждающимся, религиозные практики, верность обещаниям и стойкость в испытании. Этот аят не позволяет без оговорки свести религиозность только к социальному действию — как и только к обряду.</w:t>
      </w:r>
    </w:p>
    <w:p>
      <w:r>
        <w:rPr>
          <w:rFonts w:ascii="Noto Serif" w:hAnsi="Noto Serif" w:eastAsia="Noto Serif"/>
          <w:b w:val="0"/>
          <w:i w:val="0"/>
        </w:rPr>
        <w:t>Короткая сура «аль-Маун» резко сближает вопрос веры с отношением к сироте и нуждающемуся, а также с тем, как выглядит поклонение, лишённое заботы. Пересказ этого места можно сформулировать так: религиозное самоописание подвергается проверке через отношение к уязвимому человеку. Но в самой суре присутствует и молитва; поскольку обряды отнесены к REVIEW, этот элемент здесь отмечен, а не изъят без решения автора.</w:t>
      </w:r>
    </w:p>
    <w:p>
      <w:r>
        <w:rPr>
          <w:rFonts w:ascii="Noto Serif" w:hAnsi="Noto Serif" w:eastAsia="Noto Serif"/>
          <w:b w:val="0"/>
          <w:i w:val="0"/>
        </w:rPr>
        <w:t>Сочетание этих мест показывает не готовую современную социальную программу, а повторяющуюся связь между нравственной добродетелью и конкретным обращением с другими. Кто именно и при каких условиях несёт обязанность помощи — отдельный вопрос, который зависит от текста, толкования и исторической практики.</w:t>
      </w:r>
    </w:p>
    <w:p>
      <w:r>
        <w:rPr>
          <w:rFonts w:ascii="Noto Serif" w:hAnsi="Noto Serif" w:eastAsia="Noto Serif"/>
          <w:b/>
          <w:i w:val="0"/>
        </w:rPr>
        <w:t>Научный комментарий · история исламской этики.</w:t>
      </w:r>
      <w:r>
        <w:rPr>
          <w:rFonts w:ascii="Noto Serif" w:hAnsi="Noto Serif" w:eastAsia="Noto Serif"/>
          <w:b w:val="0"/>
          <w:i w:val="0"/>
        </w:rPr>
        <w:t xml:space="preserve"> Обзор Atif Khalil показывает, что этические идеи в исламской истории разрабатывались в разных дисциплинах — богословии, философии, суфийской мысли и праве — и получали неодинаковые объяснения. Поэтому такие слова, как «справедливость» и «добродетель», здесь обозначают исследовательские темы, а не готовые определения, одинаковые во всех школах. </w:t>
      </w:r>
      <w:hyperlink r:id="rId35">
        <w:r>
          <w:rPr>
            <w:color w:val="11616A"/>
            <w:u w:val="single"/>
          </w:rPr>
          <w:t>3</w:t>
        </w:r>
      </w:hyperlink>
    </w:p>
    <w:p>
      <w:r>
        <w:rPr>
          <w:rFonts w:ascii="Noto Serif" w:hAnsi="Noto Serif" w:eastAsia="Noto Serif"/>
          <w:b/>
          <w:i w:val="0"/>
        </w:rPr>
        <w:t>Опоры:</w:t>
      </w:r>
      <w:r>
        <w:rPr>
          <w:rFonts w:ascii="Noto Serif" w:hAnsi="Noto Serif" w:eastAsia="Noto Serif"/>
          <w:b w:val="0"/>
          <w:i w:val="0"/>
        </w:rPr>
        <w:t xml:space="preserve"> Коран </w:t>
      </w:r>
      <w:hyperlink r:id="rId33">
        <w:r>
          <w:rPr>
            <w:color w:val="11616A"/>
            <w:u w:val="single"/>
          </w:rPr>
          <w:t>16:90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34">
        <w:r>
          <w:rPr>
            <w:color w:val="11616A"/>
            <w:u w:val="single"/>
          </w:rPr>
          <w:t>2:177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36">
        <w:r>
          <w:rPr>
            <w:color w:val="11616A"/>
            <w:u w:val="single"/>
          </w:rPr>
          <w:t>107:1–7</w:t>
        </w:r>
      </w:hyperlink>
      <w:r>
        <w:rPr>
          <w:rFonts w:ascii="Noto Serif" w:hAnsi="Noto Serif" w:eastAsia="Noto Serif"/>
          <w:b w:val="0"/>
          <w:i w:val="0"/>
        </w:rPr>
        <w:t xml:space="preserve">. В </w:t>
      </w:r>
      <w:hyperlink r:id="rId34">
        <w:r>
          <w:rPr>
            <w:color w:val="11616A"/>
            <w:u w:val="single"/>
          </w:rPr>
          <w:t>2:177</w:t>
        </w:r>
      </w:hyperlink>
      <w:r>
        <w:rPr>
          <w:rFonts w:ascii="Noto Serif" w:hAnsi="Noto Serif" w:eastAsia="Noto Serif"/>
          <w:b w:val="0"/>
          <w:i w:val="0"/>
        </w:rPr>
        <w:t xml:space="preserve"> и </w:t>
      </w:r>
      <w:hyperlink r:id="rId36">
        <w:r>
          <w:rPr>
            <w:color w:val="11616A"/>
            <w:u w:val="single"/>
          </w:rPr>
          <w:t>107:1–7</w:t>
        </w:r>
      </w:hyperlink>
      <w:r>
        <w:rPr>
          <w:rFonts w:ascii="Noto Serif" w:hAnsi="Noto Serif" w:eastAsia="Noto Serif"/>
          <w:b w:val="0"/>
          <w:i w:val="0"/>
        </w:rPr>
        <w:t xml:space="preserve"> нравственная линия соединена с элементами категорий REVIEW; они не выданы за однозначно отделённые от обряда.</w:t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8. Благодарность как внимание к дару и пределу</w:t>
      </w:r>
    </w:p>
    <w:p>
      <w:r>
        <w:rPr>
          <w:rFonts w:ascii="Noto Serif" w:hAnsi="Noto Serif" w:eastAsia="Noto Serif"/>
          <w:b w:val="0"/>
          <w:i w:val="0"/>
        </w:rPr>
        <w:t xml:space="preserve">В </w:t>
      </w:r>
      <w:hyperlink r:id="rId37">
        <w:r>
          <w:rPr>
            <w:color w:val="11616A"/>
            <w:u w:val="single"/>
          </w:rPr>
          <w:t>31:12</w:t>
        </w:r>
      </w:hyperlink>
      <w:r>
        <w:rPr>
          <w:rFonts w:ascii="Noto Serif" w:hAnsi="Noto Serif" w:eastAsia="Noto Serif"/>
          <w:b w:val="0"/>
          <w:i w:val="0"/>
        </w:rPr>
        <w:t xml:space="preserve"> мудрость Лукмана связана с благодарностью. Текст не описывает благодарность как технику хорошего настроения или способ гарантировать успех. Она направлена к Богу и представлена как благо для самого благодарного; Бог при этом не нуждается в человеческой признательности.</w:t>
      </w:r>
    </w:p>
    <w:p>
      <w:r>
        <w:rPr>
          <w:rFonts w:ascii="Noto Serif" w:hAnsi="Noto Serif" w:eastAsia="Noto Serif"/>
          <w:b w:val="0"/>
          <w:i w:val="0"/>
        </w:rPr>
        <w:t>Такой смысл можно прочитать как дисциплину внимания: замечать то, что человек не создал собственными силами, и не считать себя мерой всего существующего. Это уже философское изложение редактора, а не буквальный перевод. В следующем отрывке повествовательная сцена переходит к советам Лукмана сыну. Мы не превращаем её в доказательство биографических фактов и не утверждаем, что современная категория «психологической устойчивости» присутствует в тексте.</w:t>
      </w:r>
    </w:p>
    <w:p>
      <w:r>
        <w:rPr>
          <w:rFonts w:ascii="Noto Serif" w:hAnsi="Noto Serif" w:eastAsia="Noto Serif"/>
          <w:b/>
          <w:i w:val="0"/>
        </w:rPr>
        <w:t>Опора:</w:t>
      </w:r>
      <w:r>
        <w:rPr>
          <w:rFonts w:ascii="Noto Serif" w:hAnsi="Noto Serif" w:eastAsia="Noto Serif"/>
          <w:b w:val="0"/>
          <w:i w:val="0"/>
        </w:rPr>
        <w:t xml:space="preserve"> Коран </w:t>
      </w:r>
      <w:hyperlink r:id="rId37">
        <w:r>
          <w:rPr>
            <w:color w:val="11616A"/>
            <w:u w:val="single"/>
          </w:rPr>
          <w:t>31:12</w:t>
        </w:r>
      </w:hyperlink>
      <w:r>
        <w:rPr>
          <w:rFonts w:ascii="Noto Serif" w:hAnsi="Noto Serif" w:eastAsia="Noto Serif"/>
          <w:b w:val="0"/>
          <w:i w:val="0"/>
        </w:rPr>
        <w:t>. История Лукмана как повествование имеет статус REVIEW; здесь исследуется только смысловой ход, непосредственно заданный выбранным аятом.</w:t>
      </w:r>
    </w:p>
    <w:p>
      <w:pPr>
        <w:pStyle w:val="Heading2"/>
      </w:pPr>
      <w:r>
        <w:rPr>
          <w:rFonts w:ascii="Noto Serif" w:hAnsi="Noto Serif" w:eastAsia="Noto Serif"/>
          <w:b w:val="0"/>
          <w:i w:val="0"/>
        </w:rPr>
        <w:t>Часть IV. Отношения, слово и обещание</w:t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9. Различие не обязано превращаться в отчуждение</w:t>
      </w:r>
    </w:p>
    <w:p>
      <w:r>
        <w:rPr>
          <w:rFonts w:ascii="Noto Serif" w:hAnsi="Noto Serif" w:eastAsia="Noto Serif"/>
          <w:b w:val="0"/>
          <w:i w:val="0"/>
        </w:rPr>
        <w:t xml:space="preserve">В </w:t>
      </w:r>
      <w:hyperlink r:id="rId28">
        <w:r>
          <w:rPr>
            <w:color w:val="11616A"/>
            <w:u w:val="single"/>
          </w:rPr>
          <w:t>49:13</w:t>
        </w:r>
      </w:hyperlink>
      <w:r>
        <w:rPr>
          <w:rFonts w:ascii="Noto Serif" w:hAnsi="Noto Serif" w:eastAsia="Noto Serif"/>
          <w:b w:val="0"/>
          <w:i w:val="0"/>
        </w:rPr>
        <w:t xml:space="preserve"> разнообразие народов и племён представлено как условие взаимного узнавания. Этот образ открывает возможность говорить об отношениях без требования, чтобы все люди стали одинаковыми. При этом аят сохраняет собственную религиозную меру достоинства — праведность перед Богом. Было бы неполно пересказать его только как современный лозунг о культурном многообразии и умолчать о богословской рамке.</w:t>
      </w:r>
    </w:p>
    <w:p>
      <w:r>
        <w:rPr>
          <w:rFonts w:ascii="Noto Serif" w:hAnsi="Noto Serif" w:eastAsia="Noto Serif"/>
          <w:b w:val="0"/>
          <w:i w:val="0"/>
        </w:rPr>
        <w:t xml:space="preserve">Аят </w:t>
      </w:r>
      <w:hyperlink r:id="rId38">
        <w:r>
          <w:rPr>
            <w:color w:val="11616A"/>
            <w:u w:val="single"/>
          </w:rPr>
          <w:t>60:8</w:t>
        </w:r>
      </w:hyperlink>
      <w:r>
        <w:rPr>
          <w:rFonts w:ascii="Noto Serif" w:hAnsi="Noto Serif" w:eastAsia="Noto Serif"/>
          <w:b w:val="0"/>
          <w:i w:val="0"/>
        </w:rPr>
        <w:t xml:space="preserve"> допускает доброе и справедливое отношение к тем, кто не воюет с адресатами и не изгоняет их из жилищ. Его условие нельзя опустить: это не абстрактное утверждение вне исторического конфликта. Соседний текст содержит границу, поэтому этот аят нельзя использовать как универсальную декларацию, не прочитав контекст. Вместе эти места позволяют обсуждать уважение и справедливость, сохраняя конкретные адреса и оговорки.</w:t>
      </w:r>
    </w:p>
    <w:p>
      <w:r>
        <w:rPr>
          <w:rFonts w:ascii="Noto Serif" w:hAnsi="Noto Serif" w:eastAsia="Noto Serif"/>
          <w:b/>
          <w:i w:val="0"/>
        </w:rPr>
        <w:t>Опоры:</w:t>
      </w:r>
      <w:r>
        <w:rPr>
          <w:rFonts w:ascii="Noto Serif" w:hAnsi="Noto Serif" w:eastAsia="Noto Serif"/>
          <w:b w:val="0"/>
          <w:i w:val="0"/>
        </w:rPr>
        <w:t xml:space="preserve"> Коран </w:t>
      </w:r>
      <w:hyperlink r:id="rId28">
        <w:r>
          <w:rPr>
            <w:color w:val="11616A"/>
            <w:u w:val="single"/>
          </w:rPr>
          <w:t>49:13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38">
        <w:r>
          <w:rPr>
            <w:color w:val="11616A"/>
            <w:u w:val="single"/>
          </w:rPr>
          <w:t>60:8–9</w:t>
        </w:r>
      </w:hyperlink>
      <w:r>
        <w:rPr>
          <w:rFonts w:ascii="Noto Serif" w:hAnsi="Noto Serif" w:eastAsia="Noto Serif"/>
          <w:b w:val="0"/>
          <w:i w:val="0"/>
        </w:rPr>
        <w:t>. В читательском изложении используется только формулировка 60:8; 60:9 указывается как контекстуальная граница, а не пересказывается.</w:t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10. Договор и обещание держат доверие</w:t>
      </w:r>
    </w:p>
    <w:p>
      <w:r>
        <w:rPr>
          <w:rFonts w:ascii="Noto Serif" w:hAnsi="Noto Serif" w:eastAsia="Noto Serif"/>
          <w:b w:val="0"/>
          <w:i w:val="0"/>
        </w:rPr>
        <w:t xml:space="preserve">В </w:t>
      </w:r>
      <w:hyperlink r:id="rId25">
        <w:r>
          <w:rPr>
            <w:color w:val="11616A"/>
            <w:u w:val="single"/>
          </w:rPr>
          <w:t>17:34</w:t>
        </w:r>
      </w:hyperlink>
      <w:r>
        <w:rPr>
          <w:rFonts w:ascii="Noto Serif" w:hAnsi="Noto Serif" w:eastAsia="Noto Serif"/>
          <w:b w:val="0"/>
          <w:i w:val="0"/>
        </w:rPr>
        <w:t xml:space="preserve"> забота об имуществе сироты соединена с требованием исполнять обязательство. В </w:t>
      </w:r>
      <w:hyperlink r:id="rId33">
        <w:r>
          <w:rPr>
            <w:color w:val="11616A"/>
            <w:u w:val="single"/>
          </w:rPr>
          <w:t>16:91–92</w:t>
        </w:r>
      </w:hyperlink>
      <w:r>
        <w:rPr>
          <w:rFonts w:ascii="Noto Serif" w:hAnsi="Noto Serif" w:eastAsia="Noto Serif"/>
          <w:b w:val="0"/>
          <w:i w:val="0"/>
        </w:rPr>
        <w:t xml:space="preserve"> обещание и клятва обсуждаются в связи с возможностью обмана и общественной лояльности. Здесь клятва не является «лишней» темой: она остаётся важной, как требует авторское решение проекта.</w:t>
      </w:r>
    </w:p>
    <w:p>
      <w:r>
        <w:rPr>
          <w:rFonts w:ascii="Noto Serif" w:hAnsi="Noto Serif" w:eastAsia="Noto Serif"/>
          <w:b w:val="0"/>
          <w:i w:val="0"/>
        </w:rPr>
        <w:t>Смысловой вывод не состоит в том, что все формы обещания равнозначны юридическому договору. Текстовый контекст задаёт свои религиозные и общественные отношения. Но можно увидеть общий этический нерв: слово создаёт ожидание, а разрыв между обещанным и сделанным причиняет ущерб доверию. Этот вывод обозначен как философское прочтение, не как дословная цитата.</w:t>
      </w:r>
    </w:p>
    <w:p>
      <w:r>
        <w:rPr>
          <w:rFonts w:ascii="Noto Serif" w:hAnsi="Noto Serif" w:eastAsia="Noto Serif"/>
          <w:b/>
          <w:i w:val="0"/>
        </w:rPr>
        <w:t>Научный комментарий · клятва как речевая форма.</w:t>
      </w:r>
      <w:r>
        <w:rPr>
          <w:rFonts w:ascii="Noto Serif" w:hAnsi="Noto Serif" w:eastAsia="Noto Serif"/>
          <w:b w:val="0"/>
          <w:i w:val="0"/>
        </w:rPr>
        <w:t xml:space="preserve"> Devin J. Stewart рассматривает клятвы как один из жанров коранической речи и подчёркивает, что жанровый анализ нужно сочетать с лексикой, грамматикой и контекстом. Отдельное исследование Abdel-Haleem посвящено переводческим трудностям клятв в 79-й и 100-й сурах; оно не решает вопрос о 16:91–92, но показывает, почему риторическую форму нельзя незаметно свести к обычному обещанию. Клятвы в выборке сохранены, как задано автором проекта. </w:t>
      </w:r>
      <w:hyperlink r:id="rId39">
        <w:r>
          <w:rPr>
            <w:color w:val="11616A"/>
            <w:u w:val="single"/>
          </w:rPr>
          <w:t>4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40">
        <w:r>
          <w:rPr>
            <w:color w:val="11616A"/>
            <w:u w:val="single"/>
          </w:rPr>
          <w:t>5</w:t>
        </w:r>
      </w:hyperlink>
    </w:p>
    <w:p>
      <w:r>
        <w:rPr>
          <w:rFonts w:ascii="Noto Serif" w:hAnsi="Noto Serif" w:eastAsia="Noto Serif"/>
          <w:b w:val="0"/>
          <w:i w:val="0"/>
        </w:rPr>
        <w:t>В одном ряду оказываются свидетельство, мера, имущество сироты и клятва. Они показывают, что ответственность перед Богом связывается с практическими отношениями — с тем, как человек распоряжается чужим доверием и общими правилами.</w:t>
      </w:r>
    </w:p>
    <w:p>
      <w:r>
        <w:rPr>
          <w:rFonts w:ascii="Noto Serif" w:hAnsi="Noto Serif" w:eastAsia="Noto Serif"/>
          <w:b/>
          <w:i w:val="0"/>
        </w:rPr>
        <w:t>Опоры:</w:t>
      </w:r>
      <w:r>
        <w:rPr>
          <w:rFonts w:ascii="Noto Serif" w:hAnsi="Noto Serif" w:eastAsia="Noto Serif"/>
          <w:b w:val="0"/>
          <w:i w:val="0"/>
        </w:rPr>
        <w:t xml:space="preserve"> Коран </w:t>
      </w:r>
      <w:hyperlink r:id="rId33">
        <w:r>
          <w:rPr>
            <w:color w:val="11616A"/>
            <w:u w:val="single"/>
          </w:rPr>
          <w:t>16:91–92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25">
        <w:r>
          <w:rPr>
            <w:color w:val="11616A"/>
            <w:u w:val="single"/>
          </w:rPr>
          <w:t>17:34–35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34">
        <w:r>
          <w:rPr>
            <w:color w:val="11616A"/>
            <w:u w:val="single"/>
          </w:rPr>
          <w:t>2:177</w:t>
        </w:r>
      </w:hyperlink>
      <w:r>
        <w:rPr>
          <w:rFonts w:ascii="Noto Serif" w:hAnsi="Noto Serif" w:eastAsia="Noto Serif"/>
          <w:b w:val="0"/>
          <w:i w:val="0"/>
        </w:rPr>
        <w:t>.</w:t>
      </w:r>
    </w:p>
    <w:p>
      <w:pPr>
        <w:pStyle w:val="Heading2"/>
      </w:pPr>
      <w:r>
        <w:rPr>
          <w:rFonts w:ascii="Noto Serif" w:hAnsi="Noto Serif" w:eastAsia="Noto Serif"/>
          <w:b w:val="0"/>
          <w:i w:val="0"/>
        </w:rPr>
        <w:t>Часть V. Повествование как способ размышления</w:t>
      </w:r>
    </w:p>
    <w:p>
      <w:r>
        <w:rPr>
          <w:rFonts w:ascii="Noto Serif" w:hAnsi="Noto Serif" w:eastAsia="Noto Serif"/>
          <w:b w:val="0"/>
          <w:i w:val="0"/>
        </w:rPr>
        <w:t>Истории Корана — не иллюстративные вставки, которые можно вынуть из текста без потерь. Они связаны с обращением к общине, с образом пророческой речи, с повторением сюжетов и с религиозным представлением о Боге. Поэтому их нельзя превращать в набор свободных «универсальных притч», заранее очищенных от богословия.</w:t>
      </w:r>
    </w:p>
    <w:p>
      <w:r>
        <w:rPr>
          <w:rFonts w:ascii="Noto Serif" w:hAnsi="Noto Serif" w:eastAsia="Noto Serif"/>
          <w:b w:val="0"/>
          <w:i w:val="0"/>
        </w:rPr>
        <w:t xml:space="preserve">В этой предварительной редакции история Лукмана служит лишь ограниченным примером. </w:t>
      </w:r>
      <w:hyperlink r:id="rId37">
        <w:r>
          <w:rPr>
            <w:color w:val="11616A"/>
            <w:u w:val="single"/>
          </w:rPr>
          <w:t>31:12</w:t>
        </w:r>
      </w:hyperlink>
      <w:r>
        <w:rPr>
          <w:rFonts w:ascii="Noto Serif" w:hAnsi="Noto Serif" w:eastAsia="Noto Serif"/>
          <w:b w:val="0"/>
          <w:i w:val="0"/>
        </w:rPr>
        <w:t xml:space="preserve"> связывает мудрость и благодарность, а следующий фрагмент открывает обращение отца к сыну. Но данный проект ещё не выполнил последовательную разметку всех коранических повествований, не сопоставил варианты традиционного толкования и не установил историческую достоверность рассказов. Поэтому выводы об этом блоке имеют статус </w:t>
      </w:r>
      <w:r>
        <w:rPr>
          <w:rFonts w:ascii="Noto Serif" w:hAnsi="Noto Serif" w:eastAsia="Noto Serif"/>
          <w:b/>
          <w:i w:val="0"/>
        </w:rPr>
        <w:t>REVIEW</w:t>
      </w:r>
      <w:r>
        <w:rPr>
          <w:rFonts w:ascii="Noto Serif" w:hAnsi="Noto Serif" w:eastAsia="Noto Serif"/>
          <w:b w:val="0"/>
          <w:i w:val="0"/>
        </w:rPr>
        <w:t>.</w:t>
      </w:r>
    </w:p>
    <w:p>
      <w:r>
        <w:rPr>
          <w:rFonts w:ascii="Noto Serif" w:hAnsi="Noto Serif" w:eastAsia="Noto Serif"/>
          <w:b/>
          <w:i w:val="0"/>
        </w:rPr>
        <w:t>Научный комментарий · жанр не заменяет контекст.</w:t>
      </w:r>
      <w:r>
        <w:rPr>
          <w:rFonts w:ascii="Noto Serif" w:hAnsi="Noto Serif" w:eastAsia="Noto Serif"/>
          <w:b w:val="0"/>
          <w:i w:val="0"/>
        </w:rPr>
        <w:t xml:space="preserve"> Исследование жанров помогает спрашивать, кто говорит, кому и с какой речевой целью. Но, по выводу Stewart, жанровые наблюдения следует соединять с грамматикой, лексикой и близким контекстом; исчерпывающего перечня жанров Корана пока нет. Здесь это вспомогательный вопрос к чтению, а не способ превратить повествование в свободную притчу. </w:t>
      </w:r>
      <w:hyperlink r:id="rId39">
        <w:r>
          <w:rPr>
            <w:color w:val="11616A"/>
            <w:u w:val="single"/>
          </w:rPr>
          <w:t>4</w:t>
        </w:r>
      </w:hyperlink>
    </w:p>
    <w:p>
      <w:r>
        <w:rPr>
          <w:rFonts w:ascii="Noto Serif" w:hAnsi="Noto Serif" w:eastAsia="Noto Serif"/>
          <w:b w:val="0"/>
          <w:i w:val="0"/>
        </w:rPr>
        <w:t>Для будущего анализа каждой истории нужен минимум из четырёх шагов: прочитать весь повествовательный отрывок; определить, кто и кому говорит; отделить содержание рассказа от позднего толкования; после этого обсуждать, какие идеи можно перенести в философское изложение без стирания религиозного смысла. Изображения пророков и сцен откровения в этой книге не используются.</w:t>
      </w:r>
    </w:p>
    <w:p>
      <w:pPr>
        <w:pStyle w:val="Heading2"/>
      </w:pPr>
      <w:r>
        <w:rPr>
          <w:rFonts w:ascii="Noto Serif" w:hAnsi="Noto Serif" w:eastAsia="Noto Serif"/>
          <w:b w:val="0"/>
          <w:i w:val="0"/>
        </w:rPr>
        <w:t>Часть VI. Десять открытых исследовательских вопросов</w:t>
      </w:r>
    </w:p>
    <w:p>
      <w:r>
        <w:rPr>
          <w:rFonts w:ascii="Noto Serif" w:hAnsi="Noto Serif" w:eastAsia="Noto Serif"/>
          <w:b w:val="0"/>
          <w:i w:val="0"/>
        </w:rPr>
        <w:t xml:space="preserve">Все десять категорий ниже получили отдельные тематические досье и выборочные проверки конкретных мест. Это не означает поаятного анализа всего Корана и не является рекомендацией автоматически сохранить или исключить темы. Для каждой категории отмечены самостоятельный смысл, зависимость от практики или контекста и возможная потеря при удалении. </w:t>
      </w:r>
      <w:r>
        <w:rPr>
          <w:rFonts w:ascii="Noto Serif" w:hAnsi="Noto Serif" w:eastAsia="Noto Serif"/>
          <w:b/>
          <w:i w:val="0"/>
        </w:rPr>
        <w:t>Все статусы остаются REVIEW; окончательное решение и выбор смыслового ядра принадлежат Velan.</w:t>
      </w:r>
      <w:r>
        <w:rPr>
          <w:rFonts w:ascii="Noto Serif" w:hAnsi="Noto Serif" w:eastAsia="Noto Serif"/>
          <w:b w:val="0"/>
          <w:i w:val="0"/>
        </w:rPr>
        <w:t xml:space="preserve"> Сокращённые формулировки ниже — варианты для обсуждения, не утверждённый автором текст книги.</w:t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11. Обряды, молитвы, пост и паломничество — REVIEW</w:t>
      </w:r>
    </w:p>
    <w:p>
      <w:r>
        <w:rPr>
          <w:rFonts w:ascii="Noto Serif" w:hAnsi="Noto Serif" w:eastAsia="Noto Serif"/>
          <w:b/>
          <w:i w:val="0"/>
        </w:rPr>
        <w:t>Наблюдение.</w:t>
      </w:r>
      <w:r>
        <w:rPr>
          <w:rFonts w:ascii="Noto Serif" w:hAnsi="Noto Serif" w:eastAsia="Noto Serif"/>
          <w:b w:val="0"/>
          <w:i w:val="0"/>
        </w:rPr>
        <w:t xml:space="preserve"> В исследованных местах поклонение связано с памятью о Боге, благодарностью, самоограничением и нравственной ответственностью. Например, 29:45 связывает молитву с удержанием от дурного; 2:183–185 соединяет пост с богобоязненной внимательностью, ниспосланием руководства, облегчением для больного и путника и благодарностью; 22:27 показывает паломничество как движение людей к Священному дому.</w:t>
      </w:r>
    </w:p>
    <w:p>
      <w:r>
        <w:rPr>
          <w:rFonts w:ascii="Noto Serif" w:hAnsi="Noto Serif" w:eastAsia="Noto Serif"/>
          <w:b/>
          <w:i w:val="0"/>
        </w:rPr>
        <w:t>Контекст и возможная потеря.</w:t>
      </w:r>
      <w:r>
        <w:rPr>
          <w:rFonts w:ascii="Noto Serif" w:hAnsi="Noto Serif" w:eastAsia="Noto Serif"/>
          <w:b w:val="0"/>
          <w:i w:val="0"/>
        </w:rPr>
        <w:t xml:space="preserve"> Это не полный свод обрядов или исламского права: правила распределены по тексту и имеют оговорки о времени, болезни, путешествии, опасности и общине. Удаление категории ослабит связь веры с телесной и календарной практикой, а также покажет меньше о том, как норма соотносится с обстоятельствами. Возможная краткая формулировка: </w:t>
      </w:r>
      <w:r>
        <w:rPr>
          <w:rFonts w:ascii="Noto Serif" w:hAnsi="Noto Serif" w:eastAsia="Noto Serif"/>
          <w:b w:val="0"/>
          <w:i/>
        </w:rPr>
        <w:t>практики поклонения связывают память о Боге с нравственной дисциплиной и благодарностью, но их конкретный режим и правовые толкования требуют отдельного контекста.</w:t>
      </w:r>
      <w:r>
        <w:rPr>
          <w:rFonts w:ascii="Noto Serif" w:hAnsi="Noto Serif" w:eastAsia="Noto Serif"/>
          <w:b w:val="0"/>
          <w:i w:val="0"/>
        </w:rPr>
        <w:t xml:space="preserve"> Опоры: </w:t>
      </w:r>
      <w:hyperlink r:id="rId41">
        <w:r>
          <w:rPr>
            <w:color w:val="11616A"/>
            <w:u w:val="single"/>
          </w:rPr>
          <w:t>2:183–185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42">
        <w:r>
          <w:rPr>
            <w:color w:val="11616A"/>
            <w:u w:val="single"/>
          </w:rPr>
          <w:t>4:103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43">
        <w:r>
          <w:rPr>
            <w:color w:val="11616A"/>
            <w:u w:val="single"/>
          </w:rPr>
          <w:t>22:27–37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44">
        <w:r>
          <w:rPr>
            <w:color w:val="11616A"/>
            <w:u w:val="single"/>
          </w:rPr>
          <w:t>29:45</w:t>
        </w:r>
      </w:hyperlink>
      <w:r>
        <w:rPr>
          <w:rFonts w:ascii="Noto Serif" w:hAnsi="Noto Serif" w:eastAsia="Noto Serif"/>
          <w:b w:val="0"/>
          <w:i w:val="0"/>
        </w:rPr>
        <w:t>.</w:t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12. Пищевые запреты и ритуальная чистота — REVIEW</w:t>
      </w:r>
    </w:p>
    <w:p>
      <w:r>
        <w:rPr>
          <w:rFonts w:ascii="Noto Serif" w:hAnsi="Noto Serif" w:eastAsia="Noto Serif"/>
          <w:b/>
          <w:i w:val="0"/>
        </w:rPr>
        <w:t>Наблюдение.</w:t>
      </w:r>
      <w:r>
        <w:rPr>
          <w:rFonts w:ascii="Noto Serif" w:hAnsi="Noto Serif" w:eastAsia="Noto Serif"/>
          <w:b w:val="0"/>
          <w:i w:val="0"/>
        </w:rPr>
        <w:t xml:space="preserve"> Тема касается Божьего установления границ дозволенного, благодарности и самоограничения; в ряде мест нужда смягчает запрет. Ритуальное очищение связано с молитвой и прямо сопровождается оговорками о болезни, путешествии и отсутствии воды.</w:t>
      </w:r>
    </w:p>
    <w:p>
      <w:r>
        <w:rPr>
          <w:rFonts w:ascii="Noto Serif" w:hAnsi="Noto Serif" w:eastAsia="Noto Serif"/>
          <w:b/>
          <w:i w:val="0"/>
        </w:rPr>
        <w:t>Контекст и возможная потеря.</w:t>
      </w:r>
      <w:r>
        <w:rPr>
          <w:rFonts w:ascii="Noto Serif" w:hAnsi="Noto Serif" w:eastAsia="Noto Serif"/>
          <w:b w:val="0"/>
          <w:i w:val="0"/>
        </w:rPr>
        <w:t xml:space="preserve"> Запреты нельзя сводить к доказанным современным медицинским причинам, а омовение — к общему санитарному правилу. При удалении исчезнет важная связка между телесной практикой, поклонением, благодарностью, милостью в нужде и вопросом о праве объявлять дозволенное и запретное. Возможная краткая формулировка: </w:t>
      </w:r>
      <w:r>
        <w:rPr>
          <w:rFonts w:ascii="Noto Serif" w:hAnsi="Noto Serif" w:eastAsia="Noto Serif"/>
          <w:b w:val="0"/>
          <w:i/>
        </w:rPr>
        <w:t>коранические пищевые и очистительные нормы выражают границы религиозной практики, но их мотивы и последующая правовая детализация неоднородны.</w:t>
      </w:r>
      <w:r>
        <w:rPr>
          <w:rFonts w:ascii="Noto Serif" w:hAnsi="Noto Serif" w:eastAsia="Noto Serif"/>
          <w:b w:val="0"/>
          <w:i w:val="0"/>
        </w:rPr>
        <w:t xml:space="preserve"> Опоры: </w:t>
      </w:r>
      <w:hyperlink r:id="rId45">
        <w:r>
          <w:rPr>
            <w:color w:val="11616A"/>
            <w:u w:val="single"/>
          </w:rPr>
          <w:t>2:173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46">
        <w:r>
          <w:rPr>
            <w:color w:val="11616A"/>
            <w:u w:val="single"/>
          </w:rPr>
          <w:t>5:3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47">
        <w:r>
          <w:rPr>
            <w:color w:val="11616A"/>
            <w:u w:val="single"/>
          </w:rPr>
          <w:t>5:6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48">
        <w:r>
          <w:rPr>
            <w:color w:val="11616A"/>
            <w:u w:val="single"/>
          </w:rPr>
          <w:t>6:145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49">
        <w:r>
          <w:rPr>
            <w:color w:val="11616A"/>
            <w:u w:val="single"/>
          </w:rPr>
          <w:t>16:115–116</w:t>
        </w:r>
      </w:hyperlink>
      <w:r>
        <w:rPr>
          <w:rFonts w:ascii="Noto Serif" w:hAnsi="Noto Serif" w:eastAsia="Noto Serif"/>
          <w:b w:val="0"/>
          <w:i w:val="0"/>
        </w:rPr>
        <w:t>.</w:t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13. Брак, развод, гендерные нормы и наследство — REVIEW</w:t>
      </w:r>
    </w:p>
    <w:p>
      <w:r>
        <w:rPr>
          <w:rFonts w:ascii="Noto Serif" w:hAnsi="Noto Serif" w:eastAsia="Noto Serif"/>
          <w:b/>
          <w:i w:val="0"/>
        </w:rPr>
        <w:t>Наблюдение.</w:t>
      </w:r>
      <w:r>
        <w:rPr>
          <w:rFonts w:ascii="Noto Serif" w:hAnsi="Noto Serif" w:eastAsia="Noto Serif"/>
          <w:b w:val="0"/>
          <w:i w:val="0"/>
        </w:rPr>
        <w:t xml:space="preserve"> В исследованных фрагментах семья представлена одновременно как область милости и ответственности и как предмет конкретного правового регулирования. 30:21 говорит о браке как знамении; другие места ограничивают причинение вреда при разводе и устанавливают имущественные права и доли.</w:t>
      </w:r>
    </w:p>
    <w:p>
      <w:r>
        <w:rPr>
          <w:rFonts w:ascii="Noto Serif" w:hAnsi="Noto Serif" w:eastAsia="Noto Serif"/>
          <w:b/>
          <w:i w:val="0"/>
        </w:rPr>
        <w:t>Контекст и возможная потеря.</w:t>
      </w:r>
      <w:r>
        <w:rPr>
          <w:rFonts w:ascii="Noto Serif" w:hAnsi="Noto Serif" w:eastAsia="Noto Serif"/>
          <w:b w:val="0"/>
          <w:i w:val="0"/>
        </w:rPr>
        <w:t xml:space="preserve"> Корпус содержит как взаимность и защиту уязвимых, так и асимметричные роли и доли; это напряжение нельзя сгладить современным лозунгом о равенстве или одним переводом. Поздние тафсир и фикх — отдельные слои. Удаление категории скроет, как нравственная речь соотносится с семейными институтами и конкретными нормами наследства. Возможная краткая формулировка: </w:t>
      </w:r>
      <w:r>
        <w:rPr>
          <w:rFonts w:ascii="Noto Serif" w:hAnsi="Noto Serif" w:eastAsia="Noto Serif"/>
          <w:b w:val="0"/>
          <w:i/>
        </w:rPr>
        <w:t>кораническая семейная тема соединяет милость и ограничение вреда с предписаниями, чьи гендерные и правовые асимметрии требуют явного обсуждения.</w:t>
      </w:r>
      <w:r>
        <w:rPr>
          <w:rFonts w:ascii="Noto Serif" w:hAnsi="Noto Serif" w:eastAsia="Noto Serif"/>
          <w:b w:val="0"/>
          <w:i w:val="0"/>
        </w:rPr>
        <w:t xml:space="preserve"> Опоры: </w:t>
      </w:r>
      <w:hyperlink r:id="rId50">
        <w:r>
          <w:rPr>
            <w:color w:val="11616A"/>
            <w:u w:val="single"/>
          </w:rPr>
          <w:t>30:21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51">
        <w:r>
          <w:rPr>
            <w:color w:val="11616A"/>
            <w:u w:val="single"/>
          </w:rPr>
          <w:t>2:228–231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52">
        <w:r>
          <w:rPr>
            <w:color w:val="11616A"/>
            <w:u w:val="single"/>
          </w:rPr>
          <w:t>4:7–11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53">
        <w:r>
          <w:rPr>
            <w:color w:val="11616A"/>
            <w:u w:val="single"/>
          </w:rPr>
          <w:t>4:19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54">
        <w:r>
          <w:rPr>
            <w:color w:val="11616A"/>
            <w:u w:val="single"/>
          </w:rPr>
          <w:t>4:34–35</w:t>
        </w:r>
      </w:hyperlink>
      <w:r>
        <w:rPr>
          <w:rFonts w:ascii="Noto Serif" w:hAnsi="Noto Serif" w:eastAsia="Noto Serif"/>
          <w:b w:val="0"/>
          <w:i w:val="0"/>
        </w:rPr>
        <w:t>.</w:t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14. Сделки, долги и имущественные правила — REVIEW</w:t>
      </w:r>
    </w:p>
    <w:p>
      <w:r>
        <w:rPr>
          <w:rFonts w:ascii="Noto Serif" w:hAnsi="Noto Serif" w:eastAsia="Noto Serif"/>
          <w:b/>
          <w:i w:val="0"/>
        </w:rPr>
        <w:t>Наблюдение.</w:t>
      </w:r>
      <w:r>
        <w:rPr>
          <w:rFonts w:ascii="Noto Serif" w:hAnsi="Noto Serif" w:eastAsia="Noto Serif"/>
          <w:b w:val="0"/>
          <w:i w:val="0"/>
        </w:rPr>
        <w:t xml:space="preserve"> Имущественные отношения связаны с доверием, справедливостью, взаимным согласием, письменной фиксацией обязательств и заботой о должнике в затруднении. В 2:282 процедура записи долга отвечает на человеческую забывчивость и риск спора; 2:280 предлагает отсрочку должнику в трудности.</w:t>
      </w:r>
    </w:p>
    <w:p>
      <w:r>
        <w:rPr>
          <w:rFonts w:ascii="Noto Serif" w:hAnsi="Noto Serif" w:eastAsia="Noto Serif"/>
          <w:b/>
          <w:i w:val="0"/>
        </w:rPr>
        <w:t>Контекст и возможная потеря.</w:t>
      </w:r>
      <w:r>
        <w:rPr>
          <w:rFonts w:ascii="Noto Serif" w:hAnsi="Noto Serif" w:eastAsia="Noto Serif"/>
          <w:b w:val="0"/>
          <w:i w:val="0"/>
        </w:rPr>
        <w:t xml:space="preserve"> Наследственные доли, свидетельские правила и распределение fay’ исторически и юридически конкретны; их нельзя объявлять готовым современным кодексом экономики. При удалении потеряется важная демонстрация того, как вера связывается с договором, ресурсами и зависимостью. Возможная краткая формулировка: </w:t>
      </w:r>
      <w:r>
        <w:rPr>
          <w:rFonts w:ascii="Noto Serif" w:hAnsi="Noto Serif" w:eastAsia="Noto Serif"/>
          <w:b w:val="0"/>
          <w:i/>
        </w:rPr>
        <w:t>Коран придаёт хозяйственным отношениям нравственный вес — через честность, доказуемость обязательств и внимание к уязвимой стороне, — не предлагая тем самым единой современной экономической системы.</w:t>
      </w:r>
      <w:r>
        <w:rPr>
          <w:rFonts w:ascii="Noto Serif" w:hAnsi="Noto Serif" w:eastAsia="Noto Serif"/>
          <w:b w:val="0"/>
          <w:i w:val="0"/>
        </w:rPr>
        <w:t xml:space="preserve"> Опоры: </w:t>
      </w:r>
      <w:hyperlink r:id="rId55">
        <w:r>
          <w:rPr>
            <w:color w:val="11616A"/>
            <w:u w:val="single"/>
          </w:rPr>
          <w:t>2:280–282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56">
        <w:r>
          <w:rPr>
            <w:color w:val="11616A"/>
            <w:u w:val="single"/>
          </w:rPr>
          <w:t>4:11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57">
        <w:r>
          <w:rPr>
            <w:color w:val="11616A"/>
            <w:u w:val="single"/>
          </w:rPr>
          <w:t>4:29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58">
        <w:r>
          <w:rPr>
            <w:color w:val="11616A"/>
            <w:u w:val="single"/>
          </w:rPr>
          <w:t>5:1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59">
        <w:r>
          <w:rPr>
            <w:color w:val="11616A"/>
            <w:u w:val="single"/>
          </w:rPr>
          <w:t>59:7</w:t>
        </w:r>
      </w:hyperlink>
      <w:r>
        <w:rPr>
          <w:rFonts w:ascii="Noto Serif" w:hAnsi="Noto Serif" w:eastAsia="Noto Serif"/>
          <w:b w:val="0"/>
          <w:i w:val="0"/>
        </w:rPr>
        <w:t>.</w:t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15. Земные правовые наказания — REVIEW</w:t>
      </w:r>
    </w:p>
    <w:p>
      <w:r>
        <w:rPr>
          <w:rFonts w:ascii="Noto Serif" w:hAnsi="Noto Serif" w:eastAsia="Noto Serif"/>
          <w:b/>
          <w:i w:val="0"/>
        </w:rPr>
        <w:t>Наблюдение.</w:t>
      </w:r>
      <w:r>
        <w:rPr>
          <w:rFonts w:ascii="Noto Serif" w:hAnsi="Noto Serif" w:eastAsia="Noto Serif"/>
          <w:b w:val="0"/>
          <w:i w:val="0"/>
        </w:rPr>
        <w:t xml:space="preserve"> В отдельных текстах наказание соседствует с ограничением возмездия, возможностью прощения или покаяния, требованием доказательств и мотивом защиты общественной жизни. Например, 2:178–179 соединяет возмездие с прощением и компенсацией и объяснением сохранения жизни; 24:4 задаёт высокий порог свидетельств для обвинения.</w:t>
      </w:r>
    </w:p>
    <w:p>
      <w:r>
        <w:rPr>
          <w:rFonts w:ascii="Noto Serif" w:hAnsi="Noto Serif" w:eastAsia="Noto Serif"/>
          <w:b/>
          <w:i w:val="0"/>
        </w:rPr>
        <w:t>Контекст и возможная потеря.</w:t>
      </w:r>
      <w:r>
        <w:rPr>
          <w:rFonts w:ascii="Noto Serif" w:hAnsi="Noto Serif" w:eastAsia="Noto Serif"/>
          <w:b w:val="0"/>
          <w:i w:val="0"/>
        </w:rPr>
        <w:t xml:space="preserve"> Эти места предполагают публичную процедуру и адресованы общине; их нельзя превращать в современный универсальный уголовный кодекс. Поздняя правовая рецепция шире самого текста и должна быть отделена от него. Исключение всей категории удалит и правовое напряжение между санкцией, доказательством, милостью и покаянием. Возможная краткая формулировка: </w:t>
      </w:r>
      <w:r>
        <w:rPr>
          <w:rFonts w:ascii="Noto Serif" w:hAnsi="Noto Serif" w:eastAsia="Noto Serif"/>
          <w:b w:val="0"/>
          <w:i/>
        </w:rPr>
        <w:t>правовые фрагменты требуют читать вместе с процедурой, ограничениями и возможностью прощения; они не дают основания переносить поздние правовые системы прямо в текст Корана.</w:t>
      </w:r>
      <w:r>
        <w:rPr>
          <w:rFonts w:ascii="Noto Serif" w:hAnsi="Noto Serif" w:eastAsia="Noto Serif"/>
          <w:b w:val="0"/>
          <w:i w:val="0"/>
        </w:rPr>
        <w:t xml:space="preserve"> Опоры: </w:t>
      </w:r>
      <w:hyperlink r:id="rId60">
        <w:r>
          <w:rPr>
            <w:color w:val="11616A"/>
            <w:u w:val="single"/>
          </w:rPr>
          <w:t>2:178–179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61">
        <w:r>
          <w:rPr>
            <w:color w:val="11616A"/>
            <w:u w:val="single"/>
          </w:rPr>
          <w:t>5:33–40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62">
        <w:r>
          <w:rPr>
            <w:color w:val="11616A"/>
            <w:u w:val="single"/>
          </w:rPr>
          <w:t>24:2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63">
        <w:r>
          <w:rPr>
            <w:color w:val="11616A"/>
            <w:u w:val="single"/>
          </w:rPr>
          <w:t>24:4–5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64">
        <w:r>
          <w:rPr>
            <w:color w:val="11616A"/>
            <w:u w:val="single"/>
          </w:rPr>
          <w:t>4:15–16</w:t>
        </w:r>
      </w:hyperlink>
      <w:r>
        <w:rPr>
          <w:rFonts w:ascii="Noto Serif" w:hAnsi="Noto Serif" w:eastAsia="Noto Serif"/>
          <w:b w:val="0"/>
          <w:i w:val="0"/>
        </w:rPr>
        <w:t>.</w:t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16. Полемика и осуждение других верований — REVIEW</w:t>
      </w:r>
    </w:p>
    <w:p>
      <w:r>
        <w:rPr>
          <w:rFonts w:ascii="Noto Serif" w:hAnsi="Noto Serif" w:eastAsia="Noto Serif"/>
          <w:b/>
          <w:i w:val="0"/>
        </w:rPr>
        <w:t>Наблюдение.</w:t>
      </w:r>
      <w:r>
        <w:rPr>
          <w:rFonts w:ascii="Noto Serif" w:hAnsi="Noto Serif" w:eastAsia="Noto Serif"/>
          <w:b w:val="0"/>
          <w:i w:val="0"/>
        </w:rPr>
        <w:t xml:space="preserve"> Полемика помогает тексту очертить монотеистические утверждения и границы общины; при этом в выборке есть нравственные ограничения самой полемики — требование спорить достойно и запрет оскорблений, способных вызвать ответную эскалацию.</w:t>
      </w:r>
    </w:p>
    <w:p>
      <w:r>
        <w:rPr>
          <w:rFonts w:ascii="Noto Serif" w:hAnsi="Noto Serif" w:eastAsia="Noto Serif"/>
          <w:b/>
          <w:i w:val="0"/>
        </w:rPr>
        <w:t>Контекст и возможная потеря.</w:t>
      </w:r>
      <w:r>
        <w:rPr>
          <w:rFonts w:ascii="Noto Serif" w:hAnsi="Noto Serif" w:eastAsia="Noto Serif"/>
          <w:b w:val="0"/>
          <w:i w:val="0"/>
        </w:rPr>
        <w:t xml:space="preserve"> Адресаты и тон различаются; нельзя свести эту тему ни к «ненависти», ни к современной доктрине равенства религий. Исключение скроет напряжение между исключительными истинностными притязаниями, отсутствием принуждения, корректным спором и конкретными общинно-политическими ситуациями. Возможная краткая формулировка: </w:t>
      </w:r>
      <w:r>
        <w:rPr>
          <w:rFonts w:ascii="Noto Serif" w:hAnsi="Noto Serif" w:eastAsia="Noto Serif"/>
          <w:b w:val="0"/>
          <w:i/>
        </w:rPr>
        <w:t>Коран утверждает собственную монотеистическую позицию, одновременно ограничивая некоторые формы межрелигиозной полемики; содержание зависит от адресата и контекста.</w:t>
      </w:r>
      <w:r>
        <w:rPr>
          <w:rFonts w:ascii="Noto Serif" w:hAnsi="Noto Serif" w:eastAsia="Noto Serif"/>
          <w:b w:val="0"/>
          <w:i w:val="0"/>
        </w:rPr>
        <w:t xml:space="preserve"> Опоры: </w:t>
      </w:r>
      <w:hyperlink r:id="rId65">
        <w:r>
          <w:rPr>
            <w:color w:val="11616A"/>
            <w:u w:val="single"/>
          </w:rPr>
          <w:t>6:108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66">
        <w:r>
          <w:rPr>
            <w:color w:val="11616A"/>
            <w:u w:val="single"/>
          </w:rPr>
          <w:t>29:46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67">
        <w:r>
          <w:rPr>
            <w:color w:val="11616A"/>
            <w:u w:val="single"/>
          </w:rPr>
          <w:t>2:109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68">
        <w:r>
          <w:rPr>
            <w:color w:val="11616A"/>
            <w:u w:val="single"/>
          </w:rPr>
          <w:t>2:256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69">
        <w:r>
          <w:rPr>
            <w:color w:val="11616A"/>
            <w:u w:val="single"/>
          </w:rPr>
          <w:t>5:51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70">
        <w:r>
          <w:rPr>
            <w:color w:val="11616A"/>
            <w:u w:val="single"/>
          </w:rPr>
          <w:t>109:1–6</w:t>
        </w:r>
      </w:hyperlink>
      <w:r>
        <w:rPr>
          <w:rFonts w:ascii="Noto Serif" w:hAnsi="Noto Serif" w:eastAsia="Noto Serif"/>
          <w:b w:val="0"/>
          <w:i w:val="0"/>
        </w:rPr>
        <w:t>.</w:t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17. Исторические рассказы о пророках — REVIEW</w:t>
      </w:r>
    </w:p>
    <w:p>
      <w:r>
        <w:rPr>
          <w:rFonts w:ascii="Noto Serif" w:hAnsi="Noto Serif" w:eastAsia="Noto Serif"/>
          <w:b/>
          <w:i w:val="0"/>
        </w:rPr>
        <w:t>Наблюдение.</w:t>
      </w:r>
      <w:r>
        <w:rPr>
          <w:rFonts w:ascii="Noto Serif" w:hAnsi="Noto Serif" w:eastAsia="Noto Serif"/>
          <w:b w:val="0"/>
          <w:i w:val="0"/>
        </w:rPr>
        <w:t xml:space="preserve"> Рассказы работают как напоминание и назидание, показывают повторяющиеся ответы людей на пророческий призыв и связывают настоящее послание с более ранними историями. Коран сам говорит о функции рассказов — укреплении сердца и уроке для размышляющих (</w:t>
      </w:r>
      <w:hyperlink r:id="rId71">
        <w:r>
          <w:rPr>
            <w:color w:val="11616A"/>
            <w:u w:val="single"/>
          </w:rPr>
          <w:t>11:120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72">
        <w:r>
          <w:rPr>
            <w:color w:val="11616A"/>
            <w:u w:val="single"/>
          </w:rPr>
          <w:t>12:111</w:t>
        </w:r>
      </w:hyperlink>
      <w:r>
        <w:rPr>
          <w:rFonts w:ascii="Noto Serif" w:hAnsi="Noto Serif" w:eastAsia="Noto Serif"/>
          <w:b w:val="0"/>
          <w:i w:val="0"/>
        </w:rPr>
        <w:t>).</w:t>
      </w:r>
    </w:p>
    <w:p>
      <w:r>
        <w:rPr>
          <w:rFonts w:ascii="Noto Serif" w:hAnsi="Noto Serif" w:eastAsia="Noto Serif"/>
          <w:b/>
          <w:i w:val="0"/>
        </w:rPr>
        <w:t>Контекст и возможная потеря.</w:t>
      </w:r>
      <w:r>
        <w:rPr>
          <w:rFonts w:ascii="Noto Serif" w:hAnsi="Noto Serif" w:eastAsia="Noto Serif"/>
          <w:b w:val="0"/>
          <w:i w:val="0"/>
        </w:rPr>
        <w:t xml:space="preserve"> Повествования не образуют непрерывную биографическую хронику; детали, известные из тафсира и сīры, нельзя незаметно приписывать самому тексту. Если удалить категорию, исчезнет один из основных способов коранического рассуждения о вере, выборе, стойкости и ответственности. Возможная краткая формулировка: </w:t>
      </w:r>
      <w:r>
        <w:rPr>
          <w:rFonts w:ascii="Noto Serif" w:hAnsi="Noto Serif" w:eastAsia="Noto Serif"/>
          <w:b w:val="0"/>
          <w:i/>
        </w:rPr>
        <w:t>пророческие рассказы — не просто примеры, а форма богословского напоминания и размышления; пересказ должен сохранять адресата и отличать Коран от позднейших повествовательных дополнений.</w:t>
      </w:r>
      <w:r>
        <w:rPr>
          <w:rFonts w:ascii="Noto Serif" w:hAnsi="Noto Serif" w:eastAsia="Noto Serif"/>
          <w:b w:val="0"/>
          <w:i w:val="0"/>
        </w:rPr>
        <w:t xml:space="preserve"> Опоры: </w:t>
      </w:r>
      <w:hyperlink r:id="rId73">
        <w:r>
          <w:rPr>
            <w:color w:val="11616A"/>
            <w:u w:val="single"/>
          </w:rPr>
          <w:t>7:59–64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74">
        <w:r>
          <w:rPr>
            <w:color w:val="11616A"/>
            <w:u w:val="single"/>
          </w:rPr>
          <w:t>2:125–129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71">
        <w:r>
          <w:rPr>
            <w:color w:val="11616A"/>
            <w:u w:val="single"/>
          </w:rPr>
          <w:t>11:120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72">
        <w:r>
          <w:rPr>
            <w:color w:val="11616A"/>
            <w:u w:val="single"/>
          </w:rPr>
          <w:t>12:111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75">
        <w:r>
          <w:rPr>
            <w:color w:val="11616A"/>
            <w:u w:val="single"/>
          </w:rPr>
          <w:t>19:16–36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76">
        <w:r>
          <w:rPr>
            <w:color w:val="11616A"/>
            <w:u w:val="single"/>
          </w:rPr>
          <w:t>20:99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77">
        <w:r>
          <w:rPr>
            <w:color w:val="11616A"/>
            <w:u w:val="single"/>
          </w:rPr>
          <w:t>26:10–68</w:t>
        </w:r>
      </w:hyperlink>
      <w:r>
        <w:rPr>
          <w:rFonts w:ascii="Noto Serif" w:hAnsi="Noto Serif" w:eastAsia="Noto Serif"/>
          <w:b w:val="0"/>
          <w:i w:val="0"/>
        </w:rPr>
        <w:t>.</w:t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18. Сатана, джинны и искушение — REVIEW</w:t>
      </w:r>
    </w:p>
    <w:p>
      <w:r>
        <w:rPr>
          <w:rFonts w:ascii="Noto Serif" w:hAnsi="Noto Serif" w:eastAsia="Noto Serif"/>
          <w:b/>
          <w:i w:val="0"/>
        </w:rPr>
        <w:t>Наблюдение.</w:t>
      </w:r>
      <w:r>
        <w:rPr>
          <w:rFonts w:ascii="Noto Serif" w:hAnsi="Noto Serif" w:eastAsia="Noto Serif"/>
          <w:b w:val="0"/>
          <w:i w:val="0"/>
        </w:rPr>
        <w:t xml:space="preserve"> Иблис показан как противник, а искушение — как внушение, ложное обещание и постепенное следование «шагам»; Коран также описывает джиннов как нравственно неоднородных существ, способных слышать откровение и выбирать.</w:t>
      </w:r>
    </w:p>
    <w:p>
      <w:r>
        <w:rPr>
          <w:rFonts w:ascii="Noto Serif" w:hAnsi="Noto Serif" w:eastAsia="Noto Serif"/>
          <w:b/>
          <w:i w:val="0"/>
        </w:rPr>
        <w:t>Контекст и возможная потеря.</w:t>
      </w:r>
      <w:r>
        <w:rPr>
          <w:rFonts w:ascii="Noto Serif" w:hAnsi="Noto Serif" w:eastAsia="Noto Serif"/>
          <w:b w:val="0"/>
          <w:i w:val="0"/>
        </w:rPr>
        <w:t xml:space="preserve"> Иблис не равен Богу, а все джинны не отождествлены с Сатаной. Тема пересекается с пищевыми нормами и молитвой о защите; позднюю демонологию не следует выдавать за прямое содержание. Исключение категории ослабит анализ ответственности, выбора и ложного знания о Боге. Возможная краткая формулировка: </w:t>
      </w:r>
      <w:r>
        <w:rPr>
          <w:rFonts w:ascii="Noto Serif" w:hAnsi="Noto Serif" w:eastAsia="Noto Serif"/>
          <w:b w:val="0"/>
          <w:i/>
        </w:rPr>
        <w:t>коранический образ искушения подчёркивает уязвимость, но не снимает ответственности человека; невидимые существа не образуют одной нравственно однородной группы.</w:t>
      </w:r>
      <w:r>
        <w:rPr>
          <w:rFonts w:ascii="Noto Serif" w:hAnsi="Noto Serif" w:eastAsia="Noto Serif"/>
          <w:b w:val="0"/>
          <w:i w:val="0"/>
        </w:rPr>
        <w:t xml:space="preserve"> Опоры: </w:t>
      </w:r>
      <w:hyperlink r:id="rId78">
        <w:r>
          <w:rPr>
            <w:color w:val="11616A"/>
            <w:u w:val="single"/>
          </w:rPr>
          <w:t>2:34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79">
        <w:r>
          <w:rPr>
            <w:color w:val="11616A"/>
            <w:u w:val="single"/>
          </w:rPr>
          <w:t>2:168–169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80">
        <w:r>
          <w:rPr>
            <w:color w:val="11616A"/>
            <w:u w:val="single"/>
          </w:rPr>
          <w:t>7:20–22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81">
        <w:r>
          <w:rPr>
            <w:color w:val="11616A"/>
            <w:u w:val="single"/>
          </w:rPr>
          <w:t>18:50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82">
        <w:r>
          <w:rPr>
            <w:color w:val="11616A"/>
            <w:u w:val="single"/>
          </w:rPr>
          <w:t>41:36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83">
        <w:r>
          <w:rPr>
            <w:color w:val="11616A"/>
            <w:u w:val="single"/>
          </w:rPr>
          <w:t>72:1–15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84">
        <w:r>
          <w:rPr>
            <w:color w:val="11616A"/>
            <w:u w:val="single"/>
          </w:rPr>
          <w:t>114:4–6</w:t>
        </w:r>
      </w:hyperlink>
      <w:r>
        <w:rPr>
          <w:rFonts w:ascii="Noto Serif" w:hAnsi="Noto Serif" w:eastAsia="Noto Serif"/>
          <w:b w:val="0"/>
          <w:i w:val="0"/>
        </w:rPr>
        <w:t>.</w:t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19. Воскресение, Судный день и жизнь после смерти — REVIEW</w:t>
      </w:r>
    </w:p>
    <w:p>
      <w:r>
        <w:rPr>
          <w:rFonts w:ascii="Noto Serif" w:hAnsi="Noto Serif" w:eastAsia="Noto Serif"/>
          <w:b/>
          <w:i w:val="0"/>
        </w:rPr>
        <w:t>Наблюдение.</w:t>
      </w:r>
      <w:r>
        <w:rPr>
          <w:rFonts w:ascii="Noto Serif" w:hAnsi="Noto Serif" w:eastAsia="Noto Serif"/>
          <w:b w:val="0"/>
          <w:i w:val="0"/>
        </w:rPr>
        <w:t xml:space="preserve"> Эсхатологический горизонт связывает Божью власть над жизнью и смертью с человеческой ответственностью и будущим воздаянием. Небольшие поступки не объявляются незначительными; отрицание воскресения в ряде мест показано как спор о возможностях знания и творения.</w:t>
      </w:r>
    </w:p>
    <w:p>
      <w:r>
        <w:rPr>
          <w:rFonts w:ascii="Noto Serif" w:hAnsi="Noto Serif" w:eastAsia="Noto Serif"/>
          <w:b/>
          <w:i w:val="0"/>
        </w:rPr>
        <w:t>Контекст и возможная потеря.</w:t>
      </w:r>
      <w:r>
        <w:rPr>
          <w:rFonts w:ascii="Noto Serif" w:hAnsi="Noto Serif" w:eastAsia="Noto Serif"/>
          <w:b w:val="0"/>
          <w:i w:val="0"/>
        </w:rPr>
        <w:t xml:space="preserve"> Эти тексты в значительной мере не зависят от обряда, но их риторика обращена к определённым адресатам; детальная схема посмертных состояний требует иных источников и традиций. Исключение категории уберёт важную мотивационную связку между творением, целью человеческой жизни и ответственностью. Возможная краткая формулировка: </w:t>
      </w:r>
      <w:r>
        <w:rPr>
          <w:rFonts w:ascii="Noto Serif" w:hAnsi="Noto Serif" w:eastAsia="Noto Serif"/>
          <w:b w:val="0"/>
          <w:i/>
        </w:rPr>
        <w:t>воскресение и суд задают в Коране горизонт личной ответственности, но эта выборка не исчерпывает эсхатологию и не реконструирует позднейшую догматику.</w:t>
      </w:r>
      <w:r>
        <w:rPr>
          <w:rFonts w:ascii="Noto Serif" w:hAnsi="Noto Serif" w:eastAsia="Noto Serif"/>
          <w:b w:val="0"/>
          <w:i w:val="0"/>
        </w:rPr>
        <w:t xml:space="preserve"> Опоры: </w:t>
      </w:r>
      <w:hyperlink r:id="rId85">
        <w:r>
          <w:rPr>
            <w:color w:val="11616A"/>
            <w:u w:val="single"/>
          </w:rPr>
          <w:t>45:22, 26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86">
        <w:r>
          <w:rPr>
            <w:color w:val="11616A"/>
            <w:u w:val="single"/>
          </w:rPr>
          <w:t>36:78–83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87">
        <w:r>
          <w:rPr>
            <w:color w:val="11616A"/>
            <w:u w:val="single"/>
          </w:rPr>
          <w:t>75:36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88">
        <w:r>
          <w:rPr>
            <w:color w:val="11616A"/>
            <w:u w:val="single"/>
          </w:rPr>
          <w:t>99:6–8</w:t>
        </w:r>
      </w:hyperlink>
      <w:r>
        <w:rPr>
          <w:rFonts w:ascii="Noto Serif" w:hAnsi="Noto Serif" w:eastAsia="Noto Serif"/>
          <w:b w:val="0"/>
          <w:i w:val="0"/>
        </w:rPr>
        <w:t>.</w:t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20. Повторы и риторические обращения — REVIEW</w:t>
      </w:r>
    </w:p>
    <w:p>
      <w:r>
        <w:rPr>
          <w:rFonts w:ascii="Noto Serif" w:hAnsi="Noto Serif" w:eastAsia="Noto Serif"/>
          <w:b/>
          <w:i w:val="0"/>
        </w:rPr>
        <w:t>Наблюдение.</w:t>
      </w:r>
      <w:r>
        <w:rPr>
          <w:rFonts w:ascii="Noto Serif" w:hAnsi="Noto Serif" w:eastAsia="Noto Serif"/>
          <w:b w:val="0"/>
          <w:i w:val="0"/>
        </w:rPr>
        <w:t xml:space="preserve"> Повтор — не только стилистический орнамент: рефрены возвращают внимание к теме, вопросы побуждают адресата к самооценке, а повторяющиеся формулы могут усиливать назидание. Так работают, например, рефрен о благах в суре 55 и вопросы о знании, поведении и размышлении.</w:t>
      </w:r>
    </w:p>
    <w:p>
      <w:r>
        <w:rPr>
          <w:rFonts w:ascii="Noto Serif" w:hAnsi="Noto Serif" w:eastAsia="Noto Serif"/>
          <w:b/>
          <w:i w:val="0"/>
        </w:rPr>
        <w:t>Контекст и возможная потеря.</w:t>
      </w:r>
      <w:r>
        <w:rPr>
          <w:rFonts w:ascii="Noto Serif" w:hAnsi="Noto Serif" w:eastAsia="Noto Serif"/>
          <w:b w:val="0"/>
          <w:i w:val="0"/>
        </w:rPr>
        <w:t xml:space="preserve"> Функция зависит от адресата, места в суре и ритма; перевод может менять впечатление. Сокращение дублирующих редакторских объяснений возможно, но вырезание повторов самого Писания — иное композиционное решение. Удаление категории скроет устную, ритмическую и композиционную сторону текста. Возможная краткая формулировка: </w:t>
      </w:r>
      <w:r>
        <w:rPr>
          <w:rFonts w:ascii="Noto Serif" w:hAnsi="Noto Serif" w:eastAsia="Noto Serif"/>
          <w:b w:val="0"/>
          <w:i/>
        </w:rPr>
        <w:t>повтор организует внимание и возвращает читателя к теме; его функцию следует объяснять в контексте, а не считать пустым дублированием.</w:t>
      </w:r>
      <w:r>
        <w:rPr>
          <w:rFonts w:ascii="Noto Serif" w:hAnsi="Noto Serif" w:eastAsia="Noto Serif"/>
          <w:b w:val="0"/>
          <w:i w:val="0"/>
        </w:rPr>
        <w:t xml:space="preserve"> Опоры: </w:t>
      </w:r>
      <w:hyperlink r:id="rId89">
        <w:r>
          <w:rPr>
            <w:color w:val="11616A"/>
            <w:u w:val="single"/>
          </w:rPr>
          <w:t>55:13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90">
        <w:r>
          <w:rPr>
            <w:color w:val="11616A"/>
            <w:u w:val="single"/>
          </w:rPr>
          <w:t>77:15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91">
        <w:r>
          <w:rPr>
            <w:color w:val="11616A"/>
            <w:u w:val="single"/>
          </w:rPr>
          <w:t>2:44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92">
        <w:r>
          <w:rPr>
            <w:color w:val="11616A"/>
            <w:u w:val="single"/>
          </w:rPr>
          <w:t>39:9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93">
        <w:r>
          <w:rPr>
            <w:color w:val="11616A"/>
            <w:u w:val="single"/>
          </w:rPr>
          <w:t>4:82</w:t>
        </w:r>
      </w:hyperlink>
      <w:r>
        <w:rPr>
          <w:rFonts w:ascii="Noto Serif" w:hAnsi="Noto Serif" w:eastAsia="Noto Serif"/>
          <w:b w:val="0"/>
          <w:i w:val="0"/>
        </w:rPr>
        <w:t xml:space="preserve">, </w:t>
      </w:r>
      <w:hyperlink r:id="rId94">
        <w:r>
          <w:rPr>
            <w:color w:val="11616A"/>
            <w:u w:val="single"/>
          </w:rPr>
          <w:t>54:17</w:t>
        </w:r>
      </w:hyperlink>
      <w:r>
        <w:rPr>
          <w:rFonts w:ascii="Noto Serif" w:hAnsi="Noto Serif" w:eastAsia="Noto Serif"/>
          <w:b w:val="0"/>
          <w:i w:val="0"/>
        </w:rPr>
        <w:t>.</w:t>
      </w:r>
    </w:p>
    <w:p>
      <w:r>
        <w:rPr>
          <w:rFonts w:ascii="Noto Serif" w:hAnsi="Noto Serif" w:eastAsia="Noto Serif"/>
          <w:b w:val="0"/>
          <w:i/>
        </w:rPr>
        <w:t xml:space="preserve">Подробные исследовательские заметки, выбранные примеры, оговорки и библиография по каждой категории приведены в </w:t>
      </w:r>
      <w:hyperlink r:id="rId95">
        <w:r>
          <w:rPr>
            <w:color w:val="11616A"/>
            <w:u w:val="single"/>
          </w:rPr>
          <w:t>техническом досье REVIEW</w:t>
        </w:r>
      </w:hyperlink>
      <w:r>
        <w:rPr>
          <w:rFonts w:ascii="Noto Serif" w:hAnsi="Noto Serif" w:eastAsia="Noto Serif"/>
          <w:b w:val="0"/>
          <w:i/>
        </w:rPr>
        <w:t>. Категории остаются открытыми; наличие предложенных кратких формулировок не означает, что автор их утвердил.</w:t>
      </w:r>
    </w:p>
    <w:p>
      <w:pPr>
        <w:pStyle w:val="Heading2"/>
      </w:pPr>
      <w:r>
        <w:rPr>
          <w:rFonts w:ascii="Noto Serif" w:hAnsi="Noto Serif" w:eastAsia="Noto Serif"/>
          <w:b w:val="0"/>
          <w:i w:val="0"/>
        </w:rPr>
        <w:t>Часть VII. Карта возможного смыслового ядра — не окончательный выбор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8000" cy="25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sence_core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erif" w:hAnsi="Noto Serif" w:eastAsia="Noto Serif"/>
          <w:b w:val="0"/>
          <w:i w:val="0"/>
        </w:rPr>
        <w:t>В ограниченной выборке проявились несколько линий, которые могут стать материалом для авторского отбора. Первая — единство Бога как исходная теологическая рамка. Вторая — мир как предмет наблюдения и размышления. Третья — человеческая ответственность за суждение и слово. Четвёртая — справедливость, которую следует искать даже вопреки собственной выгоде и неприязни. Пятая — связь нравственного утверждения с конкретным отношением к сироте, нуждающемуся и человеку, которому дано обещание.</w:t>
      </w:r>
    </w:p>
    <w:p>
      <w:r>
        <w:rPr>
          <w:rFonts w:ascii="Noto Serif" w:hAnsi="Noto Serif" w:eastAsia="Noto Serif"/>
          <w:b w:val="0"/>
          <w:i w:val="0"/>
        </w:rPr>
        <w:t>Эти линии не объявлены независимыми от веры и религиозной практики. В ряде мест они прямо соединены с молитвой, верой в будущий суд, общинной жизнью или богословским обращением к Богу. Некоторые из этих смежных категорий ещё не решены автором. Из-за этого преждевременно утверждать, что перед нами окончательное «ядро» после фильтра.</w:t>
      </w:r>
    </w:p>
    <w:p>
      <w:r>
        <w:rPr>
          <w:rFonts w:ascii="Noto Serif" w:hAnsi="Noto Serif" w:eastAsia="Noto Serif"/>
          <w:b w:val="0"/>
          <w:i w:val="0"/>
        </w:rPr>
        <w:t xml:space="preserve">Исследовательский вопрос остаётся открытым: </w:t>
      </w:r>
      <w:r>
        <w:rPr>
          <w:rFonts w:ascii="Noto Serif" w:hAnsi="Noto Serif" w:eastAsia="Noto Serif"/>
          <w:b/>
          <w:i w:val="0"/>
        </w:rPr>
        <w:t>какие из этих идей Velan хочет выбрать для своей книги, какие оставить только как контекст, а какие не включать в авторскую композицию?</w:t>
      </w:r>
      <w:r>
        <w:rPr>
          <w:rFonts w:ascii="Noto Serif" w:hAnsi="Noto Serif" w:eastAsia="Noto Serif"/>
          <w:b w:val="0"/>
          <w:i w:val="0"/>
        </w:rPr>
        <w:t xml:space="preserve"> Ответ на него должен быть сформулирован автором после изучения реестра и десяти открытых категорий. Данный раздел — карта наблюдений в малой выборке, не авторское решение.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8000" cy="59370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_map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5937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Noto Serif" w:hAnsi="Noto Serif" w:eastAsia="Noto Serif"/>
          <w:b w:val="0"/>
          <w:i w:val="0"/>
        </w:rPr>
        <w:t>Приложение A. Метод отбора и редакционные статусы</w:t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Единица анализа</w:t>
      </w:r>
    </w:p>
    <w:p>
      <w:r>
        <w:rPr>
          <w:rFonts w:ascii="Noto Serif" w:hAnsi="Noto Serif" w:eastAsia="Noto Serif"/>
          <w:b w:val="0"/>
          <w:i w:val="0"/>
        </w:rPr>
        <w:t>Единицей работы может быть отдельный смысловой фрагмент внутри аята, а не только весь аят. Для полноценного реестра каждая такая единица должна иметь устойчивый идентификатор, ссылку на суру и аят, краткое содержание, тематические метки, статус, аргументацию, контекст и источник. В этой редакции детальная сегментация выполнена только для выбранных примеров; общая база смысловых единиц ещё не создана.</w:t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Рабочие статусы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0"/>
        <w:gridCol w:w="3260"/>
      </w:tblGrid>
      <w:tr>
        <w:tc>
          <w:tcPr>
            <w:tcW w:type="dxa" w:w="3260"/>
            <w:vAlign w:val="top"/>
            <w:shd w:fill="10443E"/>
          </w:tcPr>
          <w:p>
            <w:r/>
            <w:r>
              <w:rPr>
                <w:rFonts w:ascii="Noto Serif" w:hAnsi="Noto Serif" w:eastAsia="Noto Serif"/>
                <w:b/>
                <w:i w:val="0"/>
              </w:rPr>
              <w:t>Статус</w:t>
            </w:r>
          </w:p>
        </w:tc>
        <w:tc>
          <w:tcPr>
            <w:tcW w:type="dxa" w:w="3260"/>
            <w:vAlign w:val="top"/>
            <w:shd w:fill="10443E"/>
          </w:tcPr>
          <w:p>
            <w:r/>
            <w:r>
              <w:rPr>
                <w:rFonts w:ascii="Noto Serif" w:hAnsi="Noto Serif" w:eastAsia="Noto Serif"/>
                <w:b/>
                <w:i w:val="0"/>
              </w:rPr>
              <w:t>Значение</w:t>
            </w:r>
          </w:p>
        </w:tc>
      </w:tr>
      <w:tr>
        <w:tc>
          <w:tcPr>
            <w:tcW w:type="dxa" w:w="3260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CORE</w:t>
            </w:r>
          </w:p>
        </w:tc>
        <w:tc>
          <w:tcPr>
            <w:tcW w:type="dxa" w:w="3260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Фрагмент выбран автором для основной книги. В v0.2 такие решения не присваивались от имени Velan.</w:t>
            </w:r>
          </w:p>
        </w:tc>
      </w:tr>
      <w:tr>
        <w:tc>
          <w:tcPr>
            <w:tcW w:type="dxa" w:w="3260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EXCLUDE</w:t>
            </w:r>
          </w:p>
        </w:tc>
        <w:tc>
          <w:tcPr>
            <w:tcW w:type="dxa" w:w="3260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Фрагмент исключён из читательской версии по утверждённой автором категории.</w:t>
            </w:r>
          </w:p>
        </w:tc>
      </w:tr>
      <w:tr>
        <w:tc>
          <w:tcPr>
            <w:tcW w:type="dxa" w:w="3260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REVIEW</w:t>
            </w:r>
          </w:p>
        </w:tc>
        <w:tc>
          <w:tcPr>
            <w:tcW w:type="dxa" w:w="3260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Решение не принято. Все десять категорий углублённого изучения остаются здесь.</w:t>
            </w:r>
          </w:p>
        </w:tc>
      </w:tr>
      <w:tr>
        <w:tc>
          <w:tcPr>
            <w:tcW w:type="dxa" w:w="3260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CONTEXT</w:t>
            </w:r>
          </w:p>
        </w:tc>
        <w:tc>
          <w:tcPr>
            <w:tcW w:type="dxa" w:w="3260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Фрагмент необходим для понимания соседнего содержания или редакционного решения.</w:t>
            </w:r>
          </w:p>
        </w:tc>
      </w:tr>
      <w:tr>
        <w:tc>
          <w:tcPr>
            <w:tcW w:type="dxa" w:w="3260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COMPRESS</w:t>
            </w:r>
          </w:p>
        </w:tc>
        <w:tc>
          <w:tcPr>
            <w:tcW w:type="dxa" w:w="3260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Допускается краткое изложение при сохранении существенных оговорок.</w:t>
            </w:r>
          </w:p>
        </w:tc>
      </w:tr>
      <w:tr>
        <w:tc>
          <w:tcPr>
            <w:tcW w:type="dxa" w:w="3260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UNKNOWN</w:t>
            </w:r>
          </w:p>
        </w:tc>
        <w:tc>
          <w:tcPr>
            <w:tcW w:type="dxa" w:w="3260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Значение или статус не установлены; непонятность не приравнивается к отсутствию смысла.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8000" cy="33605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_logic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360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erif" w:hAnsi="Noto Serif" w:eastAsia="Noto Serif"/>
          <w:b w:val="0"/>
          <w:i w:val="0"/>
        </w:rPr>
        <w:t>Схема показывает: девять исключений заданы автором; десять REVIEW не переводятся автоматически в EXCLUDE; CORE выбирает автор. В этой редакции ядро не утверждено.</w:t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Четыре слоя высказывания</w:t>
      </w:r>
    </w:p>
    <w:p>
      <w:r>
        <w:rPr>
          <w:rFonts w:ascii="Noto Serif" w:hAnsi="Noto Serif" w:eastAsia="Noto Serif"/>
          <w:b w:val="0"/>
          <w:i w:val="0"/>
        </w:rPr>
        <w:t>При подготовке каждой главы нужно отдельно записывать: (1) что стоит в арабском тексте; (2) как выбранный перевод передаёт фразу; (3) что говорят выбранные тафсиры; (4) какой вывод предлагает автор книги. В v0.2 прямые длинные цитаты не приводятся; сравнительная сверка нескольких русских переводов отложена.</w:t>
      </w:r>
    </w:p>
    <w:p>
      <w:pPr>
        <w:pStyle w:val="Heading2"/>
      </w:pPr>
      <w:r>
        <w:rPr>
          <w:rFonts w:ascii="Noto Serif" w:hAnsi="Noto Serif" w:eastAsia="Noto Serif"/>
          <w:b w:val="0"/>
          <w:i w:val="0"/>
        </w:rPr>
        <w:t>Приложение B. Карта 114 сур и фактического охвата</w:t>
      </w:r>
    </w:p>
    <w:p>
      <w:r>
        <w:rPr>
          <w:rFonts w:ascii="Noto Serif" w:hAnsi="Noto Serif" w:eastAsia="Noto Serif"/>
          <w:b w:val="0"/>
          <w:i w:val="0"/>
        </w:rPr>
        <w:t xml:space="preserve">Следующий каталог отражает нумерацию и число аятов, показанные в каталоге Quran.com; суммарное число — 6 236 в выбранной системе. Это </w:t>
      </w:r>
      <w:r>
        <w:rPr>
          <w:rFonts w:ascii="Noto Serif" w:hAnsi="Noto Serif" w:eastAsia="Noto Serif"/>
          <w:b/>
          <w:i w:val="0"/>
        </w:rPr>
        <w:t>структурная карта</w:t>
      </w:r>
      <w:r>
        <w:rPr>
          <w:rFonts w:ascii="Noto Serif" w:hAnsi="Noto Serif" w:eastAsia="Noto Serif"/>
          <w:b w:val="0"/>
          <w:i w:val="0"/>
        </w:rPr>
        <w:t>, а не свидетельство тематической проверки каждой суры. «Выборочная ссылка» означает, что отдельные аяты этой суры использованы в настоящем тексте; остальные аяты суры не считаются рассмотренными. «Не размечена» означает отсутствие индивидуальной тематической обработки в данной редакции.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8000" cy="43316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map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331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erif" w:hAnsi="Noto Serif" w:eastAsia="Noto Serif"/>
          <w:b w:val="0"/>
          <w:i w:val="0"/>
        </w:rPr>
        <w:t>В основных главах представлено 18 записей-диапазонов и 31 уникальный пронумерованный аят в 13 сурах. Десять досье REVIEW дополнительно содержат 65 записей-примеров со ссылками на 29 сур; некоторые ссылки — диапазоны, а темы пересекаются. Вместе с основной выборкой хотя бы одна ссылка есть на 38 сур (четыре суры присутствуют в обоих слоях). Это разные показатели, они не суммируются в проценты и не означают полного прочтения охваченных сур. В таблице «Выборка» обозначает ссылки основных глав, «REVIEW» — ссылки исследовательских досье, «Выборка + REVIEW» — оба слоя, «—» — отсутствие ссылок в этой версии. Ни одна сура не размечена полностью.</w:t>
      </w:r>
    </w:p>
    <w:p>
      <w:r>
        <w:rPr>
          <w:rFonts w:ascii="Noto Serif" w:hAnsi="Noto Serif" w:eastAsia="Noto Serif"/>
          <w:b w:val="0"/>
          <w:i/>
        </w:rPr>
        <w:t>Каталог сур и отметки проверки формируются в производственном приложении, а не из ручной экстраполяции тем.</w:t>
      </w:r>
    </w:p>
    <w:p>
      <w:pPr>
        <w:pStyle w:val="Heading2"/>
      </w:pPr>
      <w:r>
        <w:rPr>
          <w:rFonts w:ascii="Noto Serif" w:hAnsi="Noto Serif" w:eastAsia="Noto Serif"/>
          <w:b w:val="0"/>
          <w:i w:val="0"/>
        </w:rPr>
        <w:t>Приложение C. Реестр использованных аятов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top"/>
            <w:shd w:fill="10443E"/>
          </w:tcPr>
          <w:p>
            <w:r/>
            <w:r>
              <w:rPr>
                <w:rFonts w:ascii="Noto Serif" w:hAnsi="Noto Serif" w:eastAsia="Noto Serif"/>
                <w:b/>
                <w:i w:val="0"/>
              </w:rPr>
              <w:t>№</w:t>
            </w:r>
          </w:p>
        </w:tc>
        <w:tc>
          <w:tcPr>
            <w:tcW w:type="dxa" w:w="1304"/>
            <w:vAlign w:val="top"/>
            <w:shd w:fill="10443E"/>
          </w:tcPr>
          <w:p>
            <w:r/>
            <w:r>
              <w:rPr>
                <w:rFonts w:ascii="Noto Serif" w:hAnsi="Noto Serif" w:eastAsia="Noto Serif"/>
                <w:b/>
                <w:i w:val="0"/>
              </w:rPr>
              <w:t>Ссылка</w:t>
            </w:r>
          </w:p>
        </w:tc>
        <w:tc>
          <w:tcPr>
            <w:tcW w:type="dxa" w:w="1304"/>
            <w:vAlign w:val="top"/>
            <w:shd w:fill="10443E"/>
          </w:tcPr>
          <w:p>
            <w:r/>
            <w:r>
              <w:rPr>
                <w:rFonts w:ascii="Noto Serif" w:hAnsi="Noto Serif" w:eastAsia="Noto Serif"/>
                <w:b/>
                <w:i w:val="0"/>
              </w:rPr>
              <w:t>Предварительная смысловая единица</w:t>
            </w:r>
          </w:p>
        </w:tc>
        <w:tc>
          <w:tcPr>
            <w:tcW w:type="dxa" w:w="1304"/>
            <w:vAlign w:val="top"/>
            <w:shd w:fill="10443E"/>
          </w:tcPr>
          <w:p>
            <w:r/>
            <w:r>
              <w:rPr>
                <w:rFonts w:ascii="Noto Serif" w:hAnsi="Noto Serif" w:eastAsia="Noto Serif"/>
                <w:b/>
                <w:i w:val="0"/>
              </w:rPr>
              <w:t>Статус выборки</w:t>
            </w:r>
          </w:p>
        </w:tc>
        <w:tc>
          <w:tcPr>
            <w:tcW w:type="dxa" w:w="1304"/>
            <w:vAlign w:val="top"/>
            <w:shd w:fill="10443E"/>
          </w:tcPr>
          <w:p>
            <w:r/>
            <w:r>
              <w:rPr>
                <w:rFonts w:ascii="Noto Serif" w:hAnsi="Noto Serif" w:eastAsia="Noto Serif"/>
                <w:b/>
                <w:i w:val="0"/>
              </w:rPr>
              <w:t>Сверка / оговорка</w:t>
            </w:r>
          </w:p>
        </w:tc>
      </w:tr>
      <w:tr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1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112:1–4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Единство Бога как исходная богословская рамка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REVIEW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Смысл изложен кратко; не претендует на исчерпывающее толкование.</w:t>
            </w:r>
          </w:p>
        </w:tc>
      </w:tr>
      <w:tr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2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21:30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Природный мир и жизнь как повод к размышлению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REVIEW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Не используется как современное научное предсказание.</w:t>
            </w:r>
          </w:p>
        </w:tc>
      </w:tr>
      <w:tr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3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3:190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Устройство мира как знак для размышляющих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REVIEW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Соседний контекст содержит и религиозные элементы.</w:t>
            </w:r>
          </w:p>
        </w:tc>
      </w:tr>
      <w:tr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4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91:7–10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Душа, нравственное различение и самоочищение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REVIEW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Не отождествляется с современной психологической теорией.</w:t>
            </w:r>
          </w:p>
        </w:tc>
      </w:tr>
      <w:tr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5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17:36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Не утверждать без знания; отвечать за восприятие и суждение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REVIEW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Читался вместе с 17:34–35 о доверии, мере и имуществе.</w:t>
            </w:r>
          </w:p>
        </w:tc>
      </w:tr>
      <w:tr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6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49:11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Насмешка, уничижительные прозвища и достоинство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REVIEW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Адресат — верующие; нельзя скрывать контекст обращения.</w:t>
            </w:r>
          </w:p>
        </w:tc>
      </w:tr>
      <w:tr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7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49:12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Необоснованные подозрения, слежка и злословие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REVIEW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Риторическое сравнение не повторяется дословно.</w:t>
            </w:r>
          </w:p>
        </w:tc>
      </w:tr>
      <w:tr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8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49:13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Разнообразие народов и взаимное узнавание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REVIEW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Не сводится к современному лозунгу; сохранена богословская рамка.</w:t>
            </w:r>
          </w:p>
        </w:tc>
      </w:tr>
      <w:tr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9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4:135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Беспристрастность свидетельства вопреки близости и выгоде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REVIEW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Смысловая мысль выделена из религиозного наставления.</w:t>
            </w:r>
          </w:p>
        </w:tc>
      </w:tr>
      <w:tr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10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5:8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Не позволять неприязни вести к несправедливости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REVIEW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Адресат и контекст не объявлены универсальным кодексом.</w:t>
            </w:r>
          </w:p>
        </w:tc>
      </w:tr>
      <w:tr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11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16:90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Справедливость, благодеяние и забота о близких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REVIEW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Соседние аяты содержат клятвы и другие незакрытые темы.</w:t>
            </w:r>
          </w:p>
        </w:tc>
      </w:tr>
      <w:tr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12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2:177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Добродетель соединяет веру, помощь, практику, верность и терпение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REVIEW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Смешанный аят; не разрезан на окончательное ядро.</w:t>
            </w:r>
          </w:p>
        </w:tc>
      </w:tr>
      <w:tr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13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107:1–7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Социальное отношение и религиозная практика в одном коротком тексте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REVIEW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Не удалять молитву автоматически; категория остаётся REVIEW.</w:t>
            </w:r>
          </w:p>
        </w:tc>
      </w:tr>
      <w:tr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14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31:12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Мудрость и благодарность в наставлении Лукмана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REVIEW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Не представляется как биографический факт.</w:t>
            </w:r>
          </w:p>
        </w:tc>
      </w:tr>
      <w:tr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15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17:34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Забота об имуществе сироты и верность обязательству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REVIEW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Это правовой и этический контекст одновременно.</w:t>
            </w:r>
          </w:p>
        </w:tc>
      </w:tr>
      <w:tr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16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16:91–92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Клятва, обещание и недопустимость обмана ими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REVIEW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Клятвы сохраняются; поздний правовой вывод не делается.</w:t>
            </w:r>
          </w:p>
        </w:tc>
      </w:tr>
      <w:tr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17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60:8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Доброе и справедливое отношение при обозначенном условии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REVIEW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Соседний аят 60:9 отмечает контекстуальную границу; не пересказывается.</w:t>
            </w:r>
          </w:p>
        </w:tc>
      </w:tr>
      <w:tr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18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3:191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Размышление о сотворённом связано с молитвой и эсхатологией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REVIEW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Перечислено как контекст, не классифицировано отдельно.</w:t>
            </w:r>
          </w:p>
        </w:tc>
      </w:tr>
    </w:tbl>
    <w:p/>
    <w:p>
      <w:r>
        <w:rPr>
          <w:rFonts w:ascii="Noto Serif" w:hAnsi="Noto Serif" w:eastAsia="Noto Serif"/>
          <w:b w:val="0"/>
          <w:i w:val="0"/>
        </w:rPr>
        <w:t>Ссылки в реестре — не цитаты, а указатели на исходный текст. В отдельном CSV/XLSX содержатся дополнительные поля источника и проверки.</w:t>
      </w:r>
    </w:p>
    <w:p>
      <w:pPr>
        <w:pStyle w:val="Heading2"/>
      </w:pPr>
      <w:r>
        <w:rPr>
          <w:rFonts w:ascii="Noto Serif" w:hAnsi="Noto Serif" w:eastAsia="Noto Serif"/>
          <w:b w:val="0"/>
          <w:i w:val="0"/>
        </w:rPr>
        <w:t>Приложение D. Исключения и смешанные случаи</w:t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Девять утверждённых исключений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74"/>
        <w:gridCol w:w="2174"/>
        <w:gridCol w:w="2174"/>
      </w:tblGrid>
      <w:tr>
        <w:tc>
          <w:tcPr>
            <w:tcW w:type="dxa" w:w="2174"/>
            <w:vAlign w:val="top"/>
            <w:shd w:fill="10443E"/>
          </w:tcPr>
          <w:p>
            <w:r/>
            <w:r>
              <w:rPr>
                <w:rFonts w:ascii="Noto Serif" w:hAnsi="Noto Serif" w:eastAsia="Noto Serif"/>
                <w:b/>
                <w:i w:val="0"/>
              </w:rPr>
              <w:t>Код</w:t>
            </w:r>
          </w:p>
        </w:tc>
        <w:tc>
          <w:tcPr>
            <w:tcW w:type="dxa" w:w="2174"/>
            <w:vAlign w:val="top"/>
            <w:shd w:fill="10443E"/>
          </w:tcPr>
          <w:p>
            <w:r/>
            <w:r>
              <w:rPr>
                <w:rFonts w:ascii="Noto Serif" w:hAnsi="Noto Serif" w:eastAsia="Noto Serif"/>
                <w:b/>
                <w:i w:val="0"/>
              </w:rPr>
              <w:t>Категория по заданию</w:t>
            </w:r>
          </w:p>
        </w:tc>
        <w:tc>
          <w:tcPr>
            <w:tcW w:type="dxa" w:w="2174"/>
            <w:vAlign w:val="top"/>
            <w:shd w:fill="10443E"/>
          </w:tcPr>
          <w:p>
            <w:r/>
            <w:r>
              <w:rPr>
                <w:rFonts w:ascii="Noto Serif" w:hAnsi="Noto Serif" w:eastAsia="Noto Serif"/>
                <w:b/>
                <w:i w:val="0"/>
              </w:rPr>
              <w:t>Редакционное правило</w:t>
            </w:r>
          </w:p>
        </w:tc>
      </w:tr>
      <w:tr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E01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Райские награды и наслаждения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Исключать из основного читательского изложения; соседнюю самостоятельную мысль не удалять автоматически.</w:t>
            </w:r>
          </w:p>
        </w:tc>
      </w:tr>
      <w:tr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E02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Гурии и райские спутницы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Исключать из основного читательского изложения.</w:t>
            </w:r>
          </w:p>
        </w:tc>
      </w:tr>
      <w:tr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E03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Ад и адские мучения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Не воспроизводить длинные устрашающие описания; сохранять ссылки в техническом реестре при полном анализе.</w:t>
            </w:r>
          </w:p>
        </w:tc>
      </w:tr>
      <w:tr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E04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Проклятия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Не переносить проклятие в авторский голос; смешанные смыслы рассматривать отдельно.</w:t>
            </w:r>
          </w:p>
        </w:tc>
      </w:tr>
      <w:tr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E05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Устрашение наказаниями и мучениями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Не воспроизводить как воздействующий читательский материал.</w:t>
            </w:r>
          </w:p>
        </w:tc>
      </w:tr>
      <w:tr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E06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Предписания убивать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Исключать сами призывы; запрет несправедливого убийства и ценность жизни не приравнивать к ним.</w:t>
            </w:r>
          </w:p>
        </w:tc>
      </w:tr>
      <w:tr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E07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Войны, сражения, военные действия, добыча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Исключать из читательского ядра; не скрывать важную контекстуальную оговорку при анализе соседнего фрагмента.</w:t>
            </w:r>
          </w:p>
        </w:tc>
      </w:tr>
      <w:tr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E08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Джихад как самостоятельная тема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Исключать как самостоятельную тему; различение значений вести в исследовательских материалах.</w:t>
            </w:r>
          </w:p>
        </w:tc>
      </w:tr>
      <w:tr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E09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Многожёнство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Исключать из основной читательской версии по утверждённому решению автора.</w:t>
            </w:r>
          </w:p>
        </w:tc>
      </w:tr>
    </w:tbl>
    <w:p/>
    <w:p>
      <w:r>
        <w:rPr>
          <w:rFonts w:ascii="Noto Serif" w:hAnsi="Noto Serif" w:eastAsia="Noto Serif"/>
          <w:b w:val="0"/>
          <w:i w:val="0"/>
        </w:rPr>
        <w:t>Смешанный аят не становится целиком исключённым автоматически. Если в одном месте есть исключённый материал и самостоятельная мысль о справедливости, милосердии или честности, следует записать обе единицы и обосновать, какой именно текст пересказывается. Ни одна такая операция не должна создавать впечатление, будто пересказ передаёт полный смысл аята.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8000" cy="48554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p_cases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85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Десять категорий REVIEW</w:t>
      </w:r>
    </w:p>
    <w:p>
      <w:r>
        <w:rPr>
          <w:rFonts w:ascii="Noto Serif" w:hAnsi="Noto Serif" w:eastAsia="Noto Serif"/>
          <w:b w:val="0"/>
          <w:i w:val="0"/>
        </w:rPr>
        <w:t>Обряды и молитва; пищевые нормы и ритуальная чистота; семейное право и гендерные нормы; сделки и имущественные предписания; земные наказания; религиозная полемика; истории; сатана и джинны; воскресение и будущая жизнь; повторы и риторика. Они не переводятся в EXCLUDE без решения Velan.</w:t>
      </w:r>
    </w:p>
    <w:p>
      <w:pPr>
        <w:pStyle w:val="Heading2"/>
      </w:pPr>
      <w:r>
        <w:rPr>
          <w:rFonts w:ascii="Noto Serif" w:hAnsi="Noto Serif" w:eastAsia="Noto Serif"/>
          <w:b w:val="0"/>
          <w:i w:val="0"/>
        </w:rPr>
        <w:t>Отчёт о фактическом охвате этой редакции</w:t>
      </w:r>
    </w:p>
    <w:p>
      <w:r>
        <w:rPr>
          <w:rFonts w:ascii="Noto Serif" w:hAnsi="Noto Serif" w:eastAsia="Noto Serif"/>
          <w:b w:val="0"/>
          <w:i w:val="0"/>
        </w:rPr>
        <w:t xml:space="preserve">В v0.2 структурно перечислены все 114 сур и 6 236 пронумерованных аятов по каталогу Quran.com. Это </w:t>
      </w:r>
      <w:r>
        <w:rPr>
          <w:rFonts w:ascii="Noto Serif" w:hAnsi="Noto Serif" w:eastAsia="Noto Serif"/>
          <w:b/>
          <w:i w:val="0"/>
        </w:rPr>
        <w:t>не</w:t>
      </w:r>
      <w:r>
        <w:rPr>
          <w:rFonts w:ascii="Noto Serif" w:hAnsi="Noto Serif" w:eastAsia="Noto Serif"/>
          <w:b w:val="0"/>
          <w:i w:val="0"/>
        </w:rPr>
        <w:t xml:space="preserve"> означает, что содержание всех 6 236 аятов было исследовано. В основных читательских главах приведены 18 записей-диапазонов и 31 уникальный пронумерованный аят в 13 сурах; десять целевых досье REVIEW содержат 65 записей-примеров со ссылками на 29 сур. Вместе основная выборка и REVIEW дают ссылки на 38 сур (четыре пересекаются); часть примеров — диапазоны и пересекающиеся ссылки. Полная поаятная разметка, разбор всех смысловых единиц и подсчёт исключённых фрагментов не выполнены. Поэтому процент сохранённого или исключённого содержания </w:t>
      </w:r>
      <w:r>
        <w:rPr>
          <w:rFonts w:ascii="Noto Serif" w:hAnsi="Noto Serif" w:eastAsia="Noto Serif"/>
          <w:b/>
          <w:i w:val="0"/>
        </w:rPr>
        <w:t>неизвестен</w:t>
      </w:r>
      <w:r>
        <w:rPr>
          <w:rFonts w:ascii="Noto Serif" w:hAnsi="Noto Serif" w:eastAsia="Noto Serif"/>
          <w:b w:val="0"/>
          <w:i w:val="0"/>
        </w:rPr>
        <w:t>.</w:t>
      </w:r>
    </w:p>
    <w:p>
      <w:r>
        <w:rPr>
          <w:rFonts w:ascii="Noto Serif" w:hAnsi="Noto Serif" w:eastAsia="Noto Serif"/>
          <w:b w:val="0"/>
          <w:i w:val="0"/>
        </w:rPr>
        <w:t>В выборке использованы первичные страницы Quran.com с арабским текстом, английским переводом и доступными тафсирами; для навигации проверены Quranic Arabic Corpus и Britannica. Не выполнено обязательное для окончательного издания сопоставление нескольких авторитетных русских переводов. Не выполнена полная проверка прав на конкретные русские переводы, поэтому длинные цитаты не воспроизводятся. Выводы о богословских школах, исторической достоверности повествований и соотношении этики с правом в этой версии предварительны.</w:t>
      </w:r>
    </w:p>
    <w:p>
      <w:r>
        <w:rPr>
          <w:rFonts w:ascii="Noto Serif" w:hAnsi="Noto Serif" w:eastAsia="Noto Serif"/>
          <w:b/>
          <w:i w:val="0"/>
        </w:rPr>
        <w:t>Издательская оговорка.</w:t>
      </w:r>
      <w:r>
        <w:rPr>
          <w:rFonts w:ascii="Noto Serif" w:hAnsi="Noto Serif" w:eastAsia="Noto Serif"/>
          <w:b w:val="0"/>
          <w:i w:val="0"/>
        </w:rPr>
        <w:t xml:space="preserve"> Иллюстрации в этой предварительной редакции созданы специально для проекта и не изображают пророков, людей или сцены откровения. Это художественные образы, не исторические свидетельства. PDF для печати имеет увеличенные внутренние поля, но не является обложкой с корешком и вылетами для конкретной типографии.</w:t>
      </w:r>
    </w:p>
    <w:p>
      <w:pPr>
        <w:pStyle w:val="Heading1"/>
      </w:pPr>
      <w:r>
        <w:rPr>
          <w:rFonts w:ascii="Noto Serif" w:hAnsi="Noto Serif" w:eastAsia="Noto Serif"/>
          <w:b w:val="0"/>
          <w:i w:val="0"/>
        </w:rPr>
        <w:t>Приложение E. Проверяемый пилот v0.4</w:t>
      </w:r>
    </w:p>
    <w:p>
      <w:pPr>
        <w:pStyle w:val="Heading2"/>
      </w:pPr>
      <w:r>
        <w:rPr>
          <w:rFonts w:ascii="Noto Serif" w:hAnsi="Noto Serif" w:eastAsia="Noto Serif"/>
          <w:b w:val="0"/>
          <w:i w:val="0"/>
        </w:rPr>
        <w:t>Что было реально проверено</w:t>
      </w:r>
    </w:p>
    <w:p>
      <w:r>
        <w:rPr>
          <w:rFonts w:ascii="Noto Serif" w:hAnsi="Noto Serif" w:eastAsia="Noto Serif"/>
          <w:b/>
          <w:i w:val="0"/>
        </w:rPr>
        <w:t>Арабские термины (не цитаты-аят):</w:t>
      </w:r>
      <w:r>
        <w:rPr>
          <w:rFonts w:ascii="Noto Serif" w:hAnsi="Noto Serif" w:eastAsia="Noto Serif"/>
          <w:b w:val="0"/>
          <w:i w:val="0"/>
        </w:rPr>
        <w:t xml:space="preserve"> al-baʾs (</w:t>
      </w:r>
      <w:r>
        <w:rPr>
          <w:rFonts w:ascii="Noto Naskh Arabic" w:hAnsi="Noto Naskh Arabic" w:eastAsia="Noto Naskh Arabic"/>
          <w:b w:val="0"/>
          <w:i w:val="0"/>
        </w:rPr>
        <w:t>البأس</w:t>
      </w:r>
      <w:r>
        <w:rPr>
          <w:rFonts w:ascii="Noto Serif" w:hAnsi="Noto Serif" w:eastAsia="Noto Serif"/>
          <w:b w:val="0"/>
          <w:i w:val="0"/>
        </w:rPr>
        <w:t>) и fawqahā (</w:t>
      </w:r>
      <w:r>
        <w:rPr>
          <w:rFonts w:ascii="Noto Naskh Arabic" w:hAnsi="Noto Naskh Arabic" w:eastAsia="Noto Naskh Arabic"/>
          <w:b w:val="0"/>
          <w:i w:val="0"/>
        </w:rPr>
        <w:t>فَوْقَهَا</w:t>
      </w:r>
      <w:r>
        <w:rPr>
          <w:rFonts w:ascii="Noto Serif" w:hAnsi="Noto Serif" w:eastAsia="Noto Serif"/>
          <w:b w:val="0"/>
          <w:i w:val="0"/>
        </w:rPr>
        <w:t>).</w:t>
      </w:r>
    </w:p>
    <w:p>
      <w:r>
        <w:rPr>
          <w:rFonts w:ascii="Noto Serif" w:hAnsi="Noto Serif" w:eastAsia="Noto Serif"/>
          <w:b w:val="0"/>
          <w:i w:val="0"/>
        </w:rPr>
        <w:t xml:space="preserve">Последовательный корпус — все семь аятов суры 1 и первые двадцать девять аятов суры 2. Для каждой записи определена отдельная смысловая единица, сохранены соседний контекст, статус фильтра и основание решения. Первичный арабский текст и русская версия Эльмира Кулиева открывались на Quran.com; независимая русская версия Османова сверялась на Quran-for-all. Quranic Arabic Corpus использовался точечно, когда переводческая разница меняет смысл. </w:t>
      </w:r>
      <w:hyperlink r:id="rId101">
        <w:r>
          <w:rPr>
            <w:color w:val="11616A"/>
            <w:u w:val="single"/>
          </w:rPr>
          <w:t>8</w:t>
        </w:r>
      </w:hyperlink>
      <w:r>
        <w:rPr>
          <w:rFonts w:ascii="Noto Serif" w:hAnsi="Noto Serif" w:eastAsia="Noto Serif"/>
          <w:b w:val="0"/>
          <w:i w:val="0"/>
        </w:rPr>
        <w:t xml:space="preserve"> </w:t>
      </w:r>
      <w:hyperlink r:id="rId102">
        <w:r>
          <w:rPr>
            <w:color w:val="11616A"/>
            <w:u w:val="single"/>
          </w:rPr>
          <w:t>10</w:t>
        </w:r>
      </w:hyperlink>
    </w:p>
    <w:p>
      <w:r>
        <w:rPr>
          <w:rFonts w:ascii="Noto Serif" w:hAnsi="Noto Serif" w:eastAsia="Noto Serif"/>
          <w:b w:val="0"/>
          <w:i w:val="0"/>
        </w:rPr>
        <w:t xml:space="preserve">Пилот не выбирает окончательное смысловое ядро вместо автора. Статус </w:t>
      </w:r>
      <w:r>
        <w:rPr>
          <w:rFonts w:ascii="Noto Serif" w:hAnsi="Noto Serif" w:eastAsia="Noto Serif"/>
          <w:b w:val="0"/>
          <w:i w:val="0"/>
        </w:rPr>
        <w:t>REVIEW</w:t>
      </w:r>
      <w:r>
        <w:rPr>
          <w:rFonts w:ascii="Noto Serif" w:hAnsi="Noto Serif" w:eastAsia="Noto Serif"/>
          <w:b w:val="0"/>
          <w:i w:val="0"/>
        </w:rPr>
        <w:t xml:space="preserve"> означает, что решение не принято; поле </w:t>
      </w:r>
      <w:r>
        <w:rPr>
          <w:rFonts w:ascii="Noto Serif" w:hAnsi="Noto Serif" w:eastAsia="Noto Serif"/>
          <w:b w:val="0"/>
          <w:i w:val="0"/>
        </w:rPr>
        <w:t>proposed_status</w:t>
      </w:r>
      <w:r>
        <w:rPr>
          <w:rFonts w:ascii="Noto Serif" w:hAnsi="Noto Serif" w:eastAsia="Noto Serif"/>
          <w:b w:val="0"/>
          <w:i w:val="0"/>
        </w:rPr>
        <w:t xml:space="preserve"> хранит возможную редакционную рекомендацию отдельно. </w:t>
      </w:r>
      <w:r>
        <w:rPr>
          <w:rFonts w:ascii="Noto Serif" w:hAnsi="Noto Serif" w:eastAsia="Noto Serif"/>
          <w:b w:val="0"/>
          <w:i w:val="0"/>
        </w:rPr>
        <w:t>UNKNOWN</w:t>
      </w:r>
      <w:r>
        <w:rPr>
          <w:rFonts w:ascii="Noto Serif" w:hAnsi="Noto Serif" w:eastAsia="Noto Serif"/>
          <w:b w:val="0"/>
          <w:i w:val="0"/>
        </w:rPr>
        <w:t xml:space="preserve"> для начальных букв 2:1 не означает, что значение ложно или отсутствует в традиции. </w:t>
      </w:r>
      <w:r>
        <w:rPr>
          <w:rFonts w:ascii="Noto Serif" w:hAnsi="Noto Serif" w:eastAsia="Noto Serif"/>
          <w:b w:val="0"/>
          <w:i w:val="0"/>
        </w:rPr>
        <w:t>DISPUTED</w:t>
      </w:r>
      <w:r>
        <w:rPr>
          <w:rFonts w:ascii="Noto Serif" w:hAnsi="Noto Serif" w:eastAsia="Noto Serif"/>
          <w:b w:val="0"/>
          <w:i w:val="0"/>
        </w:rPr>
        <w:t xml:space="preserve"> отмечает переводческое или интерпретационное расхождение. </w:t>
      </w:r>
      <w:r>
        <w:rPr>
          <w:rFonts w:ascii="Noto Serif" w:hAnsi="Noto Serif" w:eastAsia="Noto Serif"/>
          <w:b w:val="0"/>
          <w:i w:val="0"/>
        </w:rPr>
        <w:t>EXCLUDE</w:t>
      </w:r>
      <w:r>
        <w:rPr>
          <w:rFonts w:ascii="Noto Serif" w:hAnsi="Noto Serif" w:eastAsia="Noto Serif"/>
          <w:b w:val="0"/>
          <w:i w:val="0"/>
        </w:rPr>
        <w:t xml:space="preserve"> применяется только к совпавшим единицам, а не автоматически ко всему аяту.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8000" cy="52185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a_coverage_v04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5218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Черновой читательский фрагмент</w:t>
      </w:r>
    </w:p>
    <w:p>
      <w:r>
        <w:rPr>
          <w:rFonts w:ascii="Noto Serif" w:hAnsi="Noto Serif" w:eastAsia="Noto Serif"/>
          <w:b/>
          <w:i w:val="0"/>
        </w:rPr>
        <w:t>EDITORIAL SYNTHESIS — предложенный черновик, не подтверждённое ядро.</w:t>
      </w:r>
      <w:r>
        <w:rPr>
          <w:rFonts w:ascii="Noto Serif" w:hAnsi="Noto Serif" w:eastAsia="Noto Serif"/>
          <w:b w:val="0"/>
          <w:i w:val="0"/>
        </w:rPr>
        <w:t xml:space="preserve"> В этих начальных отрывках мир представлен как творение и условие человеческой жизни, а вера выражена не только как убеждение, но и как отношение к другим людям. В тексте рядом оказываются хвала и милость, молитва и помощь, напоминание о Судном дне, а также образы руководства и заблуждения. Это не одно универсальное определение религии: молитвенная форма, теологическое утверждение и нравственный мотив остаются различимы. </w:t>
      </w:r>
      <w:hyperlink r:id="rId101">
        <w:r>
          <w:rPr>
            <w:color w:val="11616A"/>
            <w:u w:val="single"/>
          </w:rPr>
          <w:t>8</w:t>
        </w:r>
      </w:hyperlink>
    </w:p>
    <w:p>
      <w:r>
        <w:rPr>
          <w:rFonts w:ascii="Noto Serif" w:hAnsi="Noto Serif" w:eastAsia="Noto Serif"/>
          <w:b w:val="0"/>
          <w:i w:val="0"/>
        </w:rPr>
        <w:t xml:space="preserve">В 2:22–29 человек показан среди даров мира, призыва к поклонению, религиозного спора и размышления о создании. Аят 2:27 говорит о нарушении завета и разрыве связей, но не позволяет автоматически заменить «завет» любой клятвой или современным договором. Аяты 2:28–29 включают воскресение и образ семи небес; они сохраняются как утверждения текста, без попытки представить их современным научным прогнозом. Эти смыслы пока REVIEW и ждут авторского выбора. </w:t>
      </w:r>
      <w:hyperlink r:id="rId102">
        <w:r>
          <w:rPr>
            <w:color w:val="11616A"/>
            <w:u w:val="single"/>
          </w:rPr>
          <w:t>9</w:t>
        </w:r>
      </w:hyperlink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Последовательный пилот: важные границы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74"/>
        <w:gridCol w:w="2174"/>
        <w:gridCol w:w="2174"/>
      </w:tblGrid>
      <w:tr>
        <w:tc>
          <w:tcPr>
            <w:tcW w:type="dxa" w:w="2174"/>
            <w:vAlign w:val="top"/>
            <w:shd w:fill="10443E"/>
          </w:tcPr>
          <w:p>
            <w:r/>
            <w:r>
              <w:rPr>
                <w:rFonts w:ascii="Noto Serif" w:hAnsi="Noto Serif" w:eastAsia="Noto Serif"/>
                <w:b/>
                <w:i w:val="0"/>
              </w:rPr>
              <w:t>Место</w:t>
            </w:r>
          </w:p>
        </w:tc>
        <w:tc>
          <w:tcPr>
            <w:tcW w:type="dxa" w:w="2174"/>
            <w:vAlign w:val="top"/>
            <w:shd w:fill="10443E"/>
          </w:tcPr>
          <w:p>
            <w:r/>
            <w:r>
              <w:rPr>
                <w:rFonts w:ascii="Noto Serif" w:hAnsi="Noto Serif" w:eastAsia="Noto Serif"/>
                <w:b/>
                <w:i w:val="0"/>
              </w:rPr>
              <w:t>Наблюдение</w:t>
            </w:r>
          </w:p>
        </w:tc>
        <w:tc>
          <w:tcPr>
            <w:tcW w:type="dxa" w:w="2174"/>
            <w:vAlign w:val="top"/>
            <w:shd w:fill="10443E"/>
          </w:tcPr>
          <w:p>
            <w:r/>
            <w:r>
              <w:rPr>
                <w:rFonts w:ascii="Noto Serif" w:hAnsi="Noto Serif" w:eastAsia="Noto Serif"/>
                <w:b/>
                <w:i w:val="0"/>
              </w:rPr>
              <w:t>Статус и граница</w:t>
            </w:r>
          </w:p>
        </w:tc>
      </w:tr>
      <w:tr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1:4; 2:4; 2:28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Судный день, будущая жизнь и возвращение к Богу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REVIEW R09; это не E01/E03/E05.</w:t>
            </w:r>
          </w:p>
        </w:tc>
      </w:tr>
      <w:tr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2:7; 2:10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Метафоры внутреннего состояния соседствуют с наказанием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Образ сердца остаётся REVIEW; только отдельные угрозы получили E05.</w:t>
            </w:r>
          </w:p>
        </w:tc>
      </w:tr>
      <w:tr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2:17–20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Огонь, гром, молния и телесные образы в притчах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REVIEW/R10; огонь притчи не приравнен к аду E03.</w:t>
            </w:r>
          </w:p>
        </w:tc>
      </w:tr>
      <w:tr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2:24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Завершение вызова из 2:23 соседствует с огненной угрозой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Связь сохранена как CONTEXT; угроза огнём — EXCLUDE E03/E05.</w:t>
            </w:r>
          </w:p>
        </w:tc>
      </w:tr>
      <w:tr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2:25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Условия веры/дел соседствуют с описанием райской награды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Условие сохранено в CONTEXT; награда EXCLUDE E01; E02 не выводится из «очищенных супругов».</w:t>
            </w:r>
          </w:p>
        </w:tc>
      </w:tr>
      <w:tr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2:26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Пример с комаром и грамматически/переводчески сложный сравнительный оборот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DISPUTED; варианты Кулиева и Османова не сведены к одному.</w:t>
            </w:r>
          </w:p>
        </w:tc>
      </w:tr>
      <w:tr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2:27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Завет, связи и порча перечислены в одном описании</w:t>
            </w:r>
          </w:p>
        </w:tc>
        <w:tc>
          <w:tcPr>
            <w:tcW w:type="dxa" w:w="2174"/>
            <w:vAlign w:val="top"/>
          </w:tcPr>
          <w:p>
            <w:r/>
            <w:r>
              <w:rPr>
                <w:rFonts w:ascii="Noto Serif" w:hAnsi="Noto Serif" w:eastAsia="Noto Serif"/>
                <w:b w:val="0"/>
                <w:i w:val="0"/>
              </w:rPr>
              <w:t>Разделены на три единицы; не превращать завет в клятву без основания.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8000" cy="18266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lot_status_counts_v04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1826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Noto Serif" w:hAnsi="Noto Serif" w:eastAsia="Noto Serif"/>
          <w:b w:val="0"/>
          <w:i w:val="0"/>
        </w:rPr>
        <w:t>Контрольные случаи смешанных аятов</w:t>
      </w:r>
    </w:p>
    <w:p>
      <w:r>
        <w:rPr>
          <w:rFonts w:ascii="Noto Serif" w:hAnsi="Noto Serif" w:eastAsia="Noto Serif"/>
          <w:b w:val="0"/>
          <w:i w:val="0"/>
        </w:rPr>
        <w:t xml:space="preserve">Эти разборы не заменяют последовательный анализ. Их задача — проверить, можно ли разделить темы без скрытой потери контекста. Для каждого контрольного случая в реестре сохранены ссылка, наблюдение, смысловое резюме, статусы, переводческие варианты и основания. </w:t>
      </w:r>
      <w:hyperlink r:id="rId105">
        <w:r>
          <w:rPr>
            <w:color w:val="11616A"/>
            <w:u w:val="single"/>
          </w:rPr>
          <w:t>19</w:t>
        </w:r>
      </w:hyperlink>
      <w:r>
        <w:rPr>
          <w:rFonts w:ascii="Noto Serif" w:hAnsi="Noto Serif" w:eastAsia="Noto Serif"/>
          <w:b w:val="0"/>
          <w:i w:val="0"/>
        </w:rPr>
        <w:t xml:space="preserve"> </w:t>
      </w:r>
      <w:hyperlink r:id="rId106">
        <w:r>
          <w:rPr>
            <w:color w:val="11616A"/>
            <w:u w:val="single"/>
          </w:rPr>
          <w:t>21</w:t>
        </w:r>
      </w:hyperlink>
      <w:r>
        <w:rPr>
          <w:rFonts w:ascii="Noto Serif" w:hAnsi="Noto Serif" w:eastAsia="Noto Serif"/>
          <w:b w:val="0"/>
          <w:i w:val="0"/>
        </w:rPr>
        <w:t xml:space="preserve"> </w:t>
      </w:r>
      <w:hyperlink r:id="rId107">
        <w:r>
          <w:rPr>
            <w:color w:val="11616A"/>
            <w:u w:val="single"/>
          </w:rPr>
          <w:t>23</w:t>
        </w:r>
      </w:hyperlink>
    </w:p>
    <w:p>
      <w:pPr>
        <w:pStyle w:val="ListBullet"/>
      </w:pPr>
      <w:r>
        <w:rPr>
          <w:rFonts w:ascii="Noto Serif" w:hAnsi="Noto Serif" w:eastAsia="Noto Serif"/>
          <w:b/>
          <w:i w:val="0"/>
        </w:rPr>
        <w:t>2:177 — праведность, вера и обязательства.</w:t>
      </w:r>
      <w:r>
        <w:rPr>
          <w:rFonts w:ascii="Noto Serif" w:hAnsi="Noto Serif" w:eastAsia="Noto Serif"/>
          <w:b w:val="0"/>
          <w:i w:val="0"/>
        </w:rPr>
        <w:t xml:space="preserve"> Внутри одного аята различены вера, помощь, молитва, закят, обязательства и терпение. Прежний статус REVIEW сохранён. Выражение al-baʾs (</w:t>
      </w:r>
      <w:r>
        <w:rPr>
          <w:rFonts w:ascii="Noto Naskh Arabic" w:hAnsi="Noto Naskh Arabic" w:eastAsia="Noto Naskh Arabic"/>
          <w:b w:val="0"/>
          <w:i w:val="0"/>
        </w:rPr>
        <w:t>البأس</w:t>
      </w:r>
      <w:r>
        <w:rPr>
          <w:rFonts w:ascii="Noto Serif" w:hAnsi="Noto Serif" w:eastAsia="Noto Serif"/>
          <w:b w:val="0"/>
          <w:i w:val="0"/>
        </w:rPr>
        <w:t xml:space="preserve">) передаётся как «битва» у Кулиева, тогда как другие лексические и переводческие материалы допускают более широкий контекст трудности; соответствующий фрагмент DISPUTED, а не автоматически исключён по E07. </w:t>
      </w:r>
      <w:hyperlink r:id="rId108">
        <w:r>
          <w:rPr>
            <w:color w:val="11616A"/>
            <w:u w:val="single"/>
          </w:rPr>
          <w:t>19</w:t>
        </w:r>
      </w:hyperlink>
    </w:p>
    <w:p>
      <w:pPr>
        <w:pStyle w:val="ListBullet"/>
      </w:pPr>
      <w:r>
        <w:rPr>
          <w:rFonts w:ascii="Noto Serif" w:hAnsi="Noto Serif" w:eastAsia="Noto Serif"/>
          <w:b/>
          <w:i w:val="0"/>
        </w:rPr>
        <w:t>4:135 — справедливое свидетельство.</w:t>
      </w:r>
      <w:r>
        <w:rPr>
          <w:rFonts w:ascii="Noto Serif" w:hAnsi="Noto Serif" w:eastAsia="Noto Serif"/>
          <w:b w:val="0"/>
          <w:i w:val="0"/>
        </w:rPr>
        <w:t xml:space="preserve"> Раздельно размечены общая обязанность, свидетельство против себя и родных, равное отношение к богатому и бедному, влияние страсти, искажение или уклонение от свидетельства. Унаследованный статус REVIEW сохранён; решение о CORE не принято. </w:t>
      </w:r>
      <w:hyperlink r:id="rId105">
        <w:r>
          <w:rPr>
            <w:color w:val="11616A"/>
            <w:u w:val="single"/>
          </w:rPr>
          <w:t>20</w:t>
        </w:r>
      </w:hyperlink>
    </w:p>
    <w:p>
      <w:pPr>
        <w:pStyle w:val="ListBullet"/>
      </w:pPr>
      <w:r>
        <w:rPr>
          <w:rFonts w:ascii="Noto Serif" w:hAnsi="Noto Serif" w:eastAsia="Noto Serif"/>
          <w:b/>
          <w:i w:val="0"/>
        </w:rPr>
        <w:t>5:32 — жизнь и правовая оговорка.</w:t>
      </w:r>
      <w:r>
        <w:rPr>
          <w:rFonts w:ascii="Noto Serif" w:hAnsi="Noto Serif" w:eastAsia="Noto Serif"/>
          <w:b w:val="0"/>
          <w:i w:val="0"/>
        </w:rPr>
        <w:t xml:space="preserve"> Моральная аналогия убийства и спасения жизни отделена от оговорки о возмездии и порче. Последняя остаётся REVIEW/R05; она не превращена в предписание убивать E06. Стих 5:33 проверен лишь как соседний контекст, не включён в смысловой блок 5:32. </w:t>
      </w:r>
      <w:hyperlink r:id="rId109">
        <w:r>
          <w:rPr>
            <w:color w:val="11616A"/>
            <w:u w:val="single"/>
          </w:rPr>
          <w:t>21</w:t>
        </w:r>
      </w:hyperlink>
    </w:p>
    <w:p>
      <w:pPr>
        <w:pStyle w:val="ListBullet"/>
      </w:pPr>
      <w:r>
        <w:rPr>
          <w:rFonts w:ascii="Noto Serif" w:hAnsi="Noto Serif" w:eastAsia="Noto Serif"/>
          <w:b/>
          <w:i w:val="0"/>
        </w:rPr>
        <w:t>5:89 — клятва и искупление.</w:t>
      </w:r>
      <w:r>
        <w:rPr>
          <w:rFonts w:ascii="Noto Serif" w:hAnsi="Noto Serif" w:eastAsia="Noto Serif"/>
          <w:b w:val="0"/>
          <w:i w:val="0"/>
        </w:rPr>
        <w:t xml:space="preserve"> Смысл непреднамеренной клятвы, намеренной клятвы, ответственности за данное слово и бережного соблюдения клятв сохраняется согласно прямому заданию автора. Порядок кормления, одежды, освобождения и поста отмечен отдельно как REVIEW/R01; это не основание скрыто превращать клятву в ритуальный запрет. На странице Кулиева замечена опечатка с соединением слов; в книге она не цитируется. </w:t>
      </w:r>
      <w:hyperlink r:id="rId106">
        <w:r>
          <w:rPr>
            <w:color w:val="11616A"/>
            <w:u w:val="single"/>
          </w:rPr>
          <w:t>22</w:t>
        </w:r>
      </w:hyperlink>
    </w:p>
    <w:p>
      <w:pPr>
        <w:pStyle w:val="ListBullet"/>
      </w:pPr>
      <w:r>
        <w:rPr>
          <w:rFonts w:ascii="Noto Serif" w:hAnsi="Noto Serif" w:eastAsia="Noto Serif"/>
          <w:b/>
          <w:i w:val="0"/>
        </w:rPr>
        <w:t>49:6 — проверка сообщения.</w:t>
      </w:r>
      <w:r>
        <w:rPr>
          <w:rFonts w:ascii="Noto Serif" w:hAnsi="Noto Serif" w:eastAsia="Noto Serif"/>
          <w:b w:val="0"/>
          <w:i w:val="0"/>
        </w:rPr>
        <w:t xml:space="preserve"> Текст связывает проверку сообщения с предотвращением вреда, совершённого по неведению, и последующим сожалением. Референт fāsiq и оттенки повеления fatabayyanū передаются по-разному; исторический рассказ в тафсире не объявляется независимо проверенным историческим фактом. Единицы — REVIEW; кандидат CORE не утверждён. </w:t>
      </w:r>
      <w:hyperlink r:id="rId110">
        <w:r>
          <w:rPr>
            <w:color w:val="11616A"/>
            <w:u w:val="single"/>
          </w:rPr>
          <w:t>23</w:t>
        </w:r>
      </w:hyperlink>
    </w:p>
    <w:p>
      <w:pPr>
        <w:pStyle w:val="ListBullet"/>
      </w:pPr>
      <w:r>
        <w:rPr>
          <w:rFonts w:ascii="Noto Serif" w:hAnsi="Noto Serif" w:eastAsia="Noto Serif"/>
          <w:b/>
          <w:i w:val="0"/>
        </w:rPr>
        <w:t>49:11–13 — речь, частная жизнь и человеческие различия.</w:t>
      </w:r>
      <w:r>
        <w:rPr>
          <w:rFonts w:ascii="Noto Serif" w:hAnsi="Noto Serif" w:eastAsia="Noto Serif"/>
          <w:b w:val="0"/>
          <w:i w:val="0"/>
        </w:rPr>
        <w:t xml:space="preserve"> Отдельно размечены насмешка, унизительные прозвища, подозрение, слежка, злословие, человеческое происхождение, народы и племена, взаимное узнавание и taqwa. Образ поедания мёртвого брата — риторическая метафора, не буквальное предписание или описание кары. Унаследованный REVIEW сохранён, CORE не утверждён. </w:t>
      </w:r>
      <w:hyperlink r:id="rId107">
        <w:r>
          <w:rPr>
            <w:color w:val="11616A"/>
            <w:u w:val="single"/>
          </w:rPr>
          <w:t>24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8000" cy="3994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ed_ayahs_v04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99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Noto Serif" w:hAnsi="Noto Serif" w:eastAsia="Noto Serif"/>
          <w:b w:val="0"/>
          <w:i w:val="0"/>
        </w:rPr>
        <w:t>Тематическая карта и смысловое ядро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8000" cy="170699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_map_v0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1706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8000" cy="2753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ained_ideas_v04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75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erif" w:hAnsi="Noto Serif" w:eastAsia="Noto Serif"/>
          <w:b w:val="0"/>
          <w:i w:val="0"/>
        </w:rPr>
        <w:t>Наиболее ясные кандидаты для следующего шага — милость и ответственность, справедливое свидетельство, сохранение жизни, проверка сообщений, уважительная речь и ответственное отношение к обещаниям. Они не представлены как финальный авторский выбор. В текущем реестре 5:89 даёт узкий пример подтверждённого содержания о клятвах; остальные подобные идеи остаются REVIEW или предложениями CORE.</w:t>
      </w:r>
    </w:p>
    <w:p>
      <w:pPr>
        <w:pStyle w:val="Heading2"/>
      </w:pPr>
      <w:r>
        <w:rPr>
          <w:rFonts w:ascii="Noto Serif" w:hAnsi="Noto Serif" w:eastAsia="Noto Serif"/>
          <w:b w:val="0"/>
          <w:i w:val="0"/>
        </w:rPr>
        <w:t>Как читать диаграммы объёма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8000" cy="178458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lot_scope_counts_v04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1784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8000" cy="141083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uction_flow_v04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1410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erif" w:hAnsi="Noto Serif" w:eastAsia="Noto Serif"/>
          <w:b w:val="0"/>
          <w:i w:val="0"/>
        </w:rPr>
        <w:t>В пилоте обработаны 36 последовательных аятов и создано 50 смысловых записей. Шесть контролей охватывают восемь аятов и 59 контрольных записей. Эти когорты показаны отдельно и не суммируются с унаследованным корпусом. Для сырого исходного текста не рассчитывался словный объём: корпуса переводов имеют разные сегментации, а повторное распространение больших объёмов текста требует отдельной проверки прав. Поэтому отношение «до/после» и процент сокращения не приводятся. Объём созданного редакционного пилотного текста посчитан в отчёте полноты отдельной мерой.</w:t>
      </w:r>
    </w:p>
    <w:p>
      <w:pPr>
        <w:pStyle w:val="Heading2"/>
      </w:pPr>
      <w:r>
        <w:rPr>
          <w:rFonts w:ascii="Noto Serif" w:hAnsi="Noto Serif" w:eastAsia="Noto Serif"/>
          <w:b w:val="0"/>
          <w:i w:val="0"/>
        </w:rPr>
        <w:t>Исследовательская карта и решения, которые ждут автора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8000" cy="77926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_process_v04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779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erif" w:hAnsi="Noto Serif" w:eastAsia="Noto Serif"/>
          <w:b w:val="0"/>
          <w:i w:val="0"/>
        </w:rPr>
        <w:t>Для остальных десяти категорий REVIEW в этой редакции не ставится окончательная точка. Унаследованные 65 примеров и их источники сохранены в приложенных таблицах; текущий последовательный пилот проверяет лишь конкретные примеры, названные выше. Многожёнство, пищевые запреты, наследство, исторические рассказы пророков и другие темы не объявляются отсутствующими только потому, что не попали в текущую последовательную выборку.</w:t>
      </w:r>
    </w:p>
    <w:p>
      <w:pPr>
        <w:pStyle w:val="Heading2"/>
      </w:pPr>
      <w:r>
        <w:rPr>
          <w:rFonts w:ascii="Noto Serif" w:hAnsi="Noto Serif" w:eastAsia="Noto Serif"/>
          <w:b w:val="0"/>
          <w:i w:val="0"/>
        </w:rPr>
        <w:t>Иллюстрации и источники</w:t>
      </w:r>
    </w:p>
    <w:p>
      <w:r>
        <w:rPr>
          <w:rFonts w:ascii="Noto Serif" w:hAnsi="Noto Serif" w:eastAsia="Noto Serif"/>
          <w:b w:val="0"/>
          <w:i w:val="0"/>
        </w:rPr>
        <w:t xml:space="preserve">Художественные изображения в рабочей книге унаследованы из набора </w:t>
      </w:r>
      <w:r>
        <w:rPr>
          <w:rFonts w:ascii="Noto Serif" w:hAnsi="Noto Serif" w:eastAsia="Noto Serif"/>
          <w:b w:val="0"/>
          <w:i w:val="0"/>
        </w:rPr>
        <w:t>assets/</w:t>
      </w:r>
      <w:r>
        <w:rPr>
          <w:rFonts w:ascii="Noto Serif" w:hAnsi="Noto Serif" w:eastAsia="Noto Serif"/>
          <w:b w:val="0"/>
          <w:i w:val="0"/>
        </w:rPr>
        <w:t xml:space="preserve"> версии v0.3: космос, природа, архитектура, книга, знание, справедливость, отношения и абстрактное смысловое ядро. Это авторские концептуальные иллюстрации проекта, не документальные изображения и не реконструкции исторических сцен. Исходные промпты и отдельные лицензии прежней поставкой не зафиксированы; перед публичным коммерческим распространением потребуется аудит прав. Смысловые диаграммы v0.4 построены детерминированно из реестра и доступны в исходном виде Mermaid/PNG в </w:t>
      </w:r>
      <w:r>
        <w:rPr>
          <w:rFonts w:ascii="Noto Serif" w:hAnsi="Noto Serif" w:eastAsia="Noto Serif"/>
          <w:b w:val="0"/>
          <w:i w:val="0"/>
        </w:rPr>
        <w:t>research/figures_v04/</w:t>
      </w:r>
      <w:r>
        <w:rPr>
          <w:rFonts w:ascii="Noto Serif" w:hAnsi="Noto Serif" w:eastAsia="Noto Serif"/>
          <w:b w:val="0"/>
          <w:i w:val="0"/>
        </w:rPr>
        <w:t xml:space="preserve">. </w:t>
      </w:r>
      <w:hyperlink r:id="rId12">
        <w:r>
          <w:rPr>
            <w:color w:val="11616A"/>
            <w:u w:val="single"/>
          </w:rPr>
          <w:t>18</w:t>
        </w:r>
      </w:hyperlink>
    </w:p>
    <w:p>
      <w:r>
        <w:rPr>
          <w:rFonts w:ascii="Noto Serif" w:hAnsi="Noto Serif" w:eastAsia="Noto Serif"/>
          <w:b w:val="0"/>
          <w:i w:val="0"/>
        </w:rPr>
        <w:t xml:space="preserve">Quran.com ограничивает повторное использование содержимого сайта личными некоммерческими целями; Quran Foundation API terms отдельно требуют письменную коммерческую лицензию для продажи/перераспространения QF Content. Этот пилот использует авторские парафразы и прямые ссылки, не воспроизводит длинные переводные фрагменты. Это не юридическое заключение и не разрешение на коммерческую печать. Quranic Arabic Corpus используется точечно с указанием источника, а не копируется как база данных. </w:t>
      </w:r>
      <w:hyperlink r:id="rId117">
        <w:r>
          <w:rPr>
            <w:color w:val="11616A"/>
            <w:u w:val="single"/>
          </w:rPr>
          <w:t>12</w:t>
        </w:r>
      </w:hyperlink>
      <w:r>
        <w:rPr>
          <w:rFonts w:ascii="Noto Serif" w:hAnsi="Noto Serif" w:eastAsia="Noto Serif"/>
          <w:b w:val="0"/>
          <w:i w:val="0"/>
        </w:rPr>
        <w:t xml:space="preserve"> </w:t>
      </w:r>
      <w:hyperlink r:id="rId118">
        <w:r>
          <w:rPr>
            <w:color w:val="11616A"/>
            <w:u w:val="single"/>
          </w:rPr>
          <w:t>14</w:t>
        </w:r>
      </w:hyperlink>
    </w:p>
    <w:p>
      <w:pPr>
        <w:pStyle w:val="Heading2"/>
      </w:pPr>
      <w:r>
        <w:rPr>
          <w:rFonts w:ascii="Noto Serif" w:hAnsi="Noto Serif" w:eastAsia="Noto Serif"/>
          <w:b w:val="0"/>
          <w:i w:val="0"/>
        </w:rPr>
        <w:t>Что осталось незавершённым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</w:rPr>
        <w:t>Последовательный анализ 2:30–286 и всех аятов сур 3–114.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</w:rPr>
        <w:t>Полная поаятная или смысловая разметка всего корпуса, с двойной независимой проверкой и контекстом.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</w:rPr>
        <w:t>Решение автора по CORE-предложениям, REVIEW и спорным переводам.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</w:rPr>
        <w:t>Полное сравнение надёжных русских переводов и экспертная проверка арабского языка/тафсира.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</w:rPr>
        <w:t>Юридическая проверка прав на переводы, иллюстрации и окончательное использование имени Harvyrð.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</w:rPr>
        <w:t>Вычисление сопоставимого исходного словного объёма и метрики сокращения; сейчас приводятся только фактические количества аятов/записей и объём нового текста.</w:t>
      </w:r>
    </w:p>
    <w:p>
      <w:r>
        <w:rPr>
          <w:rFonts w:ascii="Noto Serif" w:hAnsi="Noto Serif" w:eastAsia="Noto Serif"/>
          <w:b/>
          <w:i w:val="0"/>
        </w:rPr>
        <w:t>Вывод о полноте:</w:t>
      </w:r>
      <w:r>
        <w:rPr>
          <w:rFonts w:ascii="Noto Serif" w:hAnsi="Noto Serif" w:eastAsia="Noto Serif"/>
          <w:b w:val="0"/>
          <w:i w:val="0"/>
        </w:rPr>
        <w:t xml:space="preserve"> это проверяемая пилотная редакция, а не завершённое исследование всех 114 сур и не окончательная книга с авторски утверждённым смысловым ядром.</w:t>
      </w:r>
    </w:p>
    <w:p>
      <w:pPr>
        <w:pStyle w:val="Heading2"/>
      </w:pPr>
      <w:r>
        <w:rPr>
          <w:rFonts w:ascii="Noto Serif" w:hAnsi="Noto Serif" w:eastAsia="Noto Serif"/>
          <w:b w:val="0"/>
          <w:i w:val="0"/>
        </w:rPr>
        <w:t>Источники и дальнейшая проверка</w:t>
      </w:r>
    </w:p>
    <w:p>
      <w:pPr>
        <w:pStyle w:val="ListBullet"/>
      </w:pPr>
      <w:hyperlink r:id="rId15">
        <w:r>
          <w:rPr>
            <w:color w:val="11616A"/>
            <w:u w:val="single"/>
          </w:rPr>
          <w:t>Quran.com — чтение Корана, отдельные аяты, переводы и доступные тафсиры</w:t>
        </w:r>
      </w:hyperlink>
      <w:r>
        <w:rPr>
          <w:rFonts w:ascii="Noto Serif" w:hAnsi="Noto Serif" w:eastAsia="Noto Serif"/>
          <w:b w:val="0"/>
          <w:i w:val="0"/>
        </w:rPr>
        <w:t>. Для точечных ссылок в книге приведены прямые страницы соответствующих аятов.</w:t>
      </w:r>
    </w:p>
    <w:p>
      <w:pPr>
        <w:pStyle w:val="ListBullet"/>
      </w:pPr>
      <w:hyperlink r:id="rId14">
        <w:r>
          <w:rPr>
            <w:color w:val="11616A"/>
            <w:u w:val="single"/>
          </w:rPr>
          <w:t>Quranic Arabic Corpus</w:t>
        </w:r>
      </w:hyperlink>
      <w:r>
        <w:rPr>
          <w:rFonts w:ascii="Noto Serif" w:hAnsi="Noto Serif" w:eastAsia="Noto Serif"/>
          <w:b w:val="0"/>
          <w:i w:val="0"/>
        </w:rPr>
        <w:t>. Лингвистическая разметка, синтаксический treebank и онтология понятий. Сам ресурс оговаривает, что абсолютная точность аннотации невозможна; использовать его как языковой инструмент, не как замену тафсиру.</w:t>
      </w:r>
    </w:p>
    <w:p>
      <w:pPr>
        <w:pStyle w:val="ListBullet"/>
      </w:pPr>
      <w:hyperlink r:id="rId12">
        <w:r>
          <w:rPr>
            <w:color w:val="11616A"/>
            <w:u w:val="single"/>
          </w:rPr>
          <w:t>Encyclopaedia Britannica, “Qurʾān”</w:t>
        </w:r>
      </w:hyperlink>
      <w:r>
        <w:rPr>
          <w:rFonts w:ascii="Noto Serif" w:hAnsi="Noto Serif" w:eastAsia="Noto Serif"/>
          <w:b w:val="0"/>
          <w:i w:val="0"/>
        </w:rPr>
        <w:t>. Справка о структуре, сюрах, аятах и истории коранического текста. Статья отмечает наличие разных систем счёта границ аятов и указывает, что наиболее распространённая сегодня система насчитывает 6 236.</w:t>
      </w:r>
    </w:p>
    <w:p>
      <w:pPr>
        <w:pStyle w:val="ListBullet"/>
      </w:pPr>
      <w:r>
        <w:rPr>
          <w:rFonts w:ascii="Noto Serif" w:hAnsi="Noto Serif" w:eastAsia="Noto Serif"/>
          <w:b w:val="0"/>
          <w:i w:val="0"/>
        </w:rPr>
        <w:t xml:space="preserve">Abdullah Saeed and Ali Akbar, “Contextualist Approaches and the Interpretation of the Qur’ān,” </w:t>
      </w:r>
      <w:r>
        <w:rPr>
          <w:rFonts w:ascii="Noto Serif" w:hAnsi="Noto Serif" w:eastAsia="Noto Serif"/>
          <w:b w:val="0"/>
          <w:i/>
        </w:rPr>
        <w:t>Religions</w:t>
      </w:r>
      <w:r>
        <w:rPr>
          <w:rFonts w:ascii="Noto Serif" w:hAnsi="Noto Serif" w:eastAsia="Noto Serif"/>
          <w:b w:val="0"/>
          <w:i w:val="0"/>
        </w:rPr>
        <w:t xml:space="preserve"> 12, no. 7 (2021), </w:t>
      </w:r>
      <w:hyperlink r:id="rId119">
        <w:r>
          <w:rPr>
            <w:color w:val="11616A"/>
            <w:u w:val="single"/>
          </w:rPr>
          <w:t>doi:10.3390/rel12070527</w:t>
        </w:r>
      </w:hyperlink>
      <w:r>
        <w:rPr>
          <w:rFonts w:ascii="Noto Serif" w:hAnsi="Noto Serif" w:eastAsia="Noto Serif"/>
          <w:b w:val="0"/>
          <w:i w:val="0"/>
        </w:rPr>
        <w:t>. Представляет контекстуальный подход как одну из современных интерпретационных позиций, а не как нейтральный консенсус.</w:t>
      </w:r>
    </w:p>
    <w:p>
      <w:pPr>
        <w:pStyle w:val="ListBullet"/>
      </w:pPr>
      <w:r>
        <w:rPr>
          <w:rFonts w:ascii="Noto Serif" w:hAnsi="Noto Serif" w:eastAsia="Noto Serif"/>
          <w:b w:val="0"/>
          <w:i w:val="0"/>
        </w:rPr>
        <w:t xml:space="preserve">Khaled Abou El Fadl, “Qurʾanic Ethics and Islamic Law,” </w:t>
      </w:r>
      <w:r>
        <w:rPr>
          <w:rFonts w:ascii="Noto Serif" w:hAnsi="Noto Serif" w:eastAsia="Noto Serif"/>
          <w:b w:val="0"/>
          <w:i/>
        </w:rPr>
        <w:t>Journal of Islamic Ethics</w:t>
      </w:r>
      <w:r>
        <w:rPr>
          <w:rFonts w:ascii="Noto Serif" w:hAnsi="Noto Serif" w:eastAsia="Noto Serif"/>
          <w:b w:val="0"/>
          <w:i w:val="0"/>
        </w:rPr>
        <w:t xml:space="preserve"> (2017), </w:t>
      </w:r>
      <w:hyperlink r:id="rId13">
        <w:r>
          <w:rPr>
            <w:color w:val="11616A"/>
            <w:u w:val="single"/>
          </w:rPr>
          <w:t>Brill</w:t>
        </w:r>
      </w:hyperlink>
      <w:r>
        <w:rPr>
          <w:rFonts w:ascii="Noto Serif" w:hAnsi="Noto Serif" w:eastAsia="Noto Serif"/>
          <w:b w:val="0"/>
          <w:i w:val="0"/>
        </w:rPr>
        <w:t>. Автор прямо обозначает свою работу как нормативную и убеждающую, а не просто описательную; здесь она используется как пример необходимости различать исследовательское описание и нормативный вывод.</w:t>
      </w:r>
    </w:p>
    <w:p>
      <w:pPr>
        <w:pStyle w:val="Heading3"/>
      </w:pPr>
      <w:r>
        <w:rPr>
          <w:rFonts w:ascii="Noto Serif" w:hAnsi="Noto Serif" w:eastAsia="Noto Serif"/>
          <w:b w:val="0"/>
          <w:i w:val="0"/>
        </w:rPr>
        <w:t>Академические работы, на которые ссылаются научные комментарии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</w:rPr>
        <w:t xml:space="preserve">Majid Daneshgar, “The Qurʾān and Science, Part I: The Premodern Era,” </w:t>
      </w:r>
      <w:r>
        <w:rPr>
          <w:rFonts w:ascii="Noto Serif" w:hAnsi="Noto Serif" w:eastAsia="Noto Serif"/>
          <w:b w:val="0"/>
          <w:i/>
        </w:rPr>
        <w:t>Zygon: Journal of Religion and Science</w:t>
      </w:r>
      <w:r>
        <w:rPr>
          <w:rFonts w:ascii="Noto Serif" w:hAnsi="Noto Serif" w:eastAsia="Noto Serif"/>
          <w:b w:val="0"/>
          <w:i w:val="0"/>
        </w:rPr>
        <w:t xml:space="preserve"> 58, no. 4 (2023): 952–969. </w:t>
      </w:r>
      <w:hyperlink r:id="rId19">
        <w:r>
          <w:rPr>
            <w:color w:val="11616A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</w:rPr>
        <w:t>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</w:rPr>
        <w:t xml:space="preserve">Ali Akbar and Abdullah Saeed, “Contextualist Approaches and the Interpretation of the Qur’ān,” </w:t>
      </w:r>
      <w:r>
        <w:rPr>
          <w:rFonts w:ascii="Noto Serif" w:hAnsi="Noto Serif" w:eastAsia="Noto Serif"/>
          <w:b w:val="0"/>
          <w:i/>
        </w:rPr>
        <w:t>Religions</w:t>
      </w:r>
      <w:r>
        <w:rPr>
          <w:rFonts w:ascii="Noto Serif" w:hAnsi="Noto Serif" w:eastAsia="Noto Serif"/>
          <w:b w:val="0"/>
          <w:i w:val="0"/>
        </w:rPr>
        <w:t xml:space="preserve"> 12, no. 7 (2021), article 527. </w:t>
      </w:r>
      <w:hyperlink r:id="rId24">
        <w:r>
          <w:rPr>
            <w:color w:val="11616A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</w:rPr>
        <w:t>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</w:rPr>
        <w:t xml:space="preserve">Atif Khalil, “Ethics in Islam,” </w:t>
      </w:r>
      <w:r>
        <w:rPr>
          <w:rFonts w:ascii="Noto Serif" w:hAnsi="Noto Serif" w:eastAsia="Noto Serif"/>
          <w:b w:val="0"/>
          <w:i/>
        </w:rPr>
        <w:t>St Andrews Encyclopaedia of Theology</w:t>
      </w:r>
      <w:r>
        <w:rPr>
          <w:rFonts w:ascii="Noto Serif" w:hAnsi="Noto Serif" w:eastAsia="Noto Serif"/>
          <w:b w:val="0"/>
          <w:i w:val="0"/>
        </w:rPr>
        <w:t xml:space="preserve">, University of St Andrews (2025). </w:t>
      </w:r>
      <w:hyperlink r:id="rId35">
        <w:r>
          <w:rPr>
            <w:color w:val="11616A"/>
            <w:u w:val="single"/>
          </w:rPr>
          <w:t>Статья</w:t>
        </w:r>
      </w:hyperlink>
      <w:r>
        <w:rPr>
          <w:rFonts w:ascii="Noto Serif" w:hAnsi="Noto Serif" w:eastAsia="Noto Serif"/>
          <w:b w:val="0"/>
          <w:i w:val="0"/>
        </w:rPr>
        <w:t>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</w:rPr>
        <w:t xml:space="preserve">Devin J. Stewart, “Speech Genres and Interpretation of the Qur’an,” </w:t>
      </w:r>
      <w:r>
        <w:rPr>
          <w:rFonts w:ascii="Noto Serif" w:hAnsi="Noto Serif" w:eastAsia="Noto Serif"/>
          <w:b w:val="0"/>
          <w:i/>
        </w:rPr>
        <w:t>Religions</w:t>
      </w:r>
      <w:r>
        <w:rPr>
          <w:rFonts w:ascii="Noto Serif" w:hAnsi="Noto Serif" w:eastAsia="Noto Serif"/>
          <w:b w:val="0"/>
          <w:i w:val="0"/>
        </w:rPr>
        <w:t xml:space="preserve"> 12, no. 7 (2021), article 529. </w:t>
      </w:r>
      <w:hyperlink r:id="rId39">
        <w:r>
          <w:rPr>
            <w:color w:val="11616A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</w:rPr>
        <w:t>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</w:rPr>
        <w:t xml:space="preserve">M. A. S. Abdel-Haleem, “The Translational Challenges Presented by Qur’anic Oaths: A Study of Q. 79 and Q. 100,” </w:t>
      </w:r>
      <w:r>
        <w:rPr>
          <w:rFonts w:ascii="Noto Serif" w:hAnsi="Noto Serif" w:eastAsia="Noto Serif"/>
          <w:b w:val="0"/>
          <w:i/>
        </w:rPr>
        <w:t>Journal of Qur’anic Studies</w:t>
      </w:r>
      <w:r>
        <w:rPr>
          <w:rFonts w:ascii="Noto Serif" w:hAnsi="Noto Serif" w:eastAsia="Noto Serif"/>
          <w:b w:val="0"/>
          <w:i w:val="0"/>
        </w:rPr>
        <w:t xml:space="preserve"> 25, no. 3 (2023): 139–147. </w:t>
      </w:r>
      <w:hyperlink r:id="rId40">
        <w:r>
          <w:rPr>
            <w:color w:val="11616A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</w:rPr>
        <w:t>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</w:rPr>
        <w:t xml:space="preserve">M. A. S. Abdel-Haleem, “Structural Coherence in the Qur’an: How to See the Connections,” in </w:t>
      </w:r>
      <w:r>
        <w:rPr>
          <w:rFonts w:ascii="Noto Serif" w:hAnsi="Noto Serif" w:eastAsia="Noto Serif"/>
          <w:b w:val="0"/>
          <w:i/>
        </w:rPr>
        <w:t>Structural Dividers in the Qur’an</w:t>
      </w:r>
      <w:r>
        <w:rPr>
          <w:rFonts w:ascii="Noto Serif" w:hAnsi="Noto Serif" w:eastAsia="Noto Serif"/>
          <w:b w:val="0"/>
          <w:i w:val="0"/>
        </w:rPr>
        <w:t xml:space="preserve">, ed. Marianna Klar (Routledge, 2020). </w:t>
      </w:r>
      <w:hyperlink r:id="rId26">
        <w:r>
          <w:rPr>
            <w:color w:val="11616A"/>
            <w:u w:val="single"/>
          </w:rPr>
          <w:t>DOI</w:t>
        </w:r>
      </w:hyperlink>
      <w:r>
        <w:rPr>
          <w:rFonts w:ascii="Noto Serif" w:hAnsi="Noto Serif" w:eastAsia="Noto Serif"/>
          <w:b w:val="0"/>
          <w:i w:val="0"/>
        </w:rPr>
        <w:t>.</w:t>
      </w:r>
    </w:p>
    <w:p>
      <w:pPr>
        <w:pStyle w:val="ListNumber"/>
      </w:pPr>
      <w:r>
        <w:rPr>
          <w:rFonts w:ascii="Noto Serif" w:hAnsi="Noto Serif" w:eastAsia="Noto Serif"/>
          <w:b w:val="0"/>
          <w:i w:val="0"/>
        </w:rPr>
        <w:t xml:space="preserve">Khaled Abou El Fadl, “Qurʾanic Ethics and Islamic Law,” </w:t>
      </w:r>
      <w:r>
        <w:rPr>
          <w:rFonts w:ascii="Noto Serif" w:hAnsi="Noto Serif" w:eastAsia="Noto Serif"/>
          <w:b w:val="0"/>
          <w:i/>
        </w:rPr>
        <w:t>Journal of Islamic Ethics</w:t>
      </w:r>
      <w:r>
        <w:rPr>
          <w:rFonts w:ascii="Noto Serif" w:hAnsi="Noto Serif" w:eastAsia="Noto Serif"/>
          <w:b w:val="0"/>
          <w:i w:val="0"/>
        </w:rPr>
        <w:t xml:space="preserve"> 1, nos. 1–2 (2017): 7–28. </w:t>
      </w:r>
      <w:hyperlink r:id="rId13">
        <w:r>
          <w:rPr>
            <w:color w:val="11616A"/>
            <w:u w:val="single"/>
          </w:rPr>
          <w:t>Статья</w:t>
        </w:r>
      </w:hyperlink>
      <w:r>
        <w:rPr>
          <w:rFonts w:ascii="Noto Serif" w:hAnsi="Noto Serif" w:eastAsia="Noto Serif"/>
          <w:b w:val="0"/>
          <w:i w:val="0"/>
        </w:rPr>
        <w:t>.</w:t>
      </w:r>
    </w:p>
    <w:sectPr w:rsidR="00FC693F" w:rsidRPr="0006063C" w:rsidSect="00034616">
      <w:headerReference w:type="default" r:id="rId9"/>
      <w:footerReference w:type="default" r:id="rId10"/>
      <w:pgSz w:w="8391" w:h="11906"/>
      <w:pgMar w:top="907" w:right="85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" w:hAnsi="Noto Sans"/>
        <w:color w:val="68787A"/>
        <w:sz w:val="16"/>
      </w:rPr>
      <w:t>HARVYRÐ  ·  ПИСАНИЕ ПЕРВОЕ — КОРАН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" w:hAnsi="Noto Serif" w:eastAsia="Noto Seri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10443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10443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1C596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" w:hAnsi="Noto Sans" w:eastAsia="Noto Sans"/>
      <w:b/>
      <w:bCs/>
      <w:i/>
      <w:iCs/>
      <w:color w:val="1C596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erif" w:hAnsi="Noto Serif" w:eastAsia="Noto Serif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hyperlink" Target="https://www.britannica.com/topic/Quran" TargetMode="External"/><Relationship Id="rId13" Type="http://schemas.openxmlformats.org/officeDocument/2006/relationships/hyperlink" Target="https://brill.com/view/journals/jie/1/1-2/article-p7_2.xml" TargetMode="External"/><Relationship Id="rId14" Type="http://schemas.openxmlformats.org/officeDocument/2006/relationships/hyperlink" Target="https://corpus.quran.com/" TargetMode="External"/><Relationship Id="rId15" Type="http://schemas.openxmlformats.org/officeDocument/2006/relationships/hyperlink" Target="https://quran.com/" TargetMode="External"/><Relationship Id="rId16" Type="http://schemas.openxmlformats.org/officeDocument/2006/relationships/image" Target="media/image2.jpg"/><Relationship Id="rId17" Type="http://schemas.openxmlformats.org/officeDocument/2006/relationships/hyperlink" Target="https://quran.com/112" TargetMode="External"/><Relationship Id="rId18" Type="http://schemas.openxmlformats.org/officeDocument/2006/relationships/hyperlink" Target="https://quran.com/21/30" TargetMode="External"/><Relationship Id="rId19" Type="http://schemas.openxmlformats.org/officeDocument/2006/relationships/hyperlink" Target="https://doi.org/10.1111/zygo.12931" TargetMode="External"/><Relationship Id="rId20" Type="http://schemas.openxmlformats.org/officeDocument/2006/relationships/hyperlink" Target="https://quran.com/3/190" TargetMode="External"/><Relationship Id="rId21" Type="http://schemas.openxmlformats.org/officeDocument/2006/relationships/hyperlink" Target="https://quran.com/91/7" TargetMode="External"/><Relationship Id="rId22" Type="http://schemas.openxmlformats.org/officeDocument/2006/relationships/image" Target="media/image3.jpg"/><Relationship Id="rId23" Type="http://schemas.openxmlformats.org/officeDocument/2006/relationships/hyperlink" Target="https://quran.com/17/36" TargetMode="External"/><Relationship Id="rId24" Type="http://schemas.openxmlformats.org/officeDocument/2006/relationships/hyperlink" Target="https://doi.org/10.3390/rel12070527" TargetMode="External"/><Relationship Id="rId25" Type="http://schemas.openxmlformats.org/officeDocument/2006/relationships/hyperlink" Target="https://quran.com/17/34" TargetMode="External"/><Relationship Id="rId26" Type="http://schemas.openxmlformats.org/officeDocument/2006/relationships/hyperlink" Target="https://doi.org/10.4324/9781003010456-12" TargetMode="External"/><Relationship Id="rId27" Type="http://schemas.openxmlformats.org/officeDocument/2006/relationships/hyperlink" Target="https://quran.com/49/11" TargetMode="External"/><Relationship Id="rId28" Type="http://schemas.openxmlformats.org/officeDocument/2006/relationships/hyperlink" Target="https://quran.com/49/13" TargetMode="External"/><Relationship Id="rId29" Type="http://schemas.openxmlformats.org/officeDocument/2006/relationships/hyperlink" Target="https://quran.com/49/12" TargetMode="External"/><Relationship Id="rId30" Type="http://schemas.openxmlformats.org/officeDocument/2006/relationships/image" Target="media/image4.jpg"/><Relationship Id="rId31" Type="http://schemas.openxmlformats.org/officeDocument/2006/relationships/hyperlink" Target="https://quran.com/4/135" TargetMode="External"/><Relationship Id="rId32" Type="http://schemas.openxmlformats.org/officeDocument/2006/relationships/hyperlink" Target="https://quran.com/5/8" TargetMode="External"/><Relationship Id="rId33" Type="http://schemas.openxmlformats.org/officeDocument/2006/relationships/hyperlink" Target="https://quran.com/16/90" TargetMode="External"/><Relationship Id="rId34" Type="http://schemas.openxmlformats.org/officeDocument/2006/relationships/hyperlink" Target="https://quran.com/2/177" TargetMode="External"/><Relationship Id="rId35" Type="http://schemas.openxmlformats.org/officeDocument/2006/relationships/hyperlink" Target="https://www.saet.ac.uk/Islam/Ethics" TargetMode="External"/><Relationship Id="rId36" Type="http://schemas.openxmlformats.org/officeDocument/2006/relationships/hyperlink" Target="https://quran.com/107" TargetMode="External"/><Relationship Id="rId37" Type="http://schemas.openxmlformats.org/officeDocument/2006/relationships/hyperlink" Target="https://quran.com/31/12" TargetMode="External"/><Relationship Id="rId38" Type="http://schemas.openxmlformats.org/officeDocument/2006/relationships/hyperlink" Target="https://quran.com/60/8" TargetMode="External"/><Relationship Id="rId39" Type="http://schemas.openxmlformats.org/officeDocument/2006/relationships/hyperlink" Target="https://doi.org/10.3390/rel12070529" TargetMode="External"/><Relationship Id="rId40" Type="http://schemas.openxmlformats.org/officeDocument/2006/relationships/hyperlink" Target="https://doi.org/10.3366/jqs.2023.0558" TargetMode="External"/><Relationship Id="rId41" Type="http://schemas.openxmlformats.org/officeDocument/2006/relationships/hyperlink" Target="https://quran.com/2/183-185" TargetMode="External"/><Relationship Id="rId42" Type="http://schemas.openxmlformats.org/officeDocument/2006/relationships/hyperlink" Target="https://quran.com/4/103" TargetMode="External"/><Relationship Id="rId43" Type="http://schemas.openxmlformats.org/officeDocument/2006/relationships/hyperlink" Target="https://quran.com/22/27-37" TargetMode="External"/><Relationship Id="rId44" Type="http://schemas.openxmlformats.org/officeDocument/2006/relationships/hyperlink" Target="https://quran.com/29/45" TargetMode="External"/><Relationship Id="rId45" Type="http://schemas.openxmlformats.org/officeDocument/2006/relationships/hyperlink" Target="https://quran.com/2/173" TargetMode="External"/><Relationship Id="rId46" Type="http://schemas.openxmlformats.org/officeDocument/2006/relationships/hyperlink" Target="https://quran.com/5/3" TargetMode="External"/><Relationship Id="rId47" Type="http://schemas.openxmlformats.org/officeDocument/2006/relationships/hyperlink" Target="https://quran.com/5/6" TargetMode="External"/><Relationship Id="rId48" Type="http://schemas.openxmlformats.org/officeDocument/2006/relationships/hyperlink" Target="https://quran.com/6/145" TargetMode="External"/><Relationship Id="rId49" Type="http://schemas.openxmlformats.org/officeDocument/2006/relationships/hyperlink" Target="https://quran.com/16/115-116" TargetMode="External"/><Relationship Id="rId50" Type="http://schemas.openxmlformats.org/officeDocument/2006/relationships/hyperlink" Target="https://quran.com/30/21" TargetMode="External"/><Relationship Id="rId51" Type="http://schemas.openxmlformats.org/officeDocument/2006/relationships/hyperlink" Target="https://quran.com/2/228-231" TargetMode="External"/><Relationship Id="rId52" Type="http://schemas.openxmlformats.org/officeDocument/2006/relationships/hyperlink" Target="https://quran.com/4/7-11" TargetMode="External"/><Relationship Id="rId53" Type="http://schemas.openxmlformats.org/officeDocument/2006/relationships/hyperlink" Target="https://quran.com/4/19" TargetMode="External"/><Relationship Id="rId54" Type="http://schemas.openxmlformats.org/officeDocument/2006/relationships/hyperlink" Target="https://quran.com/4/34-35" TargetMode="External"/><Relationship Id="rId55" Type="http://schemas.openxmlformats.org/officeDocument/2006/relationships/hyperlink" Target="https://quran.com/2/280-282" TargetMode="External"/><Relationship Id="rId56" Type="http://schemas.openxmlformats.org/officeDocument/2006/relationships/hyperlink" Target="https://quran.com/4/11" TargetMode="External"/><Relationship Id="rId57" Type="http://schemas.openxmlformats.org/officeDocument/2006/relationships/hyperlink" Target="https://quran.com/4/29" TargetMode="External"/><Relationship Id="rId58" Type="http://schemas.openxmlformats.org/officeDocument/2006/relationships/hyperlink" Target="https://quran.com/5/1" TargetMode="External"/><Relationship Id="rId59" Type="http://schemas.openxmlformats.org/officeDocument/2006/relationships/hyperlink" Target="https://quran.com/59/7" TargetMode="External"/><Relationship Id="rId60" Type="http://schemas.openxmlformats.org/officeDocument/2006/relationships/hyperlink" Target="https://quran.com/2/178-179" TargetMode="External"/><Relationship Id="rId61" Type="http://schemas.openxmlformats.org/officeDocument/2006/relationships/hyperlink" Target="https://quran.com/5/33-40" TargetMode="External"/><Relationship Id="rId62" Type="http://schemas.openxmlformats.org/officeDocument/2006/relationships/hyperlink" Target="https://quran.com/24/2" TargetMode="External"/><Relationship Id="rId63" Type="http://schemas.openxmlformats.org/officeDocument/2006/relationships/hyperlink" Target="https://quran.com/24/4-5" TargetMode="External"/><Relationship Id="rId64" Type="http://schemas.openxmlformats.org/officeDocument/2006/relationships/hyperlink" Target="https://quran.com/4/15-16" TargetMode="External"/><Relationship Id="rId65" Type="http://schemas.openxmlformats.org/officeDocument/2006/relationships/hyperlink" Target="https://quran.com/6/108" TargetMode="External"/><Relationship Id="rId66" Type="http://schemas.openxmlformats.org/officeDocument/2006/relationships/hyperlink" Target="https://quran.com/29/46" TargetMode="External"/><Relationship Id="rId67" Type="http://schemas.openxmlformats.org/officeDocument/2006/relationships/hyperlink" Target="https://quran.com/2/109" TargetMode="External"/><Relationship Id="rId68" Type="http://schemas.openxmlformats.org/officeDocument/2006/relationships/hyperlink" Target="https://quran.com/2/256" TargetMode="External"/><Relationship Id="rId69" Type="http://schemas.openxmlformats.org/officeDocument/2006/relationships/hyperlink" Target="https://quran.com/5/51" TargetMode="External"/><Relationship Id="rId70" Type="http://schemas.openxmlformats.org/officeDocument/2006/relationships/hyperlink" Target="https://quran.com/109" TargetMode="External"/><Relationship Id="rId71" Type="http://schemas.openxmlformats.org/officeDocument/2006/relationships/hyperlink" Target="https://quran.com/11/120" TargetMode="External"/><Relationship Id="rId72" Type="http://schemas.openxmlformats.org/officeDocument/2006/relationships/hyperlink" Target="https://quran.com/12/111" TargetMode="External"/><Relationship Id="rId73" Type="http://schemas.openxmlformats.org/officeDocument/2006/relationships/hyperlink" Target="https://quran.com/7/59-64" TargetMode="External"/><Relationship Id="rId74" Type="http://schemas.openxmlformats.org/officeDocument/2006/relationships/hyperlink" Target="https://quran.com/2/125-129" TargetMode="External"/><Relationship Id="rId75" Type="http://schemas.openxmlformats.org/officeDocument/2006/relationships/hyperlink" Target="https://quran.com/19/16-36" TargetMode="External"/><Relationship Id="rId76" Type="http://schemas.openxmlformats.org/officeDocument/2006/relationships/hyperlink" Target="https://quran.com/20/99" TargetMode="External"/><Relationship Id="rId77" Type="http://schemas.openxmlformats.org/officeDocument/2006/relationships/hyperlink" Target="https://quran.com/26/10-68" TargetMode="External"/><Relationship Id="rId78" Type="http://schemas.openxmlformats.org/officeDocument/2006/relationships/hyperlink" Target="https://quran.com/2/34" TargetMode="External"/><Relationship Id="rId79" Type="http://schemas.openxmlformats.org/officeDocument/2006/relationships/hyperlink" Target="https://quran.com/2/168-169" TargetMode="External"/><Relationship Id="rId80" Type="http://schemas.openxmlformats.org/officeDocument/2006/relationships/hyperlink" Target="https://quran.com/7/20-22" TargetMode="External"/><Relationship Id="rId81" Type="http://schemas.openxmlformats.org/officeDocument/2006/relationships/hyperlink" Target="https://quran.com/18/50" TargetMode="External"/><Relationship Id="rId82" Type="http://schemas.openxmlformats.org/officeDocument/2006/relationships/hyperlink" Target="https://quran.com/41/36" TargetMode="External"/><Relationship Id="rId83" Type="http://schemas.openxmlformats.org/officeDocument/2006/relationships/hyperlink" Target="https://quran.com/72/1-15" TargetMode="External"/><Relationship Id="rId84" Type="http://schemas.openxmlformats.org/officeDocument/2006/relationships/hyperlink" Target="https://quran.com/114/4-6" TargetMode="External"/><Relationship Id="rId85" Type="http://schemas.openxmlformats.org/officeDocument/2006/relationships/hyperlink" Target="https://quran.com/45/22-26" TargetMode="External"/><Relationship Id="rId86" Type="http://schemas.openxmlformats.org/officeDocument/2006/relationships/hyperlink" Target="https://quran.com/36/78-83" TargetMode="External"/><Relationship Id="rId87" Type="http://schemas.openxmlformats.org/officeDocument/2006/relationships/hyperlink" Target="https://quran.com/75/36" TargetMode="External"/><Relationship Id="rId88" Type="http://schemas.openxmlformats.org/officeDocument/2006/relationships/hyperlink" Target="https://quran.com/99/6-8" TargetMode="External"/><Relationship Id="rId89" Type="http://schemas.openxmlformats.org/officeDocument/2006/relationships/hyperlink" Target="https://quran.com/55/13" TargetMode="External"/><Relationship Id="rId90" Type="http://schemas.openxmlformats.org/officeDocument/2006/relationships/hyperlink" Target="https://quran.com/77/15" TargetMode="External"/><Relationship Id="rId91" Type="http://schemas.openxmlformats.org/officeDocument/2006/relationships/hyperlink" Target="https://quran.com/2/44" TargetMode="External"/><Relationship Id="rId92" Type="http://schemas.openxmlformats.org/officeDocument/2006/relationships/hyperlink" Target="https://quran.com/39/9" TargetMode="External"/><Relationship Id="rId93" Type="http://schemas.openxmlformats.org/officeDocument/2006/relationships/hyperlink" Target="https://quran.com/4/82" TargetMode="External"/><Relationship Id="rId94" Type="http://schemas.openxmlformats.org/officeDocument/2006/relationships/hyperlink" Target="https://quran.com/54/17" TargetMode="External"/><Relationship Id="rId95" Type="http://schemas.openxmlformats.org/officeDocument/2006/relationships/hyperlink" Target="research/review_dossiers.md" TargetMode="External"/><Relationship Id="rId96" Type="http://schemas.openxmlformats.org/officeDocument/2006/relationships/image" Target="media/image5.jpg"/><Relationship Id="rId97" Type="http://schemas.openxmlformats.org/officeDocument/2006/relationships/image" Target="media/image6.png"/><Relationship Id="rId98" Type="http://schemas.openxmlformats.org/officeDocument/2006/relationships/image" Target="media/image7.png"/><Relationship Id="rId99" Type="http://schemas.openxmlformats.org/officeDocument/2006/relationships/image" Target="media/image8.png"/><Relationship Id="rId100" Type="http://schemas.openxmlformats.org/officeDocument/2006/relationships/image" Target="media/image9.png"/><Relationship Id="rId101" Type="http://schemas.openxmlformats.org/officeDocument/2006/relationships/hyperlink" Target="https://quran.com/al-baqarah/1-29/translations/quran.ru.kuliev" TargetMode="External"/><Relationship Id="rId102" Type="http://schemas.openxmlformats.org/officeDocument/2006/relationships/hyperlink" Target="https://corpus.quran.com/documentation" TargetMode="External"/><Relationship Id="rId103" Type="http://schemas.openxmlformats.org/officeDocument/2006/relationships/image" Target="media/image10.png"/><Relationship Id="rId104" Type="http://schemas.openxmlformats.org/officeDocument/2006/relationships/image" Target="media/image11.png"/><Relationship Id="rId105" Type="http://schemas.openxmlformats.org/officeDocument/2006/relationships/hyperlink" Target="https://quran.com/an-nisa/135/translations/quran.ru.kuliev" TargetMode="External"/><Relationship Id="rId106" Type="http://schemas.openxmlformats.org/officeDocument/2006/relationships/hyperlink" Target="https://quran.com/al-maidah/89/translations/quran.ru.kuliev" TargetMode="External"/><Relationship Id="rId107" Type="http://schemas.openxmlformats.org/officeDocument/2006/relationships/hyperlink" Target="https://quran.com/al-hujurat/11-13/translations/quran.ru.kuliev" TargetMode="External"/><Relationship Id="rId108" Type="http://schemas.openxmlformats.org/officeDocument/2006/relationships/hyperlink" Target="https://quran.com/al-baqarah/177/translations/quran.ru.kuliev" TargetMode="External"/><Relationship Id="rId109" Type="http://schemas.openxmlformats.org/officeDocument/2006/relationships/hyperlink" Target="https://quran.com/al-maidah/32/translations/quran.ru.kuliev" TargetMode="External"/><Relationship Id="rId110" Type="http://schemas.openxmlformats.org/officeDocument/2006/relationships/hyperlink" Target="https://quran.com/al-hujurat/6/translations/quran.ru.kuliev" TargetMode="External"/><Relationship Id="rId111" Type="http://schemas.openxmlformats.org/officeDocument/2006/relationships/image" Target="media/image12.png"/><Relationship Id="rId112" Type="http://schemas.openxmlformats.org/officeDocument/2006/relationships/image" Target="media/image13.png"/><Relationship Id="rId113" Type="http://schemas.openxmlformats.org/officeDocument/2006/relationships/image" Target="media/image14.png"/><Relationship Id="rId114" Type="http://schemas.openxmlformats.org/officeDocument/2006/relationships/image" Target="media/image15.png"/><Relationship Id="rId115" Type="http://schemas.openxmlformats.org/officeDocument/2006/relationships/image" Target="media/image16.png"/><Relationship Id="rId116" Type="http://schemas.openxmlformats.org/officeDocument/2006/relationships/image" Target="media/image17.png"/><Relationship Id="rId117" Type="http://schemas.openxmlformats.org/officeDocument/2006/relationships/hyperlink" Target="https://api-docs.quran.foundation/legal/developer-terms/" TargetMode="External"/><Relationship Id="rId118" Type="http://schemas.openxmlformats.org/officeDocument/2006/relationships/hyperlink" Target="https://corpus.quran.com/download" TargetMode="External"/><Relationship Id="rId119" Type="http://schemas.openxmlformats.org/officeDocument/2006/relationships/hyperlink" Target="https://www.mdpi.com/2077-1444/12/7/5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