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Предания народов мира</w:t>
      </w:r>
    </w:p>
    <w:p>
      <w:pPr>
        <w:pStyle w:val="Subtitle"/>
      </w:pPr>
      <w:r>
        <w:t>Том IV. Дороги слова</w:t>
      </w:r>
    </w:p>
    <w:p>
      <w:r>
        <w:rPr>
          <w:b/>
        </w:rPr>
        <w:t>24 новые главы: предания, эпосы и очерки о живой памяти</w:t>
      </w:r>
    </w:p>
    <w:p>
      <w:r>
        <w:t>Полный иллюстрированный читательский черновик. Для просмотра владельцем; не опубликован.</w:t>
      </w:r>
    </w:p>
    <w:p>
      <w:pPr>
        <w:jc w:val="center"/>
      </w:pPr>
      <w:r>
        <w:drawing>
          <wp:inline xmlns:a="http://schemas.openxmlformats.org/drawingml/2006/main" xmlns:pic="http://schemas.openxmlformats.org/drawingml/2006/picture">
            <wp:extent cx="2951999" cy="4427998"/>
            <wp:docPr id="1" name="Picture 1"/>
            <wp:cNvGraphicFramePr>
              <a:graphicFrameLocks noChangeAspect="1"/>
            </wp:cNvGraphicFramePr>
            <a:graphic>
              <a:graphicData uri="http://schemas.openxmlformats.org/drawingml/2006/picture">
                <pic:pic>
                  <pic:nvPicPr>
                    <pic:cNvPr id="0" name="00-cover.jpg"/>
                    <pic:cNvPicPr/>
                  </pic:nvPicPr>
                  <pic:blipFill>
                    <a:blip r:embed="rId11"/>
                    <a:stretch>
                      <a:fillRect/>
                    </a:stretch>
                  </pic:blipFill>
                  <pic:spPr>
                    <a:xfrm>
                      <a:off x="0" y="0"/>
                      <a:ext cx="2951999" cy="4427998"/>
                    </a:xfrm>
                    <a:prstGeom prst="rect"/>
                  </pic:spPr>
                </pic:pic>
              </a:graphicData>
            </a:graphic>
          </wp:inline>
        </w:drawing>
      </w:r>
    </w:p>
    <w:p>
      <w:r>
        <w:br w:type="page"/>
      </w:r>
    </w:p>
    <w:p>
      <w:pPr>
        <w:pStyle w:val="Heading2"/>
      </w:pPr>
      <w:r>
        <w:t>За пределами знакомых имён</w:t>
      </w:r>
    </w:p>
    <w:p>
      <w:r>
        <w:t>У предания не всегда есть начало, которое можно найти на первой странице. Иногда его сохраняет песня, меняющаяся от исполнения к исполнению. Иногда — несколько строк на камне, рукопись в единственном списке или глиняная табличка, у которой утрачен край. А бывает, что главная часть рассказа остаётся у людей: в их языке, в отношениях с местом, в праве говорить от имени своей традиции.</w:t>
      </w:r>
    </w:p>
    <w:p>
      <w:r>
        <w:t>Четвёртый том продолжает собрание новыми сюжетами и новыми голосами. Мы идём в леса европейского Севера и к памятникам континентальных кельтов, возвращаемся в древние речные города за историями, которых ещё не было в серии, слушаем эпические традиции Азии и обращаемся к африканской и тихоокеанской памяти. Возвращение в уже знакомую страну здесь не означает возвращения к прежнему рассказу. Ни один выбранный эпизод не предлагается как повтор истории из первых трёх томов.</w:t>
      </w:r>
    </w:p>
    <w:p>
      <w:r>
        <w:t xml:space="preserve">Не всякая глава — сказка. Там, где есть доступное повествование, дан </w:t>
      </w:r>
      <w:r>
        <w:rPr>
          <w:b/>
        </w:rPr>
        <w:t>пересказ</w:t>
      </w:r>
      <w:r>
        <w:t xml:space="preserve">: события переданы новой русской прозой, без претензии на перевод с языка оригинала. Там, где надёжнее говорить о памятнике, исполнении или историческом свидетельстве, дан </w:t>
      </w:r>
      <w:r>
        <w:rPr>
          <w:b/>
        </w:rPr>
        <w:t>очерк</w:t>
      </w:r>
      <w:r>
        <w:t>. Он не притворяется речью древнего сказителя. Название народа в подзаголовке не означает, что единственная запись представляет всё его наследие.</w:t>
      </w:r>
    </w:p>
    <w:p>
      <w:r>
        <w:t>За каждым текстом следует раздел «Версия, передача и границы». В нём указано, что именно лежит в основе главы: опубликованный вариант, музейное описание, академический перевод или исследование. Там же обозначены посредники и ограничения. Разница между пересказом конкретной песни и знакомством с целой исполнительской традицией существенна; книга не скрывает её ради гладкости чтения.</w:t>
      </w:r>
    </w:p>
    <w:p>
      <w:r>
        <w:t>Утраченные строки здесь не дописаны. Неизвестный рассказчик не получает придуманного имени. Современный исследовательский вывод не становится древним откровением, а сходство двух мотивов само по себе не доказывает общего происхождения. Мы не сводим разных богов к одному и не превращаем живые религии в собрание занимательных суеверий.</w:t>
      </w:r>
    </w:p>
    <w:p>
      <w:pPr>
        <w:pStyle w:val="Heading2"/>
      </w:pPr>
      <w:r>
        <w:t>Что остаётся за страницей</w:t>
      </w:r>
    </w:p>
    <w:p>
      <w:r>
        <w:t>Публичность источника не даёт права выдавать его за разрешение носителей на любое использование. В книге нет инструкций к закрытым церемониям, реконструированных посвящений или попыток восстановить сокрытое знание. Об открыто описанных верованиях говорится ровно в тех пределах, которые позволяют названные свидетельства.</w:t>
      </w:r>
    </w:p>
    <w:p>
      <w:r>
        <w:t>Некоторые повествования содержат смерть, изгнание, насилие и тяжёлые испытания. Изложение сдержанное, но это не специальная детская адаптация. Исторические описания чужой веры тоже могут быть пристрастны; там, где это важно для понимания главы, посредничество автора обозначено прямо.</w:t>
      </w:r>
    </w:p>
    <w:p>
      <w:r>
        <w:t>Эта подборка не исчерпывает ни одну из представленных культур. В ней двадцать четыре главы, а не двадцать четыре независимые религии. Несколько древних текстов могут принадлежать одному большому литературному миру; соседние главы могут, напротив, не иметь между собой исторической связи. Разделы помогают читать книгу, но не устанавливают родство традиций.</w:t>
      </w:r>
    </w:p>
    <w:p>
      <w:pPr>
        <w:pStyle w:val="Heading2"/>
      </w:pPr>
      <w:r>
        <w:t>Об изображениях</w:t>
      </w:r>
    </w:p>
    <w:p>
      <w:r>
        <w:t>Для четвёртого тома созданы пять новых оригинальных иллюстраций: обложечный пейзаж и четыре композиции к частям. Глубокий индиго и тёмно-синий соединены с бирюзой, фиолетовым и сдержанным золотом; акварельная фактура соседствует с тонкой гравюрной линией.</w:t>
      </w:r>
    </w:p>
    <w:p>
      <w:r>
        <w:t>Это современные символические изображения, созданные с помощью генеративной модели. Они не являются этнографическими документами, реконструкциями священных мест или образцами традиционного искусства. В них не воспроизводятся закрытые знаки и церемонии. Пейзажная перекличка помогает удержать облик серии, но не служит доказательством единой мифологии.</w:t>
      </w:r>
    </w:p>
    <w:p>
      <w:r>
        <w:rPr>
          <w:b/>
        </w:rPr>
        <w:t>Статус книги.</w:t>
      </w:r>
      <w:r>
        <w:t xml:space="preserve"> Все главы, иллюстрации и источники включены в полный черновик для чтения до принятия решения о размещении. Этот том не публикуется и не загружается на внешние площадки без отдельного одобрения владельца.</w:t>
      </w:r>
    </w:p>
    <w:p>
      <w:pPr>
        <w:pStyle w:val="Heading2"/>
        <w:pageBreakBefore/>
      </w:pPr>
      <w:r>
        <w:t>Содержание</w:t>
      </w:r>
    </w:p>
    <w:p>
      <w:r>
        <w:rPr>
          <w:b/>
        </w:rPr>
        <w:t>I. Европа: шесть способов помнить мир</w:t>
      </w:r>
    </w:p>
    <w:p>
      <w:pPr>
        <w:pStyle w:val="ListBullet"/>
      </w:pPr>
      <w:hyperlink w:anchor="chapter_1">
        <w:r>
          <w:rPr>
            <w:color w:val="1B707C"/>
          </w:rPr>
          <w:t>1. Утка над первичным морем — коми космогония</w:t>
        </w:r>
      </w:hyperlink>
    </w:p>
    <w:p>
      <w:pPr>
        <w:pStyle w:val="ListBullet"/>
      </w:pPr>
      <w:hyperlink w:anchor="chapter_2">
        <w:r>
          <w:rPr>
            <w:color w:val="1B707C"/>
          </w:rPr>
          <w:t>2. Мари: традиция, которая продолжается</w:t>
        </w:r>
      </w:hyperlink>
    </w:p>
    <w:p>
      <w:pPr>
        <w:pStyle w:val="ListBullet"/>
      </w:pPr>
      <w:hyperlink w:anchor="chapter_3">
        <w:r>
          <w:rPr>
            <w:color w:val="1B707C"/>
          </w:rPr>
          <w:t>3. Небесное имя Инмара — удмуртское предание и верование</w:t>
        </w:r>
      </w:hyperlink>
    </w:p>
    <w:p>
      <w:pPr>
        <w:pStyle w:val="ListBullet"/>
      </w:pPr>
      <w:hyperlink w:anchor="chapter_4">
        <w:r>
          <w:rPr>
            <w:color w:val="1B707C"/>
          </w:rPr>
          <w:t>4. Белесама и священное место — галльская надпись</w:t>
        </w:r>
      </w:hyperlink>
    </w:p>
    <w:p>
      <w:pPr>
        <w:pStyle w:val="ListBullet"/>
      </w:pPr>
      <w:hyperlink w:anchor="chapter_5">
        <w:r>
          <w:rPr>
            <w:color w:val="1B707C"/>
          </w:rPr>
          <w:t>5. Мари у басков: пещеры, записи и пределы сюжета</w:t>
        </w:r>
      </w:hyperlink>
    </w:p>
    <w:p>
      <w:pPr>
        <w:pStyle w:val="ListBullet"/>
      </w:pPr>
      <w:hyperlink w:anchor="chapter_6">
        <w:r>
          <w:rPr>
            <w:color w:val="1B707C"/>
          </w:rPr>
          <w:t>6. Розафа и стена Шкодры</w:t>
        </w:r>
      </w:hyperlink>
    </w:p>
    <w:p>
      <w:r>
        <w:rPr>
          <w:b/>
        </w:rPr>
        <w:t>II. Царства между небом и землёй</w:t>
      </w:r>
    </w:p>
    <w:p>
      <w:pPr>
        <w:pStyle w:val="ListBullet"/>
      </w:pPr>
      <w:hyperlink w:anchor="chapter_7">
        <w:r>
          <w:rPr>
            <w:color w:val="1B707C"/>
          </w:rPr>
          <w:t>7. Этана и орёл</w:t>
        </w:r>
      </w:hyperlink>
    </w:p>
    <w:p>
      <w:pPr>
        <w:pStyle w:val="ListBullet"/>
      </w:pPr>
      <w:hyperlink w:anchor="chapter_8">
        <w:r>
          <w:rPr>
            <w:color w:val="1B707C"/>
          </w:rPr>
          <w:t>8. Анзу и Скрижаль судеб</w:t>
        </w:r>
      </w:hyperlink>
    </w:p>
    <w:p>
      <w:pPr>
        <w:pStyle w:val="ListBullet"/>
      </w:pPr>
      <w:hyperlink w:anchor="chapter_9">
        <w:r>
          <w:rPr>
            <w:color w:val="1B707C"/>
          </w:rPr>
          <w:t>9. Адапа и Южный ветер</w:t>
        </w:r>
      </w:hyperlink>
    </w:p>
    <w:p>
      <w:pPr>
        <w:pStyle w:val="ListBullet"/>
      </w:pPr>
      <w:hyperlink w:anchor="chapter_10">
        <w:r>
          <w:rPr>
            <w:color w:val="1B707C"/>
          </w:rPr>
          <w:t>10. Инанна у семи ворот</w:t>
        </w:r>
      </w:hyperlink>
    </w:p>
    <w:p>
      <w:pPr>
        <w:pStyle w:val="ListBullet"/>
      </w:pPr>
      <w:hyperlink w:anchor="chapter_11">
        <w:r>
          <w:rPr>
            <w:color w:val="1B707C"/>
          </w:rPr>
          <w:t>11. Потерпевший кораблекрушение и остров змея</w:t>
        </w:r>
      </w:hyperlink>
    </w:p>
    <w:p>
      <w:pPr>
        <w:pStyle w:val="ListBullet"/>
      </w:pPr>
      <w:hyperlink w:anchor="chapter_12">
        <w:r>
          <w:rPr>
            <w:color w:val="1B707C"/>
          </w:rPr>
          <w:t>12. Синухет между двумя землями</w:t>
        </w:r>
      </w:hyperlink>
    </w:p>
    <w:p>
      <w:r>
        <w:rPr>
          <w:b/>
        </w:rPr>
        <w:t>III. Тропы эпического голоса</w:t>
      </w:r>
    </w:p>
    <w:p>
      <w:pPr>
        <w:pStyle w:val="ListBullet"/>
      </w:pPr>
      <w:hyperlink w:anchor="chapter_13">
        <w:r>
          <w:rPr>
            <w:color w:val="1B707C"/>
          </w:rPr>
          <w:t>13. Гесар: конь, состязание и корона</w:t>
        </w:r>
      </w:hyperlink>
    </w:p>
    <w:p>
      <w:pPr>
        <w:pStyle w:val="ListBullet"/>
      </w:pPr>
      <w:hyperlink w:anchor="chapter_14">
        <w:r>
          <w:rPr>
            <w:color w:val="1B707C"/>
          </w:rPr>
          <w:t>14. Маадай-Кара и сын, возвращённый Алтаю</w:t>
        </w:r>
      </w:hyperlink>
    </w:p>
    <w:p>
      <w:pPr>
        <w:pStyle w:val="ListBullet"/>
      </w:pPr>
      <w:hyperlink w:anchor="chapter_15">
        <w:r>
          <w:rPr>
            <w:color w:val="1B707C"/>
          </w:rPr>
          <w:t>15. Манас: просьба Жакыпа и рождение героя</w:t>
        </w:r>
      </w:hyperlink>
    </w:p>
    <w:p>
      <w:pPr>
        <w:pStyle w:val="ListBullet"/>
      </w:pPr>
      <w:hyperlink w:anchor="chapter_16">
        <w:r>
          <w:rPr>
            <w:color w:val="1B707C"/>
          </w:rPr>
          <w:t>16. Бортэ-Чино и Гоа-Марал: у истока Онона</w:t>
        </w:r>
      </w:hyperlink>
    </w:p>
    <w:p>
      <w:pPr>
        <w:pStyle w:val="ListBullet"/>
      </w:pPr>
      <w:hyperlink w:anchor="chapter_17">
        <w:r>
          <w:rPr>
            <w:color w:val="1B707C"/>
          </w:rPr>
          <w:t>17. Медведь у нивхов: гость тайги</w:t>
        </w:r>
      </w:hyperlink>
    </w:p>
    <w:p>
      <w:pPr>
        <w:pStyle w:val="ListBullet"/>
      </w:pPr>
      <w:hyperlink w:anchor="chapter_18">
        <w:r>
          <w:rPr>
            <w:color w:val="1B707C"/>
          </w:rPr>
          <w:t>18. Худхуд: голос Алигуйуна и память рисовых террас</w:t>
        </w:r>
      </w:hyperlink>
    </w:p>
    <w:p>
      <w:r>
        <w:rPr>
          <w:b/>
        </w:rPr>
        <w:t>IV. Голоса, власть и память</w:t>
      </w:r>
    </w:p>
    <w:p>
      <w:pPr>
        <w:pStyle w:val="ListBullet"/>
      </w:pPr>
      <w:hyperlink w:anchor="chapter_19">
        <w:r>
          <w:rPr>
            <w:color w:val="1B707C"/>
          </w:rPr>
          <w:t>19. Сунджата, лев Мандена</w:t>
        </w:r>
      </w:hyperlink>
    </w:p>
    <w:p>
      <w:pPr>
        <w:pStyle w:val="ListBullet"/>
      </w:pPr>
      <w:hyperlink w:anchor="chapter_20">
        <w:r>
          <w:rPr>
            <w:color w:val="1B707C"/>
          </w:rPr>
          <w:t>20. Мвиндо и барабан, который пережил реку</w:t>
        </w:r>
      </w:hyperlink>
    </w:p>
    <w:p>
      <w:pPr>
        <w:pStyle w:val="ListBullet"/>
      </w:pPr>
      <w:hyperlink w:anchor="chapter_21">
        <w:r>
          <w:rPr>
            <w:color w:val="1B707C"/>
          </w:rPr>
          <w:t>21. Когда небо отступило от земли</w:t>
        </w:r>
      </w:hyperlink>
    </w:p>
    <w:p>
      <w:pPr>
        <w:pStyle w:val="ListBullet"/>
      </w:pPr>
      <w:hyperlink w:anchor="chapter_22">
        <w:r>
          <w:rPr>
            <w:color w:val="1B707C"/>
          </w:rPr>
          <w:t>22. Золотой трон, душа Асанте</w:t>
        </w:r>
      </w:hyperlink>
    </w:p>
    <w:p>
      <w:pPr>
        <w:pStyle w:val="ListBullet"/>
      </w:pPr>
      <w:hyperlink w:anchor="chapter_23">
        <w:r>
          <w:rPr>
            <w:color w:val="1B707C"/>
          </w:rPr>
          <w:t>23. Кумулипо: рождение в глубокой тьме</w:t>
        </w:r>
      </w:hyperlink>
    </w:p>
    <w:p>
      <w:pPr>
        <w:pStyle w:val="ListBullet"/>
      </w:pPr>
      <w:hyperlink w:anchor="chapter_24">
        <w:r>
          <w:rPr>
            <w:color w:val="1B707C"/>
          </w:rPr>
          <w:t>24. Ронгоронго: память, которой мы пока не читаем</w:t>
        </w:r>
      </w:hyperlink>
    </w:p>
    <w:p>
      <w:pPr>
        <w:pStyle w:val="Heading1"/>
      </w:pPr>
      <w:r>
        <w:t>I. Европа: шесть способов помнить мир</w:t>
      </w:r>
    </w:p>
    <w:p>
      <w:pPr>
        <w:jc w:val="center"/>
      </w:pPr>
      <w:r>
        <w:drawing>
          <wp:inline xmlns:a="http://schemas.openxmlformats.org/drawingml/2006/main" xmlns:pic="http://schemas.openxmlformats.org/drawingml/2006/picture">
            <wp:extent cx="4896000" cy="3264000"/>
            <wp:docPr id="2" name="Picture 2"/>
            <wp:cNvGraphicFramePr>
              <a:graphicFrameLocks noChangeAspect="1"/>
            </wp:cNvGraphicFramePr>
            <a:graphic>
              <a:graphicData uri="http://schemas.openxmlformats.org/drawingml/2006/picture">
                <pic:pic>
                  <pic:nvPicPr>
                    <pic:cNvPr id="0" name="01-europe.jpg"/>
                    <pic:cNvPicPr/>
                  </pic:nvPicPr>
                  <pic:blipFill>
                    <a:blip r:embed="rId12"/>
                    <a:stretch>
                      <a:fillRect/>
                    </a:stretch>
                  </pic:blipFill>
                  <pic:spPr>
                    <a:xfrm>
                      <a:off x="0" y="0"/>
                      <a:ext cx="4896000" cy="3264000"/>
                    </a:xfrm>
                    <a:prstGeom prst="rect"/>
                  </pic:spPr>
                </pic:pic>
              </a:graphicData>
            </a:graphic>
          </wp:inline>
        </w:drawing>
      </w:r>
    </w:p>
    <w:p>
      <w:pPr>
        <w:pStyle w:val="Heading2"/>
        <w:pageBreakBefore/>
      </w:pPr>
      <w:bookmarkStart w:id="1" w:name="chapter_1"/>
      <w:r>
        <w:t>1. Утка над первичным морем — коми космогония</w:t>
      </w:r>
      <w:bookmarkEnd w:id="1"/>
    </w:p>
    <w:p>
      <w:r>
        <w:rPr>
          <w:b/>
        </w:rPr>
        <w:t>Традиция:</w:t>
      </w:r>
      <w:r>
        <w:t xml:space="preserve"> коми-зыряне, космогоническая легенда.   </w:t>
      </w:r>
      <w:r>
        <w:rPr>
          <w:b/>
        </w:rPr>
        <w:t>Форма:</w:t>
      </w:r>
      <w:r>
        <w:t xml:space="preserve"> </w:t>
      </w:r>
      <w:r>
        <w:rPr>
          <w:i/>
        </w:rPr>
        <w:t>Пересказ</w:t>
      </w:r>
      <w:r>
        <w:t xml:space="preserve"> конкретной записи Павла Доронина (1923), опубликованной Фёдором Плесовским.   </w:t>
      </w:r>
      <w:r>
        <w:rPr>
          <w:b/>
        </w:rPr>
        <w:t>Опора:</w:t>
      </w:r>
      <w:r>
        <w:t xml:space="preserve"> анализ Павла Лимерова и русскоязычное исследование космогенеза коми.</w:t>
      </w:r>
    </w:p>
    <w:p>
      <w:r>
        <w:t xml:space="preserve">В начале не было берега, острова или дерева, на котором можно было бы остановиться. Была безграничная вода. По ней плавала утка-мать, несшая яйца будущей жизни. Она отложила четыре яйца, но море поглотило часть кладки; только два удалось уберечь. Из них под крылом утки появились два утёнка — Ен и Омоль. В записи Доронина они не просто братья, а два противоположных начала: жизнь и смерть, добро и зло, правда и ложь, день и ночь. </w:t>
      </w:r>
      <w:hyperlink r:id="rId13">
        <w:r>
          <w:rPr>
            <w:color w:val="1B707C"/>
          </w:rPr>
          <w:t>Лимеров, «Some Motifs in Komi Legends about the Creation of the World»</w:t>
        </w:r>
      </w:hyperlink>
    </w:p>
    <w:p>
      <w:r>
        <w:t>Когда братья выросли, мать велела им достать со дна поглощённые яйца и разбить их о её тело. Она взлетела, ударилась о воду и погибла. Ен нырнул первым. Омоль пытался остановить его свистом и криком: поверхность моря замёрзла. Но Ен пробил лёд молнией и вернулся из глубины. Братья разбили найденные яйца о тело утки.</w:t>
      </w:r>
    </w:p>
    <w:p>
      <w:r>
        <w:t>Из яиц, которые разбил Ен, засияло солнце, а тело матери стало расти в длину и ширину. Оно превратилось в землю, покрылось травой и лесом. Из яиц Омоля вышла луна; на земле появились озёра, болота и зыбуны, а вместе с ними — демонические существа. Так мир с самого начала получил не гладкую поверхность, а различие текущей и стоячей воды, света и темноты, безопасного и опасного.</w:t>
      </w:r>
    </w:p>
    <w:p>
      <w:r>
        <w:t>Затем братья вышли из воды и приняли человеческий облик. Ен создал полезных птиц и животных, Омоль — хищников и змей. Вслед за ними появились первые мужчина и женщина. В других коми-зырянских вариантах земля возникает из комка, принесённого ныряющей птицей; эта конкретная запись соединяет мотив ныряния с мотивом космического яйца. Исследователь подчёркивает, что такое соединение необычно и могло быть усилено книжной традицией, знакомой составителям и переписчикам.</w:t>
      </w:r>
    </w:p>
    <w:p>
      <w:r>
        <w:t>По мере творения противоположности не исчезают. Они становятся устройством мира. Ен создаёт реки, Омоль — болота и озёра; Ен помогает человеку охотиться, Омоль вводит в мир животных, опасных для добычи. В финальных мотивах Ен устраивает небо и удаляется наверх, оставляя путь для возвращения, а Омоль оказывается связанным с нижним миром. Это не рассказ о мире, однажды сделанном из ничего, а рассказ о том, как водная беспредельность постепенно приобретает уровни, направления и различимые силы.</w:t>
      </w:r>
    </w:p>
    <w:p>
      <w:r>
        <w:t>В этой композиции особенно заметна роль самой утки-матери. Она не просто рождает две силы, но и становится материалом земли. Мир возникает из утраты: мать погибает, чтобы её тело стало местом жизни. Поэтому творцы не стоят вне природы как мастера, работающие с чужим веществом. Их действие продолжается внутри уже живого тела, а земля сохраняет память о происхождении. Такой образ не следует переносить на всех коми и тем более объявлять научной моделью природы; это смысловой рисунок данной записи.</w:t>
      </w:r>
    </w:p>
    <w:p>
      <w:r>
        <w:t>Такой финал оставляет мир незавершённым и потому живым. В нём есть силы, которые спорят, но также есть лес, вода и человек, продолжающие существовать после ухода творцов.</w:t>
      </w:r>
    </w:p>
    <w:p>
      <w:pPr>
        <w:pStyle w:val="Heading3"/>
      </w:pPr>
      <w:r>
        <w:t>Версия, передача и границы</w:t>
      </w:r>
    </w:p>
    <w:p>
      <w:r>
        <w:t xml:space="preserve">Основа — текст, записанный Павлом Дорониным в 1923 году с коми рукописи из села Прокопьевка; сведения о публикации и сюжет приведены в статье Павла Лимерова </w:t>
      </w:r>
      <w:hyperlink r:id="rId14">
        <w:r>
          <w:rPr>
            <w:color w:val="1B707C"/>
          </w:rPr>
          <w:t>в *Folklore* 76</w:t>
        </w:r>
      </w:hyperlink>
      <w:r>
        <w:t xml:space="preserve">. Сопоставление с исследованием Р. В. Некрасова </w:t>
      </w:r>
      <w:hyperlink r:id="rId15">
        <w:r>
          <w:rPr>
            <w:color w:val="1B707C"/>
          </w:rPr>
          <w:t>«Космогенез в мифологии древних коми-зырян»</w:t>
        </w:r>
      </w:hyperlink>
      <w:r>
        <w:t xml:space="preserve"> помогает не смешивать варианты. Это литературный пересказ, не полный перевод; позднейшие реконструкции «древней религии» не принимаются за прямой голос всех коми.</w:t>
      </w:r>
    </w:p>
    <w:p>
      <w:pPr>
        <w:pStyle w:val="Heading2"/>
        <w:pageBreakBefore/>
      </w:pPr>
      <w:bookmarkStart w:id="2" w:name="chapter_2"/>
      <w:r>
        <w:t>2. Мари: традиция, которая продолжается</w:t>
      </w:r>
      <w:bookmarkEnd w:id="2"/>
    </w:p>
    <w:p>
      <w:r>
        <w:rPr>
          <w:b/>
        </w:rPr>
        <w:t>Традиция:</w:t>
      </w:r>
      <w:r>
        <w:t xml:space="preserve"> марийская традиционная религия.   </w:t>
      </w:r>
      <w:r>
        <w:rPr>
          <w:b/>
        </w:rPr>
        <w:t>Форма:</w:t>
      </w:r>
      <w:r>
        <w:t xml:space="preserve"> </w:t>
      </w:r>
      <w:r>
        <w:rPr>
          <w:i/>
        </w:rPr>
        <w:t>Очерк</w:t>
      </w:r>
      <w:r>
        <w:t xml:space="preserve">, а не пересказ закрытого обряда.   </w:t>
      </w:r>
      <w:r>
        <w:rPr>
          <w:b/>
        </w:rPr>
        <w:t>Опора:</w:t>
      </w:r>
      <w:r>
        <w:t xml:space="preserve"> научная статья Евы Тулузе о непрерывности и обновлении финно-угорских жертвенных традиций.</w:t>
      </w:r>
    </w:p>
    <w:p>
      <w:r>
        <w:t xml:space="preserve">В доступной научной литературе марийская религия предстаёт как живая и меняющаяся практика, а не как застывший набор «древних» правил. Ева Тулузе помещает мари в разговор о сохранении и обновлении традиций и отмечает, что марийские сообщества продолжают существовать в Башкортостане. При этом автор сознательно не расписывает ход церемоний. Это важная граница источника: он фиксирует наличие традиции, её общественный контекст и преемственность, но не превращает молитву или жертвоприношение в инструкцию. </w:t>
      </w:r>
      <w:hyperlink r:id="rId16">
        <w:r>
          <w:rPr>
            <w:color w:val="1B707C"/>
          </w:rPr>
          <w:t>Toulouze, «Continuity and Revitalisation in Sacrificial Traditions»</w:t>
        </w:r>
      </w:hyperlink>
    </w:p>
    <w:p>
      <w:r>
        <w:t>Поэтому здесь нельзя уверенно перечислять универсальные правила каждой священной рощи, называть точное число таких мест или приписывать всем общинам одинаковое устройство. Надёжнее начать с того, что подтверждает научное описание: религиозная жизнь мари связана с конкретными общинами и местами, а её современное существование нельзя описывать только в прошедшем времени.</w:t>
      </w:r>
    </w:p>
    <w:p>
      <w:r>
        <w:t xml:space="preserve">Слово </w:t>
      </w:r>
      <w:r>
        <w:rPr>
          <w:i/>
        </w:rPr>
        <w:t>кÿсото</w:t>
      </w:r>
      <w:r>
        <w:t xml:space="preserve"> часто используют для обозначения священной рощи, однако оно не подменяет весь марийский религиозный мир. Роща — не универсальный «лесной храм» и не единый объект с одинаковым распорядком. Её значение зависит от местной памяти и от того, что именно считается допустимым в данном месте. Научная публикация позволяет говорить о продолжении традиции, но не даёт оснований реконструировать частные нормы конкретной рощи.</w:t>
      </w:r>
    </w:p>
    <w:p>
      <w:r>
        <w:t>Не пересказываются молитвы, состав приношений и порядок действий, которые могут относиться к закрытому знанию. В результате кÿсото предстаёт не декорацией к этнографической сказке, а локальным пространством, существование которого подтверждается продолжающейся жизнью общин.</w:t>
      </w:r>
    </w:p>
    <w:p>
      <w:pPr>
        <w:pStyle w:val="Heading3"/>
      </w:pPr>
      <w:r>
        <w:t>Версия, передача и границы</w:t>
      </w:r>
    </w:p>
    <w:p>
      <w:r>
        <w:t xml:space="preserve">Основной источник — статья Евы Тулузе </w:t>
      </w:r>
      <w:hyperlink r:id="rId16">
        <w:r>
          <w:rPr>
            <w:color w:val="1B707C"/>
          </w:rPr>
          <w:t>«Continuity and Revitalisation in Sacrificial Traditions»</w:t>
        </w:r>
      </w:hyperlink>
      <w:r>
        <w:t xml:space="preserve">, опубликованная в </w:t>
      </w:r>
      <w:r>
        <w:rPr>
          <w:i/>
        </w:rPr>
        <w:t>Folklore: Electronic Journal of Folklore</w:t>
      </w:r>
      <w:r>
        <w:t>. В ней мари упомянуты в контексте продолжающихся традиций, а ход церемоний намеренно не детализирован. Очерк ограничен этим исследовательским контекстом; он не представляет отдельную рощу, конкретное исполнение молитвы или обрядовую последовательность.</w:t>
      </w:r>
    </w:p>
    <w:p>
      <w:pPr>
        <w:pStyle w:val="Heading2"/>
        <w:pageBreakBefore/>
      </w:pPr>
      <w:bookmarkStart w:id="3" w:name="chapter_3"/>
      <w:r>
        <w:t>3. Небесное имя Инмара — удмуртское предание и верование</w:t>
      </w:r>
      <w:bookmarkEnd w:id="3"/>
    </w:p>
    <w:p>
      <w:r>
        <w:rPr>
          <w:b/>
        </w:rPr>
        <w:t>Традиция:</w:t>
      </w:r>
      <w:r>
        <w:t xml:space="preserve"> удмурты; сведения о дохристианском пантеоне и его позднейшем переосмыслении.   </w:t>
      </w:r>
      <w:r>
        <w:rPr>
          <w:b/>
        </w:rPr>
        <w:t>Форма:</w:t>
      </w:r>
      <w:r>
        <w:t xml:space="preserve"> </w:t>
      </w:r>
      <w:r>
        <w:rPr>
          <w:i/>
        </w:rPr>
        <w:t>Очерк</w:t>
      </w:r>
      <w:r>
        <w:t xml:space="preserve">, основанный на доступной научной записи, а не авторская сказка.   </w:t>
      </w:r>
      <w:r>
        <w:rPr>
          <w:b/>
        </w:rPr>
        <w:t>Носитель материала:</w:t>
      </w:r>
      <w:r>
        <w:t xml:space="preserve"> исследовательница Н. И. Шутова, обобщившая полевые и исторические сведения.</w:t>
      </w:r>
    </w:p>
    <w:p>
      <w:r>
        <w:t xml:space="preserve">Инмар в удмуртской картине мира — не обязательно старец на облаке и не персонаж с устойчивой человеческой внешностью. В научном очерке Н. И. Шутовой он описан как главное небесное, неантропоморфное и неперсонифицированное божество. Само имя связывают с небом и небесным; после христианизации оно стало также обозначением христианского Бога. </w:t>
      </w:r>
      <w:hyperlink r:id="rId17">
        <w:r>
          <w:rPr>
            <w:color w:val="1B707C"/>
          </w:rPr>
          <w:t>Н. И. Шутова, «Верования удмуртов»</w:t>
        </w:r>
      </w:hyperlink>
    </w:p>
    <w:p>
      <w:r>
        <w:t>Открытый источник называет Инмара творцом людей и мира, источником всего доброго. Рядом с ним стоит Кылдысин — бог земли и плодородия, покровитель рождения, растений, приплода и благополучия. Такое соседство важно: творение не заканчивается актом небесного начала. Оно продолжается в земле, в урожае и в способности живого воспроизводиться. У северных удмуртов к этому высшему кругу относился и Куазь, связанный с атмосферой и погодой.</w:t>
      </w:r>
    </w:p>
    <w:p>
      <w:r>
        <w:t>Предание об Инмаре здесь не складывается в единый эпизод с началом, серединой и развязкой. Это скорее сеть устойчивых утверждений, собранных этнографами из разных времён и мест. Именно поэтому очерк честнее пересказа: он не приписывает Инмару выдуманную речь и не соединяет разрозненные свидетельства в гладкую сказку. Научное описание подчёркивает, что пантеон реконструирован по данным исследователей и краеведов XVIII–XIX веков, а народная религия позднее стала синкретичной, соединяя дохристианские, православные и местами мусульманские влияния.</w:t>
      </w:r>
    </w:p>
    <w:p>
      <w:r>
        <w:t xml:space="preserve">Связь небесного с земным проявляется и в локальных сакральных местах. Удмуртский </w:t>
      </w:r>
      <w:r>
        <w:rPr>
          <w:i/>
        </w:rPr>
        <w:t>Мудор</w:t>
      </w:r>
      <w:r>
        <w:t xml:space="preserve"> — хозяин родной территории, связанный с деревом и рекой. </w:t>
      </w:r>
      <w:r>
        <w:rPr>
          <w:i/>
        </w:rPr>
        <w:t>Воршуд</w:t>
      </w:r>
      <w:r>
        <w:t xml:space="preserve"> хранит счастье семьи и рода. Эти образы не отменяют Инмара, а показывают, как небесное начало соотносится с конкретной землёй, родством и поколениями. В очерке Шутовой священная роща Луд в Кузебаево относится уже к хозяевам дикой природы; доступ к её ограждённой части ограничен жрецами. Мы не пересказываем порядок молений и приношений, поскольку открытое описание не превращает их в общедоступную церемонию.</w:t>
      </w:r>
    </w:p>
    <w:p>
      <w:r>
        <w:t>Так Инмар остаётся не героем приключения, а именем вертикали: небо, откуда исходит порядок, связано с землёй, где этот порядок становится плодородием, родовой памятью и погодой. Смысл очерка — не реконструировать «чистую» древность, а показать, как имя божества переживает смену религиозных языков и сохраняет место в удмуртском разговоре о мире.</w:t>
      </w:r>
    </w:p>
    <w:p>
      <w:r>
        <w:t>Слово «творец» здесь также требует осторожности. В европейском пересказе оно легко вызывает образ единственного мастера, который завершает работу раз и навсегда. У Шутовой Инмар существует в системе, где земля, плодородие, погода, род и дикая природа имеют собственных носителей силы. Небесное начало не отменяет местных отношений. Оно задаёт высший порядок, но жизнь человека зависит от многих уровней мира и от правильной связи с ними.</w:t>
      </w:r>
    </w:p>
    <w:p>
      <w:r>
        <w:t>Небесное имя оказывается частью истории адаптации, а не музейным ярлыком. Его значение менялось вместе с обществом, сохраняя при этом память о собственном языке мира.</w:t>
      </w:r>
    </w:p>
    <w:p>
      <w:r>
        <w:t>Эта преемственность не означает неизменности. Она показывает, как религиозное имя может пережить перевод, спор и соседство разных конфессий, не превращаясь в неподвижный музейный экспонат.</w:t>
      </w:r>
    </w:p>
    <w:p>
      <w:pPr>
        <w:pStyle w:val="Heading3"/>
      </w:pPr>
      <w:r>
        <w:t>Версия, передача и границы</w:t>
      </w:r>
    </w:p>
    <w:p>
      <w:r>
        <w:t xml:space="preserve">Главный источник — статья Н. И. Шутовой на портале Герценовской библиотеки </w:t>
      </w:r>
      <w:hyperlink r:id="rId17">
        <w:r>
          <w:rPr>
            <w:color w:val="1B707C"/>
          </w:rPr>
          <w:t>«Верования удмуртов (история и современность)»</w:t>
        </w:r>
      </w:hyperlink>
      <w:r>
        <w:t xml:space="preserve">. Это исследовательское обобщение, не запись одного сказителя и не полный перевод мифа. Описание Инмара сопоставлено с академическим исследованием современного употребления образа </w:t>
      </w:r>
      <w:hyperlink r:id="rId18">
        <w:r>
          <w:rPr>
            <w:color w:val="1B707C"/>
          </w:rPr>
          <w:t>*Inmar, the Udmurt God, in Modern Udmurt Literature*</w:t>
        </w:r>
      </w:hyperlink>
      <w:r>
        <w:t>, но детали закрытых молений исключены.</w:t>
      </w:r>
    </w:p>
    <w:p>
      <w:pPr>
        <w:pStyle w:val="Heading2"/>
        <w:pageBreakBefore/>
      </w:pPr>
      <w:bookmarkStart w:id="4" w:name="chapter_4"/>
      <w:r>
        <w:t>4. Белесама и священное место — галльская надпись</w:t>
      </w:r>
      <w:bookmarkEnd w:id="4"/>
    </w:p>
    <w:p>
      <w:r>
        <w:rPr>
          <w:b/>
        </w:rPr>
        <w:t>Традиция:</w:t>
      </w:r>
      <w:r>
        <w:t xml:space="preserve"> континентальные кельты, галльская религиозная эпиграфика.   </w:t>
      </w:r>
      <w:r>
        <w:rPr>
          <w:b/>
        </w:rPr>
        <w:t>Форма:</w:t>
      </w:r>
      <w:r>
        <w:t xml:space="preserve"> </w:t>
      </w:r>
      <w:r>
        <w:rPr>
          <w:i/>
        </w:rPr>
        <w:t>Очерк</w:t>
      </w:r>
      <w:r>
        <w:t xml:space="preserve"> по конкретной вотивной надписи, без вымышленного эпоса.   </w:t>
      </w:r>
      <w:r>
        <w:rPr>
          <w:b/>
        </w:rPr>
        <w:t>Памятник:</w:t>
      </w:r>
      <w:r>
        <w:t xml:space="preserve"> блок из Авиньона, RIG I, G-153 (RIIG VAU-13-01).</w:t>
      </w:r>
    </w:p>
    <w:p>
      <w:r>
        <w:t xml:space="preserve">На камне не сохранился рассказ о путешествии бога и не слышен голос певца. Сохранилось действие, коротко и материально: Сегомарос, сын Виллу, гражданин Нима, посвятил Белесаме священное место. Надпись выполнена галло-греческим письмом и хранится в лапидарном музее Кальве в Авиньоне. Её каталогизированный текст и перевод опубликованы в научной базе Mnamon, посвящённой древним письменным культурам. </w:t>
      </w:r>
      <w:hyperlink r:id="rId19">
        <w:r>
          <w:rPr>
            <w:color w:val="1B707C"/>
          </w:rPr>
          <w:t>Mnamon, «Celtic, Gaulish — Examples of writing»</w:t>
        </w:r>
      </w:hyperlink>
    </w:p>
    <w:p>
      <w:r>
        <w:t xml:space="preserve">Ключевое слово — </w:t>
      </w:r>
      <w:r>
        <w:rPr>
          <w:i/>
        </w:rPr>
        <w:t>nemeton</w:t>
      </w:r>
      <w:r>
        <w:t>. Его обычно понимают как священную рощу или ограждённое священное пространство. Надпись тем самым не описывает мифологический сюжет, а фиксирует отношение человека к месту: он не просто называет богиню, но сообщает о даре, связанном с особым участком. Белесама стоит в дательном падеже. Исследователь Пьер-Ив Ламбер, чей перевод приводит база, сопоставляет её с римской Минервой, но это не означает, что галльская богиня «просто была» римской Минервой. Это пример перевода и религиозного сопоставления в римскую эпоху, а не готовая двуязычная биография.</w:t>
      </w:r>
    </w:p>
    <w:p>
      <w:r>
        <w:t>Имя Сегомароса также несёт информацию. В нём исследователи видят элементы со значениями силы или победы и величия. Формула с именем отца показывает галльский способ назвать человека через происхождение. Указание на Ним — Немаус — добавляет политическую и городскую принадлежность. Камень говорит сразу на нескольких уровнях: о дарителе, его роде, городе и месте, которое он считает священным.</w:t>
      </w:r>
    </w:p>
    <w:p>
      <w:r>
        <w:t>Соседние надписи из той же научной подборки помогают увидеть, как осторожно следует читать галльские памятники. В Ализии Марциал посвящает здание Укуэтису и упоминает кузнецов, почитающих его; раскопанное сооружение, вероятно, связывается с мастерскими и местом культа. Но Белесама не получает от этого автоматически те же функции. У каждой надписи собственный контекст, а галльская религия не дошла до нас как единая книга.</w:t>
      </w:r>
    </w:p>
    <w:p>
      <w:r>
        <w:t>Поэтому эта глава — не «легенда о Белесаме», а очерк одного речевого следа. Из нескольких строк можно узнать имя богини, акт дара, понятие священного пространства и социальный облик дарителя. Нельзя честно восстановить её миф, храмовую службу или представления всех галлов. Камень удерживает не всё прошлое, а только тот фрагмент, который заказчик и мастер сочли нужным высечь.</w:t>
      </w:r>
    </w:p>
    <w:p>
      <w:r>
        <w:t>Надпись важна ещё и тем, что показывает грамотность как социальное действие. Галл не записывает сказание для чтения дома; он заказывает формулу на камне, который должен оставаться видимым. Письмо становится частью дара и одновременно свидетельством личности. Греческий алфавит, галльский язык и римское окружение встречаются в одном памятнике. Такое сочетание не позволяет описывать континентальных кельтов как изолированный мир, не знавший изменений.</w:t>
      </w:r>
    </w:p>
    <w:p>
      <w:r>
        <w:t>Перед нами не портрет богини, а след конкретного решения: посвятить место и закрепить это решение письмом. Именно такая малость делает свидетельство ценным и одновременно ограниченным.</w:t>
      </w:r>
    </w:p>
    <w:p>
      <w:r>
        <w:t>Даже слово «священное» здесь следует читать через акт посвящения, а не через позднюю реконструкцию обряда. Камень сообщает о жесте дара, но молчит о том, что происходило вокруг него.</w:t>
      </w:r>
    </w:p>
    <w:p>
      <w:pPr>
        <w:pStyle w:val="Heading3"/>
      </w:pPr>
      <w:r>
        <w:t>Версия, передача и границы</w:t>
      </w:r>
    </w:p>
    <w:p>
      <w:r>
        <w:t xml:space="preserve">Конкретный памятник — RIG I, G-153, блок из Авиньона; текст, транслитерация, перевод П.-Й. Ламбера и музейные сведения доступны в </w:t>
      </w:r>
      <w:hyperlink r:id="rId19">
        <w:r>
          <w:rPr>
            <w:color w:val="1B707C"/>
          </w:rPr>
          <w:t>Mnamon</w:t>
        </w:r>
      </w:hyperlink>
      <w:r>
        <w:t>. «Минерва» — научная интерпретация соответствия, а не доказательство полного тождества. Эпоса или непрерывного устного предания источник не даёт, поэтому глава сознательно оформлена как очерк.</w:t>
      </w:r>
    </w:p>
    <w:p>
      <w:pPr>
        <w:pStyle w:val="Heading2"/>
        <w:pageBreakBefore/>
      </w:pPr>
      <w:bookmarkStart w:id="5" w:name="chapter_5"/>
      <w:r>
        <w:t>5. Мари у басков: пещеры, записи и пределы сюжета</w:t>
      </w:r>
      <w:bookmarkEnd w:id="5"/>
    </w:p>
    <w:p>
      <w:r>
        <w:rPr>
          <w:b/>
        </w:rPr>
        <w:t>Традиция:</w:t>
      </w:r>
      <w:r>
        <w:t xml:space="preserve"> баскская мифологическая и легендарная традиция.   </w:t>
      </w:r>
      <w:r>
        <w:rPr>
          <w:b/>
        </w:rPr>
        <w:t>Форма:</w:t>
      </w:r>
      <w:r>
        <w:t xml:space="preserve"> </w:t>
      </w:r>
      <w:r>
        <w:rPr>
          <w:i/>
        </w:rPr>
        <w:t>Очерк</w:t>
      </w:r>
      <w:r>
        <w:t xml:space="preserve"> о традиции и её этнографической передаче.   </w:t>
      </w:r>
      <w:r>
        <w:rPr>
          <w:b/>
        </w:rPr>
        <w:t>Опора:</w:t>
      </w:r>
      <w:r>
        <w:t xml:space="preserve"> корпус этнографа Хосе Мигеля де Барандиарана.</w:t>
      </w:r>
    </w:p>
    <w:p>
      <w:r>
        <w:t xml:space="preserve">Мари — одно из имён, через которые в баскской этнографии описываются женские сверхъестественные персонажи, связанные с горами и пещерами. Но научная публикация не даёт единого «канонического мифа» с фиксированным набором приключений. Сборник Барандиарана основан на интервью, раскопках и наблюдениях в сельской Стране Басков; он соединяет материалы о мифологии и обычаях, сохраняя их локальный характер. </w:t>
      </w:r>
      <w:hyperlink r:id="rId20">
        <w:r>
          <w:rPr>
            <w:color w:val="1B707C"/>
          </w:rPr>
          <w:t>Barandiaran, *Selected Writings*</w:t>
        </w:r>
      </w:hyperlink>
    </w:p>
    <w:p>
      <w:r>
        <w:t>Доступное университетское описание прежде всего объясняет происхождение собрания: перед нами работа этнографа, а не одна книга, которую все носители традиции считали каноном. Между местным рассказом и печатной страницей находятся запись, отбор материала и перевод. Эти посредники помогают сохранить свидетельство, но не отменяют различий между селениями и рассказчиками.</w:t>
      </w:r>
    </w:p>
    <w:p>
      <w:r>
        <w:t>Пещера в этом материале — не автоматически «дом богини» в единственном смысле, а часть географии рассказов и местных представлений. Имя Мари может связываться с разными местами, формами и функциями; один эпизод не описывает всю баскскую религию. Отдельный локальный рассказ следует читать вместе с местом записи и обстоятельствами передачи, а не превращать в обязательное учение всех басков.</w:t>
      </w:r>
    </w:p>
    <w:p>
      <w:pPr>
        <w:pStyle w:val="Heading3"/>
      </w:pPr>
      <w:r>
        <w:t>Версия, передача и границы</w:t>
      </w:r>
    </w:p>
    <w:p>
      <w:r>
        <w:t xml:space="preserve">Использован университетский репозиторий </w:t>
      </w:r>
      <w:hyperlink r:id="rId20">
        <w:r>
          <w:rPr>
            <w:color w:val="1B707C"/>
          </w:rPr>
          <w:t>University of Nevada, *Selected Writings of José Miguel de Barandiarán*</w:t>
        </w:r>
      </w:hyperlink>
      <w:r>
        <w:t>. Использовано открытое описание этнографического собрания; оно не приравнивается к прочтению всех записанных вариантов. Здесь нет пересказа одного полевого рассказа, поэтому конкретный информант или архивный номер не приписаны общему очерку.</w:t>
      </w:r>
    </w:p>
    <w:p>
      <w:pPr>
        <w:pStyle w:val="Heading2"/>
        <w:pageBreakBefore/>
      </w:pPr>
      <w:bookmarkStart w:id="6" w:name="chapter_6"/>
      <w:r>
        <w:t>6. Розафа и стена Шкодры</w:t>
      </w:r>
      <w:bookmarkEnd w:id="6"/>
    </w:p>
    <w:p>
      <w:r>
        <w:rPr>
          <w:b/>
        </w:rPr>
        <w:t>Традиция:</w:t>
      </w:r>
      <w:r>
        <w:t xml:space="preserve"> албанская балладная и легендарная традиция, связанная со Шкодрой.   </w:t>
      </w:r>
      <w:r>
        <w:rPr>
          <w:b/>
        </w:rPr>
        <w:t>Форма:</w:t>
      </w:r>
      <w:r>
        <w:t xml:space="preserve"> </w:t>
      </w:r>
      <w:r>
        <w:rPr>
          <w:i/>
        </w:rPr>
        <w:t>Очерк</w:t>
      </w:r>
      <w:r>
        <w:t xml:space="preserve"> об истории имени и мотива замурованной женщины.   </w:t>
      </w:r>
      <w:r>
        <w:rPr>
          <w:b/>
        </w:rPr>
        <w:t>Опора:</w:t>
      </w:r>
      <w:r>
        <w:t xml:space="preserve"> открытая научная статья Ригелса Халили.</w:t>
      </w:r>
    </w:p>
    <w:p>
      <w:r>
        <w:t xml:space="preserve">Ригелс Халили показывает, что сначала нужно различать имя крепости, письменные свидетельства и устные баллады. В статье прослеживается форма </w:t>
      </w:r>
      <w:r>
        <w:rPr>
          <w:i/>
        </w:rPr>
        <w:t>Rosaf</w:t>
      </w:r>
      <w:r>
        <w:t xml:space="preserve"> в письменных источниках: самое раннее из приведённых свидетельств относится к 1215 году, а изменение </w:t>
      </w:r>
      <w:r>
        <w:rPr>
          <w:i/>
        </w:rPr>
        <w:t>s</w:t>
      </w:r>
      <w:r>
        <w:t xml:space="preserve"> на </w:t>
      </w:r>
      <w:r>
        <w:rPr>
          <w:i/>
        </w:rPr>
        <w:t>z</w:t>
      </w:r>
      <w:r>
        <w:t xml:space="preserve"> связано с историей современного албанского языка. </w:t>
      </w:r>
      <w:hyperlink r:id="rId21">
        <w:r>
          <w:rPr>
            <w:color w:val="1B707C"/>
          </w:rPr>
          <w:t>Halili, «A Few Remarks on the Name Rozafa»</w:t>
        </w:r>
      </w:hyperlink>
    </w:p>
    <w:p>
      <w:r>
        <w:t>Связь названия с легендой появляется у Марина Барлетия в книге, опубликованной в Венеции в 1504 году. В пересказе Халили это рассказ о брате Розе и сестре Фа, от которых крепость получает имя. Это отличается от позднейшей популярной схемы с тремя братьями-строителями и женщиной, замурованной в основание. Нельзя смешивать версии и выдавать одну за непрерывную древнюю запись.</w:t>
      </w:r>
    </w:p>
    <w:p>
      <w:r>
        <w:t xml:space="preserve">Халили подчёркивает, что в большинстве албанских песен о замуровывании, собранных с конца XIX века, женщина остаётся без имени. В публикации баллады </w:t>
      </w:r>
      <w:r>
        <w:rPr>
          <w:i/>
        </w:rPr>
        <w:t>Rozafat</w:t>
      </w:r>
      <w:r>
        <w:t xml:space="preserve"> у Бернардина Палая и Доната Курти (1937) безымянны все герои. Имя Розафа как имя женщины не является универсальным. Поэтому популярная детализация — глаз, рука, грудь и нога, оставленные в стене для ребёнка, — не должна считаться частью каждой албанской версии.</w:t>
      </w:r>
    </w:p>
    <w:p>
      <w:r>
        <w:t>Источник позволяет говорить о двух слоях: письменной истории топонима и балладном мотиве замуровывания. Он не подтверждает археологическую историю строительства крепости и не превращает легенду в объяснение всех её перестроек.</w:t>
      </w:r>
    </w:p>
    <w:p>
      <w:pPr>
        <w:pStyle w:val="Heading3"/>
      </w:pPr>
      <w:r>
        <w:t>Версия, передача и границы</w:t>
      </w:r>
    </w:p>
    <w:p>
      <w:r>
        <w:t xml:space="preserve">Основной источник — открытая статья Ригелса Халили, опубликованная Институтом славистики Польской академии наук в </w:t>
      </w:r>
      <w:r>
        <w:rPr>
          <w:i/>
        </w:rPr>
        <w:t>Slavia Meridionalis</w:t>
      </w:r>
      <w:r>
        <w:t xml:space="preserve"> 24 (2024): </w:t>
      </w:r>
      <w:hyperlink r:id="rId21">
        <w:r>
          <w:rPr>
            <w:color w:val="1B707C"/>
          </w:rPr>
          <w:t>DOI 10.11649/sm.3304</w:t>
        </w:r>
      </w:hyperlink>
      <w:r>
        <w:t>. Глава различает историю топонима, свидетельство Барлетия и балладные версии; подробности отдельного популярного пересказа не используются как универсальный вариант.</w:t>
      </w:r>
    </w:p>
    <w:p>
      <w:pPr>
        <w:pStyle w:val="Heading1"/>
      </w:pPr>
      <w:r>
        <w:t>II. Царства между небом и землёй</w:t>
      </w:r>
    </w:p>
    <w:p>
      <w:pPr>
        <w:jc w:val="center"/>
      </w:pPr>
      <w:r>
        <w:drawing>
          <wp:inline xmlns:a="http://schemas.openxmlformats.org/drawingml/2006/main" xmlns:pic="http://schemas.openxmlformats.org/drawingml/2006/picture">
            <wp:extent cx="4896000" cy="3264000"/>
            <wp:docPr id="3" name="Picture 3"/>
            <wp:cNvGraphicFramePr>
              <a:graphicFrameLocks noChangeAspect="1"/>
            </wp:cNvGraphicFramePr>
            <a:graphic>
              <a:graphicData uri="http://schemas.openxmlformats.org/drawingml/2006/picture">
                <pic:pic>
                  <pic:nvPicPr>
                    <pic:cNvPr id="0" name="02-ancient.jpg"/>
                    <pic:cNvPicPr/>
                  </pic:nvPicPr>
                  <pic:blipFill>
                    <a:blip r:embed="rId22"/>
                    <a:stretch>
                      <a:fillRect/>
                    </a:stretch>
                  </pic:blipFill>
                  <pic:spPr>
                    <a:xfrm>
                      <a:off x="0" y="0"/>
                      <a:ext cx="4896000" cy="3264000"/>
                    </a:xfrm>
                    <a:prstGeom prst="rect"/>
                  </pic:spPr>
                </pic:pic>
              </a:graphicData>
            </a:graphic>
          </wp:inline>
        </w:drawing>
      </w:r>
    </w:p>
    <w:p>
      <w:pPr>
        <w:pStyle w:val="Heading2"/>
        <w:pageBreakBefore/>
      </w:pPr>
      <w:bookmarkStart w:id="7" w:name="chapter_7"/>
      <w:r>
        <w:t>7. Этана и орёл</w:t>
      </w:r>
      <w:bookmarkEnd w:id="7"/>
    </w:p>
    <w:p>
      <w:r>
        <w:rPr>
          <w:i/>
        </w:rPr>
        <w:t>Месопотамия, аккадская эпическая традиция · Очерк с кратким изложением сюжета</w:t>
      </w:r>
    </w:p>
    <w:p>
      <w:r>
        <w:t>Царь Киша Этана не имеет ребёнка. Власть уже принадлежит ему, но продолжение царского дома остаётся под вопросом. За растением рождения ему предстоит отправиться туда, куда человек не может подняться сам. Так начинается одна из двух историй, соединённых в аккадском эпосе. Другая принадлежит змее и орлу.</w:t>
      </w:r>
    </w:p>
    <w:p>
      <w:r>
        <w:t xml:space="preserve">Орёл нарушает клятву и навлекает на себя гнев Шамаша. Бог обрекает его на яму. Птица, способная пересекать огромное пространство, оказывается лишена собственной стихии: путь вверх для неё закрыт. Именно здесь её судьба встречается с царской. Этана спасает орла, а тот в благодарность несёт его на небо за растением рождения. Так сюжет изложен во введении к научному изданию </w:t>
      </w:r>
      <w:hyperlink r:id="rId23">
        <w:r>
          <w:rPr>
            <w:color w:val="1B707C"/>
          </w:rPr>
          <w:t>Electronic Babylonian Library, «Etana»</w:t>
        </w:r>
      </w:hyperlink>
      <w:r>
        <w:t>.</w:t>
      </w:r>
    </w:p>
    <w:p>
      <w:r>
        <w:t>Рассказ связывает царскую нужду с судьбой виновного существа. Этане нужен помощник, но помощником становится не безупречная небесная птица: орёл сам нуждался в спасении. Полёт возникает из этой встречи. При этом краткая академическая справка не даёт права расписать каждый поворот восхождения или придумать благополучную развязку.</w:t>
      </w:r>
    </w:p>
    <w:p>
      <w:r>
        <w:t>История текста сложнее одной целой таблички. Самые ранние сохранившиеся рукописи происходят из Вавилонии и Сузы первой половины II тысячелетия до нашей эры. Есть более поздние ассирийские свидетельства, а в библиотеках Ашшурбанапала в Ниневии находилось не менее трёх комплектов. Их объём и формулировки существенно расходятся. Многие части эпоса известны лишь фрагментарно.</w:t>
      </w:r>
    </w:p>
    <w:p>
      <w:r>
        <w:t>Есть и другой след Этаны. Шумерский царский список называет его пастухом, поднявшимся на небо, и упоминает сына и преемника Балиха. Но это отдельное свидетельство: оно не заменяет утраченного конца эпоса. Мы можем поставить два текста рядом, не заставляя один договорить другой.</w:t>
      </w:r>
    </w:p>
    <w:p>
      <w:r>
        <w:t>Для этой книги Этана остаётся царём, чья дорога направлена вверх, а рассказ о нём — произведением, дошедшим неравномерно. Его путешествие не повторяет поиски возвращающейся юности Гильгамеша из первого тома. Здесь другое растение, другая нужда и другая связь человека с помощником.</w:t>
      </w:r>
    </w:p>
    <w:p>
      <w:pPr>
        <w:pStyle w:val="Heading3"/>
      </w:pPr>
      <w:r>
        <w:t>Версия, передача и границы</w:t>
      </w:r>
    </w:p>
    <w:p>
      <w:r>
        <w:t xml:space="preserve">Глава опирается на открытое введение </w:t>
      </w:r>
      <w:hyperlink r:id="rId23">
        <w:r>
          <w:rPr>
            <w:color w:val="1B707C"/>
          </w:rPr>
          <w:t>EBL, I.9 Etana</w:t>
        </w:r>
      </w:hyperlink>
      <w:r>
        <w:t>, где приведены сюжетное ядро, история рукописей и библиография изданий. Это очерк по академическому описанию, не перевод полного эпоса и не пересказ одной целой рукописи. Подробности ловушки для орла, виды земли с высоты и утраченные сцены здесь не реконструированы. Упоминание Балиха относится к царскому списку, а не выдано за сохранившуюся развязку эпического полёта.</w:t>
      </w:r>
    </w:p>
    <w:p>
      <w:pPr>
        <w:pStyle w:val="Heading2"/>
        <w:pageBreakBefore/>
      </w:pPr>
      <w:bookmarkStart w:id="8" w:name="chapter_8"/>
      <w:r>
        <w:t>8. Анзу и Скрижаль судеб</w:t>
      </w:r>
      <w:bookmarkEnd w:id="8"/>
    </w:p>
    <w:p>
      <w:r>
        <w:rPr>
          <w:i/>
        </w:rPr>
        <w:t>Ассирийская традиция и история её изучения · Очерк</w:t>
      </w:r>
    </w:p>
    <w:p>
      <w:r>
        <w:t>У входа в храм Нинурты в Кальху когда-то находились два зеркальных изображения одной схватки. Огромная фигура бога наступала на существо с телом льва и орлиными чертами. Оно оборачивалось к преследователю, разинув пасть и выставив когти. В руках бога были молнии, при нём — другое оружие. В XIX веке один из рельефов отправили в Британский музей; второй известен по рисунку, сделанному во время раскопок.</w:t>
      </w:r>
    </w:p>
    <w:p>
      <w:r>
        <w:t xml:space="preserve">Музейно-академический проект </w:t>
      </w:r>
      <w:hyperlink r:id="rId24">
        <w:r>
          <w:rPr>
            <w:color w:val="1B707C"/>
          </w:rPr>
          <w:t>ORACC/Nimrud</w:t>
        </w:r>
      </w:hyperlink>
      <w:r>
        <w:t xml:space="preserve"> связывает изображение с кульминацией эпоса об Анзу. Нинурта побеждает противника и возвращает богам Скрижаль судеб. Утраченный предмет — не просто сокровище. В музейном толковании он хранит решения богов о будущем; его возвращение соединяет победу с восстановлением божественного распоряжения.</w:t>
      </w:r>
    </w:p>
    <w:p>
      <w:r>
        <w:t>Сам Анзу гораздо старше ассирийского рельефа. Он встречается в клинописной культуре уже в III тысячелетии до нашей эры. В шумерских произведениях это дикое существо гор, в изображениях оно может быть укрощено богами. Поэтому перед нами не персонаж с одной неизменной биографией, а образ, который переходил между произведениями и художественными задачами.</w:t>
      </w:r>
    </w:p>
    <w:p>
      <w:r>
        <w:t>В Кальху схватка находилась у важного храмового входа. Проект ORACC обращает внимание на связь военной силы с учёностью: Нинурта должен действовать не одной мощью, но и разумом. Ассирийские придворные учёные, толковавшие божественные знаки, помогали царю обосновывать решения о войне. В таком окружении сцена говорила не только о победе над чудовищем.</w:t>
      </w:r>
    </w:p>
    <w:p>
      <w:r>
        <w:t>Однако современный зритель не сразу научился читать её так. После раскопок рельеф долго называли борьбой Мардука с Тиамат. Знакомый по другим текстам сюжет словно подставили на место неизвестного имени. Даже надписи храма, позволившие определить его принадлежность Нинурте, не решили вопрос обо всех участниках изображения.</w:t>
      </w:r>
    </w:p>
    <w:p>
      <w:r>
        <w:t>Лишь постепенное изучение текстов, иконографии и самого имени Анзу позволило развести разные сюжеты. В этой главе путь памятника важен наравне с изображённой победой: рельеф сохранялся, но его смысл меняли подписи и ожидания читателей. Надёжное имя оказалось результатом исследования, а не свойством первой музейной этикетки.</w:t>
      </w:r>
    </w:p>
    <w:p>
      <w:pPr>
        <w:pStyle w:val="Heading3"/>
      </w:pPr>
      <w:r>
        <w:t>Версия, передача и границы</w:t>
      </w:r>
    </w:p>
    <w:p>
      <w:r>
        <w:t xml:space="preserve">Основа — </w:t>
      </w:r>
      <w:hyperlink r:id="rId24">
        <w:r>
          <w:rPr>
            <w:color w:val="1B707C"/>
          </w:rPr>
          <w:t>ORACC/Nimrud, «Anzu»</w:t>
        </w:r>
      </w:hyperlink>
      <w:r>
        <w:t>, исследовательский очерк о рельефе из храма Нинурты, созданного в IX веке до нашей эры, и истории его атрибуции. Здесь дано только то сюжетное ядро, которое описывает эта публикация: победа Нинурты и возвращение Скрижали. Глава не выдаётся за полный перевод эпоса или одну из его табличек. Дворцовая служба Анзу, последовательность кражи и подробности сражения без отдельной текстовой опоры не добавлены. Анзу и Тиамат не отождествляются.</w:t>
      </w:r>
    </w:p>
    <w:p>
      <w:pPr>
        <w:pStyle w:val="Heading2"/>
        <w:pageBreakBefore/>
      </w:pPr>
      <w:bookmarkStart w:id="9" w:name="chapter_9"/>
      <w:r>
        <w:t>9. Адапа и Южный ветер</w:t>
      </w:r>
      <w:bookmarkEnd w:id="9"/>
    </w:p>
    <w:p>
      <w:r>
        <w:rPr>
          <w:i/>
        </w:rPr>
        <w:t>Месопотамские версии предания о мудреце · Очерк с кратким изложением сюжета</w:t>
      </w:r>
    </w:p>
    <w:p>
      <w:r>
        <w:t>В предании об Адапе слово способно вмешиваться в устройство мира. Первый допотопный мудрец, которому приписывали передачу людям цивилизации, проклятием ломает крыло Южному ветру. Затем ему приходится подняться на небо и отвечать за случившееся. Мудрость не освобождает его от суда.</w:t>
      </w:r>
    </w:p>
    <w:p>
      <w:r>
        <w:t xml:space="preserve">Так сюжет представлен в научном введении </w:t>
      </w:r>
      <w:hyperlink r:id="rId25">
        <w:r>
          <w:rPr>
            <w:color w:val="1B707C"/>
          </w:rPr>
          <w:t>Electronic Babylonian Library, «Adapa»</w:t>
        </w:r>
      </w:hyperlink>
      <w:r>
        <w:t>. Покровитель мудреца Эа даёт ему наставления. Следуя им, Адапа избегает осуждения, но одновременно упускает возможность получить бессмертие. На этом краткое изложение можно остановить: источник удерживает главное противоречие, не требуя от нас придумывать мысли героя или безусловно объяснять замысел Эа.</w:t>
      </w:r>
    </w:p>
    <w:p>
      <w:r>
        <w:t xml:space="preserve">Адапа умеет действовать речью, однако не получает полного контроля над своей судьбой. Его знание действенно, а не бесполезно: наставления спасают от обвинения. Но спасение не означает преодоления смертности. Академическое описание допускает чтение произведения как объяснения искусства заклинателя — </w:t>
      </w:r>
      <w:r>
        <w:rPr>
          <w:i/>
        </w:rPr>
        <w:t>ашипу</w:t>
      </w:r>
      <w:r>
        <w:t>, который устраняет зло у больного силой слов, поддержанных божеством. Это исследовательское толкование, а не инструкция к древнему лечению.</w:t>
      </w:r>
    </w:p>
    <w:p>
      <w:r>
        <w:t>У предания несколько языковых и рукописных форм. Ранние письменные версии относятся к началу II тысячелетия до нашей эры. Среди них — хорошо сохранившийся шумерский текст из Метурана и фрагменты из Ниппура. Первое известное аккадское свидетельство, сокращённое для учебного чтения, происходит из Амарны XIV века до нашей эры. Поздние фрагменты найдены главным образом в царских библиотеках Ниневии.</w:t>
      </w:r>
    </w:p>
    <w:p>
      <w:r>
        <w:t>Такая передача меняет наше чтение. Произведение существовало не в одной книге, которую достаточно раскрыть на нужной странице. Оно переписывалось, сокращалось и переходило между языками. Общий сюжет узнаваем, но это не даёт права объявить каждую популярную подробность принадлежностью всех его редакций.</w:t>
      </w:r>
    </w:p>
    <w:p>
      <w:r>
        <w:t>Эта глава сохраняет ясную линию: действие слова, небесная ответственность, помощь Эа и упущенное бессмертие. Предел человеческого знания здесь виден особенно остро именно потому, что Адапа действительно мудр. Он не невежда, наказанный за глупость, и не герой, получивший власть над всем устройством мира.</w:t>
      </w:r>
    </w:p>
    <w:p>
      <w:pPr>
        <w:pStyle w:val="Heading3"/>
      </w:pPr>
      <w:r>
        <w:t>Версия, передача и границы</w:t>
      </w:r>
    </w:p>
    <w:p>
      <w:r>
        <w:t xml:space="preserve">Основа — открытое введение </w:t>
      </w:r>
      <w:hyperlink r:id="rId25">
        <w:r>
          <w:rPr>
            <w:color w:val="1B707C"/>
          </w:rPr>
          <w:t>EBL, I.7 Adapa</w:t>
        </w:r>
      </w:hyperlink>
      <w:r>
        <w:t>, содержащее сюжетное ядро, сведения о шумерских и аккадских версиях и научную библиографию. Это очерк по академическому описанию, не перевод одной полной редакции. Пир у Ану, детали небесных врат и точные наставления Эа не пересказываются по памяти и не соединяются из разных версий. Толкование об искусстве ашипу обозначено как возможное исследовательское чтение.</w:t>
      </w:r>
    </w:p>
    <w:p>
      <w:pPr>
        <w:pStyle w:val="Heading2"/>
        <w:pageBreakBefore/>
      </w:pPr>
      <w:bookmarkStart w:id="10" w:name="chapter_10"/>
      <w:r>
        <w:t>10. Инанна у семи ворот</w:t>
      </w:r>
      <w:bookmarkEnd w:id="10"/>
    </w:p>
    <w:p>
      <w:r>
        <w:rPr>
          <w:i/>
        </w:rPr>
        <w:t>Шумерская традиция · Пересказ</w:t>
      </w:r>
    </w:p>
    <w:p>
      <w:r>
        <w:t xml:space="preserve">Инанна, госпожа Урука, решила спуститься в нижний мир. В шумерской версии это не путешествие аккадской Иштар: позднее имена и образы соотносились, но здесь сохраняется именно Инанна, её сестра Эрешкигаль и шумерский текст </w:t>
      </w:r>
      <w:hyperlink r:id="rId26">
        <w:r>
          <w:rPr>
            <w:color w:val="1B707C"/>
          </w:rPr>
          <w:t>ETCSL, «Inana’s descent to the nether world»</w:t>
        </w:r>
      </w:hyperlink>
      <w:r>
        <w:t>. Перед дорогой Инанна оставила свои храмы и собрала семь божественных сил. Она надела головной убор, ожерелье из лазурита, нагрудные украшения, платье владычицы и держала в руках мерную трость и мерную верёвку.</w:t>
      </w:r>
    </w:p>
    <w:p>
      <w:r>
        <w:t>Своей служительнице Ниншубур она поручила ждать. Если Инанна не вернётся, Ниншубур должна была оплакать её на холмах развалин, ударить в барабан святилища и просить помощи у Энлиля, Нанны, а затем Энки. Инанна заранее знала: дорога ведёт в страну, откуда путник не возвращается обычным способом.</w:t>
      </w:r>
    </w:p>
    <w:p>
      <w:r>
        <w:t>У ворот её встретил привратник Нети. Инанна назвала себя и сказала, что пришла совершить погребальные обряды для Гугал-аны, мужа своей старшей сестры. Эрешкигаль приказала открыть семь ворот по очереди, но велела, чтобы на каждом пороге с Инанны снимали одну из её принадлежностей.</w:t>
      </w:r>
    </w:p>
    <w:p>
      <w:r>
        <w:t>У первых ворот с Инанны сняли головной убор. Затем, от ворот к воротам, она лишалась бус, нагрудных украшений, кольца, мерной трости с верёвкой и платья владычицы. В одном из рукописных добавлений трость и верёвка отнимаются уже у первого входа; это разночтение не превращается здесь в отдельный восьмой порог. Каждый раз Инанна спрашивала, почему с неё снимают вещь. Ответ оставался одним: таковы обычаи нижнего мира, и спорить с ними нельзя. Дорога превращала богиню, привыкшую распоряжаться, в путницу, лишённую своих знаков.</w:t>
      </w:r>
    </w:p>
    <w:p>
      <w:r>
        <w:t>Когда Инанна предстала перед Эрешкигаль и собрались судьи Ануннаки, она села на место сестры. Этого оказалось достаточно, чтобы порядок нижнего мира обернулся против неё. Судьи вынесли решение, и Инанна стала телом без жизни. Эрешкигаль подвесила её на крюк. Текст говорит об этом прямо и не смягчает смерть метафорой сна.</w:t>
      </w:r>
    </w:p>
    <w:p>
      <w:r>
        <w:t>После трёх дней и трёх ночей Ниншубур исполнила наказ госпожи. Энлиль и Нанна не помогли, но Энки услышал просьбы. Он создал маленьких существ, которые должны были войти в нижний мир, повторять скорбь Эрешкигаль и принять от неё дар. Они отозвались на страдания Эрешкигаль и, когда та предложила дар, попросили тело Инанны. Получив его, они оживили богиню водой и растением жизни.</w:t>
      </w:r>
    </w:p>
    <w:p>
      <w:r>
        <w:t>Но возвращение не было свободным. За живого, вышедшего из нижнего мира, требовали заместителя. Инанну сопровождали демоны; они искали того, кто останется вместо неё. В конце её супруг Думузи оказался назван заменой, хотя текст продолжает через слёзы и вмешательство Уту смягчать окончательную судьбу. Думузи и его сестра Гештинанна должны были делить время между нижним миром и возвращением.</w:t>
      </w:r>
    </w:p>
    <w:p>
      <w:r>
        <w:t>Инанна вернулась, но граница не исчезла. Шумерская поэма оставляет её не дверью, которую можно запереть, а договором, оплачиваемым чьей-то жизнью.</w:t>
      </w:r>
    </w:p>
    <w:p>
      <w:pPr>
        <w:pStyle w:val="Heading3"/>
      </w:pPr>
      <w:r>
        <w:t>Версия, передача и границы</w:t>
      </w:r>
    </w:p>
    <w:p>
      <w:r>
        <w:t xml:space="preserve">Это пересказ шумерской составной поэмы в переводе </w:t>
      </w:r>
      <w:hyperlink r:id="rId26">
        <w:r>
          <w:rPr>
            <w:color w:val="1B707C"/>
          </w:rPr>
          <w:t>ETCSL Oxford</w:t>
        </w:r>
      </w:hyperlink>
      <w:r>
        <w:t xml:space="preserve">, 412 строк. Страница отмечает добавления отдельных рукописей и фрагментарные места; они не заполнены в главе. Для разграничения версий использован комментарий </w:t>
      </w:r>
      <w:hyperlink r:id="rId27">
        <w:r>
          <w:rPr>
            <w:color w:val="1B707C"/>
          </w:rPr>
          <w:t>ORACC об Инанне/Иштар</w:t>
        </w:r>
      </w:hyperlink>
      <w:r>
        <w:t xml:space="preserve"> и описание краткой аккадской </w:t>
      </w:r>
      <w:r>
        <w:rPr>
          <w:i/>
        </w:rPr>
        <w:t>Descent of Ištar</w:t>
      </w:r>
      <w:r>
        <w:t xml:space="preserve"> в </w:t>
      </w:r>
      <w:hyperlink r:id="rId28">
        <w:r>
          <w:rPr>
            <w:color w:val="1B707C"/>
          </w:rPr>
          <w:t>EBL</w:t>
        </w:r>
      </w:hyperlink>
      <w:r>
        <w:t>. Здесь не смешиваются шумерская Инанна и аккадская Иштар; аккадская поэма не пересказывается.</w:t>
      </w:r>
    </w:p>
    <w:p>
      <w:pPr>
        <w:pStyle w:val="Heading2"/>
        <w:pageBreakBefore/>
      </w:pPr>
      <w:bookmarkStart w:id="11" w:name="chapter_11"/>
      <w:r>
        <w:t>11. Потерпевший кораблекрушение и остров змея</w:t>
      </w:r>
      <w:bookmarkEnd w:id="11"/>
    </w:p>
    <w:p>
      <w:r>
        <w:rPr>
          <w:i/>
        </w:rPr>
        <w:t>Египет, литература Среднего царства · Пересказ</w:t>
      </w:r>
    </w:p>
    <w:p>
      <w:r>
        <w:t xml:space="preserve">Рассказ начинается не на волшебном острове, а после возвращения из плавания. Спутник обращается к начальнику, которому предстоит разговор с царём. Спутник пытается его успокоить и говорит, что сам уже пережил беду. Так возникает история внутри истории: пережитое морем становится способом вернуть другому человеку мужество. Открытый корпус с транслитерацией и английской передачей текста доступен в </w:t>
      </w:r>
      <w:hyperlink r:id="rId29">
        <w:r>
          <w:rPr>
            <w:color w:val="1B707C"/>
          </w:rPr>
          <w:t>Egyptian texts corpus</w:t>
        </w:r>
      </w:hyperlink>
      <w:r>
        <w:t xml:space="preserve">; UCL относит произведение к рассказам Среднего царства, но отмечает, что полного перевода на своей странице не публикует </w:t>
      </w:r>
      <w:hyperlink r:id="rId30">
        <w:r>
          <w:rPr>
            <w:color w:val="1B707C"/>
          </w:rPr>
          <w:t>Digital Egypt</w:t>
        </w:r>
      </w:hyperlink>
      <w:r>
        <w:t>.</w:t>
      </w:r>
    </w:p>
    <w:p>
      <w:r>
        <w:t>Рассказчик был среди людей на большом судне, направлявшемся в царский горнорудный район. Экипаж насчитывал много опытных моряков, привыкших к ветру и воде. Но море не уважает уверенность. Поднялась буря, поднялась огромная волна, и корабль разбился. Один за другим спутники исчезали в воде. Рассказчик держался за обломок и долго плыл, пока течение не вынесло его на берег незнакомой земли.</w:t>
      </w:r>
    </w:p>
    <w:p>
      <w:r>
        <w:t>Три дня он лежал на песке, слишком слабый, чтобы искать пищу. Затем он поднялся искать пищу. Там были деревья, плоды, вода и следы животных. Он разжёг огонь и принёс жертву богам, благодарный за то, что остался жив. Но остров не был пуст: перед ним появился огромный змей, тело которого сияло и казалось покрытым дорогими камнями.</w:t>
      </w:r>
    </w:p>
    <w:p>
      <w:r>
        <w:t>Змей заговорил человеческим голосом и спросил, кто принёс его сюда. Моряк не сумел сразу ответить: он лежал на земле и думал, что смерть уже близка. Змей поднял его, перенёс в своё жилище и не причинил вреда. Оставшись невредимым, гость смог рассказать о своём корабле и буре.</w:t>
      </w:r>
    </w:p>
    <w:p>
      <w:r>
        <w:t>Когда страх отступил, змей рассказал о судьбе острова. Некогда здесь жили его родные — сыновья и дочери, — но огонь с неба уничтожил их. Только он остался. Он не просил моряка расследовать гибель семьи и не превращал гостя в спасителя. Он просто объяснил, почему остров населяется одним голосом.</w:t>
      </w:r>
    </w:p>
    <w:p>
      <w:r>
        <w:t>Змей велел моряку провести на острове четыре месяца. Змей предсказал, что придёт судно с людьми, которых моряк знает, и что рассказчик вернётся домой. Он должен был не забыть остров и сообщить о нём во дворце. В назначенный срок корабль действительно показался. Моряк погрузился, а змей дал ему товары: благовония, жирафьи хвосты, слоновую кость и другие богатства, перечисленные в тексте.</w:t>
      </w:r>
    </w:p>
    <w:p>
      <w:r>
        <w:t>Корабль ушёл. Змей предупредил: после ухода моряк больше не увидит остров, который станет водой. Он вернулся к царю и передал дары. Рамочный слушатель получает то, ради чего рассказ был начат: опасность не отменяет надежды, а чужая история может быть лекарством против страха. Но остров не становится доказуемым местом на карте. Его исчезновение — часть литературной формы, а не приглашение искать географические координаты.</w:t>
      </w:r>
    </w:p>
    <w:p>
      <w:pPr>
        <w:pStyle w:val="Heading3"/>
      </w:pPr>
      <w:r>
        <w:t>Версия, передача и границы</w:t>
      </w:r>
    </w:p>
    <w:p>
      <w:r>
        <w:t xml:space="preserve">Это литературный пересказ </w:t>
      </w:r>
      <w:r>
        <w:rPr>
          <w:i/>
        </w:rPr>
        <w:t>Tale of the Shipwrecked Sailor</w:t>
      </w:r>
      <w:r>
        <w:t xml:space="preserve"> по транслитерации и английскому переводу Марка-Яна Недерхофа в открытом корпусе </w:t>
      </w:r>
      <w:hyperlink r:id="rId29">
        <w:r>
          <w:rPr>
            <w:color w:val="1B707C"/>
          </w:rPr>
          <w:t>St Andrews Egyptian texts corpus</w:t>
        </w:r>
      </w:hyperlink>
      <w:r>
        <w:t xml:space="preserve">. Для датировки и классификации использован список </w:t>
      </w:r>
      <w:hyperlink r:id="rId30">
        <w:r>
          <w:rPr>
            <w:color w:val="1B707C"/>
          </w:rPr>
          <w:t>UCL Digital Egypt</w:t>
        </w:r>
      </w:hyperlink>
      <w:r>
        <w:t>, где сказано, что произведение относится к рассказам Среднего царства, но полного перевода на сайте нет. Текст известен по рукописному свидетельству; переводческие решения и повреждённые места не заменяются вымышленными деталями. Жанр главы — «Пересказ», а не реконструкция египетского исполнения.</w:t>
      </w:r>
    </w:p>
    <w:p>
      <w:pPr>
        <w:pStyle w:val="Heading2"/>
        <w:pageBreakBefore/>
      </w:pPr>
      <w:bookmarkStart w:id="12" w:name="chapter_12"/>
      <w:r>
        <w:t>12. Синухет между двумя землями</w:t>
      </w:r>
      <w:bookmarkEnd w:id="12"/>
    </w:p>
    <w:p>
      <w:r>
        <w:rPr>
          <w:i/>
        </w:rPr>
        <w:t>Египет, литература Среднего царства · Пересказ</w:t>
      </w:r>
    </w:p>
    <w:p>
      <w:r>
        <w:t xml:space="preserve">Синухет служил при дворе и следовал за царской семьёй. Когда египетский царь Аменемхет I умер, в лагерь пришла весть: трон перешёл в опасное время, а сыновья царя спешили к столице. Синухет услышал разговор, испугался смуты и бежал. Он не знал, обвинят ли его, но страх оказался сильнее верности месту. Открытая страница </w:t>
      </w:r>
      <w:hyperlink r:id="rId31">
        <w:r>
          <w:rPr>
            <w:color w:val="1B707C"/>
          </w:rPr>
          <w:t>UCL Digital Egypt</w:t>
        </w:r>
      </w:hyperlink>
      <w:r>
        <w:t xml:space="preserve"> описывает его как дворцового чиновника, который после смерти царя строит новую жизнь в Сирии, а затем возвращается в Египет.</w:t>
      </w:r>
    </w:p>
    <w:p>
      <w:r>
        <w:t>Ночью Синухет прошёл мимо застав. Он избегал людей и дорог, пересекал пустынные земли, пока жажда не стала сильнее осторожности. У воды он встретил кочевников. Они дали ему пить и молоко, не стали расспрашивать о дворцовой тревоге и приняли путника среди своих. Так беглец, ещё недавно принадлежавший царскому двору, оказался человеком без земли.</w:t>
      </w:r>
    </w:p>
    <w:p>
      <w:r>
        <w:t>Он дошёл до Библа и Кедема. Сирийский правитель Амуненши увидел в нём умелого человека, расспросил о Египте и предложил остаться. Синухет принял гостеприимство. Ему дали землю, стада и место среди людей. Он женился, у него появились дети. Несколько лет он жил как правитель пограничной страны, защищал её и пользовался уважением.</w:t>
      </w:r>
    </w:p>
    <w:p>
      <w:r>
        <w:t>Но жизнь в изгнании не стала полной заменой родины. Синухет знал язык и обычаи Египта, помнил порядок дворца и боялся, что его тело останется в чужой земле. Со временем он стал сильным воином, но именно это привлекло к нему нового противника. Могучий человек из соседнего племени вызвал его на поединок. Этот вызов был обращён к самому Синухету.</w:t>
      </w:r>
    </w:p>
    <w:p>
      <w:r>
        <w:t>Противник был огромен. Он нёс щит, топор и связку копий. Синухет не стал мериться с ним массой. Ночью он приготовил оружие, а утром вышел один. Чужой воин метнул копья, но Синухет уклонился. Синухет выстрелил, поразил противника стрелой в шею, затем сразил его его же топором. После победы земля перестала ждать нападения. Синухет получил ещё больше почёта, но вместе с почётом яснее почувствовал: его сила выросла далеко от места, которому он принадлежал.</w:t>
      </w:r>
    </w:p>
    <w:p>
      <w:r>
        <w:t>Когда Синухет состарился, его желание вернуться стало известно при дворе. Сенусерт I, сын умершего царя, прислал милостивое приглашение. В царском письме беглецу обещали возвращение и достойное погребение в Египте. Синухет оставил дома, детей и имущество и пошёл обратно.</w:t>
      </w:r>
    </w:p>
    <w:p>
      <w:r>
        <w:t>В Египте его встретили у дворцовых ворот. Он стоял в пыли перед теми, чьи движения знал с юности, но теперь сам казался им человеком из чужой страны. При дворе его приняли; ему дали одежду и масло, и он оставил прежний облик странника. Вернувшись, он получил дом, место среди приближённых и обещание гробницы. Так странствие завершилось не стиранием прошлого: египтянином он снова стал через признание, погребение и память, а не потому, что годы изгнания исчезли.</w:t>
      </w:r>
    </w:p>
    <w:p>
      <w:pPr>
        <w:pStyle w:val="Heading3"/>
      </w:pPr>
      <w:r>
        <w:t>Версия, передача и границы</w:t>
      </w:r>
    </w:p>
    <w:p>
      <w:r>
        <w:t xml:space="preserve">Пересказ основан на введении </w:t>
      </w:r>
      <w:hyperlink r:id="rId31">
        <w:r>
          <w:rPr>
            <w:color w:val="1B707C"/>
          </w:rPr>
          <w:t>UCL Digital Egypt, «Tale of Sanehat»</w:t>
        </w:r>
      </w:hyperlink>
      <w:r>
        <w:t xml:space="preserve"> и полном открытом текстовом материале </w:t>
      </w:r>
      <w:hyperlink r:id="rId32">
        <w:r>
          <w:rPr>
            <w:color w:val="1B707C"/>
          </w:rPr>
          <w:t>UCL, «Sanehat, text and translation»</w:t>
        </w:r>
      </w:hyperlink>
      <w:r>
        <w:t>. UCL указывает два главных источника: папирус Berlin 3022 для большей части текста и Berlin 10499 для начала; транслитерация следует Koch 1990, а деление на разделы введено Stephen Quirke. Это литературное повествование от первого лица, не проверенная автобиография Синухета. Лакуны, спорные места и редакторские границы не заполнены вымышленными эпизодами; глава не смешивает её с египетскими мифами об Осирисе и Исиде из прежнего тома.</w:t>
      </w:r>
    </w:p>
    <w:p>
      <w:pPr>
        <w:pStyle w:val="Heading1"/>
      </w:pPr>
      <w:r>
        <w:t>III. Тропы эпического голоса</w:t>
      </w:r>
    </w:p>
    <w:p>
      <w:pPr>
        <w:jc w:val="center"/>
      </w:pPr>
      <w:r>
        <w:drawing>
          <wp:inline xmlns:a="http://schemas.openxmlformats.org/drawingml/2006/main" xmlns:pic="http://schemas.openxmlformats.org/drawingml/2006/picture">
            <wp:extent cx="4896000" cy="3264000"/>
            <wp:docPr id="4" name="Picture 4"/>
            <wp:cNvGraphicFramePr>
              <a:graphicFrameLocks noChangeAspect="1"/>
            </wp:cNvGraphicFramePr>
            <a:graphic>
              <a:graphicData uri="http://schemas.openxmlformats.org/drawingml/2006/picture">
                <pic:pic>
                  <pic:nvPicPr>
                    <pic:cNvPr id="0" name="03-asia.jpg"/>
                    <pic:cNvPicPr/>
                  </pic:nvPicPr>
                  <pic:blipFill>
                    <a:blip r:embed="rId33"/>
                    <a:stretch>
                      <a:fillRect/>
                    </a:stretch>
                  </pic:blipFill>
                  <pic:spPr>
                    <a:xfrm>
                      <a:off x="0" y="0"/>
                      <a:ext cx="4896000" cy="3264000"/>
                    </a:xfrm>
                    <a:prstGeom prst="rect"/>
                  </pic:spPr>
                </pic:pic>
              </a:graphicData>
            </a:graphic>
          </wp:inline>
        </w:drawing>
      </w:r>
    </w:p>
    <w:p>
      <w:pPr>
        <w:pStyle w:val="Heading2"/>
        <w:pageBreakBefore/>
      </w:pPr>
      <w:bookmarkStart w:id="13" w:name="chapter_13"/>
      <w:r>
        <w:t>13. Гесар: конь, состязание и корона</w:t>
      </w:r>
      <w:bookmarkEnd w:id="13"/>
    </w:p>
    <w:p>
      <w:r>
        <w:rPr>
          <w:i/>
        </w:rPr>
        <w:t>Тибетская традиция; Очерк</w:t>
      </w:r>
    </w:p>
    <w:p>
      <w:r>
        <w:rPr>
          <w:b/>
        </w:rPr>
        <w:t>Паспорт:</w:t>
      </w:r>
      <w:r>
        <w:t xml:space="preserve"> это очерк по открытому университетскому описанию эпоса, а не пересказ конкретной восточно-тибетской записи. Источник сообщает о рождении, трудном детстве и воцарении Гесара после скачек; более широкие детали здесь не приписываются одной версии.</w:t>
      </w:r>
    </w:p>
    <w:p>
      <w:r>
        <w:t>В стране Лин мальчик Гесар растёт не как бесспорный наследник. Его детство проходит среди соперников, а память о небесном предназначении не освобождает от земного унижения. Будущий царь должен сначала оказаться чужим в собственной стране, узнать цену терпению и научиться видеть за шумом двора настоящую опасность.</w:t>
      </w:r>
    </w:p>
    <w:p>
      <w:r>
        <w:t>Когда приходит время выбрать правителя, решающим становится конное состязание. Устраиваются скачки. Гесар побеждает и после состязания становится царём Лина. Именно так открытое описание связывает его воцарение с конным состязанием.</w:t>
      </w:r>
    </w:p>
    <w:p>
      <w:r>
        <w:t>Корона не завершает историю. Она собирает вокруг Гесара советников и военачальников, а рядом с ним остаётся дядя Тротхунг — человек, который хочет власти, богатства и влияния. В описанной структуре эпоса вражда с ним снова и снова соединяется с внешней угрозой: чужое царство нападает, Лин оказывается в беспорядке, а герой возвращается к месту, где его власть пытаются разрушить изнутри.</w:t>
      </w:r>
    </w:p>
    <w:p>
      <w:r>
        <w:t>Гесар отправляется в походы против враждебных царств. В таких эпизодах важны не только битвы. Певец подробно вводит коня, оружие, одежду и спутников, затем показывает путь, переговоры, обман и столкновение. Герой не просто расширяет землю Лина: он устанавливает порядок там, где соседство стало угрозой. Но этот порядок не выглядит одинаковым во всех версиях. Эпос растёт вместе с исполнителями, поэтому отдельные походы могут иметь собственную композицию и собственный оттенок буддийской или воинской образности.</w:t>
      </w:r>
    </w:p>
    <w:p>
      <w:r>
        <w:t>Здесь Гесар — не неподвижный памятник «национальному герою», а персонаж живого многослойного эпоса. Его небесная миссия не отменяет человеческих трудностей, а корона не отменяет необходимости каждый раз подтверждать право защищать страну. Так история о скачках становится историей передачи власти: после победы Гесар становится царём Лина.</w:t>
      </w:r>
    </w:p>
    <w:p>
      <w:pPr>
        <w:pStyle w:val="Heading3"/>
      </w:pPr>
      <w:r>
        <w:t>Версия, передача и границы</w:t>
      </w:r>
    </w:p>
    <w:p>
      <w:r>
        <w:t xml:space="preserve">Основа — публичное описание эпоса Колумбийского университета, составленное с опорой на Kapstein, Schaeffer и FitzHerbert, и издание ранних глав </w:t>
      </w:r>
      <w:r>
        <w:rPr>
          <w:i/>
        </w:rPr>
        <w:t>The Epic of Gesar of Ling</w:t>
      </w:r>
      <w:r>
        <w:t xml:space="preserve"> (Kornman, Khandro, Chönam, Shambhala, 2012): </w:t>
      </w:r>
      <w:hyperlink r:id="rId34">
        <w:r>
          <w:rPr>
            <w:color w:val="1B707C"/>
          </w:rPr>
          <w:t>Columbia World Epics</w:t>
        </w:r>
      </w:hyperlink>
      <w:r>
        <w:t>. Это очерк опубликованного корпуса о рождении, ранних годах и коронации, а не перевод одной записи конкретного сказителя. Эпос имеет множество тибетских и центральноазиатских вариантов; поздние буддийские рамки не следует переносить на все ранние героические песни. Закрытые или сакральные способы исполнения здесь не описываются.</w:t>
      </w:r>
    </w:p>
    <w:p>
      <w:pPr>
        <w:pStyle w:val="Heading2"/>
        <w:pageBreakBefore/>
      </w:pPr>
      <w:bookmarkStart w:id="14" w:name="chapter_14"/>
      <w:r>
        <w:t>14. Маадай-Кара и сын, возвращённый Алтаю</w:t>
      </w:r>
      <w:bookmarkEnd w:id="14"/>
    </w:p>
    <w:p>
      <w:r>
        <w:rPr>
          <w:i/>
        </w:rPr>
        <w:t>Алтайская героическая эпика; Очерк с кратким изложением сюжета</w:t>
      </w:r>
    </w:p>
    <w:p>
      <w:r>
        <w:rPr>
          <w:b/>
        </w:rPr>
        <w:t>Паспорт:</w:t>
      </w:r>
      <w:r>
        <w:t xml:space="preserve"> используется научное рассмотрение сказания </w:t>
      </w:r>
      <w:r>
        <w:rPr>
          <w:i/>
        </w:rPr>
        <w:t>Маадай-Кара</w:t>
      </w:r>
      <w:r>
        <w:t>. Очерк ограничен открытой научной статьёй о сюжете; архивная коллекция служит только указателем дальнейшего чтения; это не пересказ общего «алтайского мифа».</w:t>
      </w:r>
    </w:p>
    <w:p>
      <w:r>
        <w:t>Старик Маадай-Кара правит мирной землёй, но старость лишает его прежней силы. На Алтай вторгается каан-завоеватель Кара-Кула: Маадай-Кара и Алтын-Кюскю оказываются у него в плену. Кара-Кула связан с подземным миром через свою жену Кара-Таади, дочь Эрлика. В это время ребёнка Көгүдэй-Мергена прячут от нашествия; он должен вырасти вдали от обычной человеческой защиты.</w:t>
      </w:r>
    </w:p>
    <w:p>
      <w:r>
        <w:t>Его находит и воспитывает старуха — дух-хозяйка Алтая. В научном описании она наставляет мальчика быть терпеливым и вежливым, не хвастаться силой, быть осторожным среди врагов и думать о возвращении народа на родину.</w:t>
      </w:r>
    </w:p>
    <w:p>
      <w:r>
        <w:t>Көгүдэй-Мерген возвращается на разорённый Алтай и становится богатырём-освободителем. Он побеждает Кара-Кулу, находит спрятанную душу врага и выводит из неволи свой народ. Так сын возвращает людей на родину, освобождая их от власти завоевателя.</w:t>
      </w:r>
    </w:p>
    <w:p>
      <w:r>
        <w:t>Сюжет сохраняет характер героического пения: повторяющиеся формулы, развернутые описания коня и дороги, резкие переходы между человеческим и иным мирами. В письменной передаче эти элементы видны как текст, однако первоначально эпос существовал в исполнении. Поэтому русская проза здесь только проводник событий. Она не воспроизводит алтайскую мелодику и не претендует на замену сказителю.</w:t>
      </w:r>
    </w:p>
    <w:p>
      <w:r>
        <w:t>Семейная линия здесь неотделима от линии страны. Судьба дома Маадай-Кары соединена с судьбой народа, угнанного завоевателем. Поэтому подвиг Көгүдэй-Мергена в доступном описании состоит прежде всего в освобождении и возвращении людей на Алтай.</w:t>
      </w:r>
    </w:p>
    <w:p>
      <w:r>
        <w:t>Алтайский эпос не обязан укладываться в единственный канон. Певцы и записыватели могли менять длину эпизодов, порядок переходов и образные формулы. Поэтому здесь сохранён скромный масштаб: герой взрослеет, возвращается и противостоит силе, связанной с Эрликом. Всё, что выходит за этот каркас, оставлено за пределами главы.</w:t>
      </w:r>
    </w:p>
    <w:p>
      <w:r>
        <w:t>Для читателя особенно существенно, что дух-хозяйка не является случайной помощницей, которую можно вызвать по желанию. В источниковом описании она принадлежит миру традиционных представлений об Алтае. Поэтому проза говорит о воспитании и связи с местностью, но не пытается объяснить их через современную фантастику или универсальную схему «добра и зла».</w:t>
      </w:r>
    </w:p>
    <w:p>
      <w:r>
        <w:t>Так возвращение героя становится одновременно семейным и космологическим: он возвращает родных и снова делает Алтай пространством, в котором можно жить.</w:t>
      </w:r>
    </w:p>
    <w:p>
      <w:pPr>
        <w:pStyle w:val="Heading3"/>
      </w:pPr>
      <w:r>
        <w:t>Версия, передача и границы</w:t>
      </w:r>
    </w:p>
    <w:p>
      <w:r>
        <w:t>Основа очерка — статья С. С. Суразакова «Алтайский героический эпос и сказание “Маадай-Кара”» (</w:t>
      </w:r>
      <w:hyperlink r:id="rId35">
        <w:r>
          <w:rPr>
            <w:color w:val="1B707C"/>
          </w:rPr>
          <w:t>CyberLeninka</w:t>
        </w:r>
      </w:hyperlink>
      <w:r>
        <w:t xml:space="preserve">), где описаны вторжение Кара-Кулы, сокрытие сына, воспитание Көгүдэй-Мергена духом-хозяйкой Алтая, связь Кара-Кулы с дочерью Эрлика и освобождение народа. Cambridge repository даёт запись уровня коллекции </w:t>
      </w:r>
      <w:r>
        <w:rPr>
          <w:i/>
        </w:rPr>
        <w:t>Carole Pegg: Altaian Heroic Epics: Ritual Practices and Beliefs</w:t>
      </w:r>
      <w:r>
        <w:t xml:space="preserve"> (</w:t>
      </w:r>
      <w:hyperlink r:id="rId36">
        <w:r>
          <w:rPr>
            <w:color w:val="1B707C"/>
          </w:rPr>
          <w:t>permanent URI</w:t>
        </w:r>
      </w:hyperlink>
      <w:r>
        <w:t>); отдельная запись нужной версии здесь не установлена. Поэтому не утверждаются библиографически не подтверждённые детали отдельной архивной единицы, диалоги или обрядовые формулы.</w:t>
      </w:r>
    </w:p>
    <w:p>
      <w:pPr>
        <w:pStyle w:val="Heading2"/>
        <w:pageBreakBefore/>
      </w:pPr>
      <w:bookmarkStart w:id="15" w:name="chapter_15"/>
      <w:r>
        <w:t>15. Манас: просьба Жакыпа и рождение героя</w:t>
      </w:r>
      <w:bookmarkEnd w:id="15"/>
    </w:p>
    <w:p>
      <w:r>
        <w:rPr>
          <w:i/>
        </w:rPr>
        <w:t>Кыргызская традиция, запись Сагымбая Орозбакова; Пересказ</w:t>
      </w:r>
    </w:p>
    <w:p>
      <w:r>
        <w:rPr>
          <w:b/>
        </w:rPr>
        <w:t>Паспорт:</w:t>
      </w:r>
      <w:r>
        <w:t xml:space="preserve"> взят один ранний узел версии Сагымбая Орозбакова — без пересказа всей трилогии и без смешения её с записью Саякбая Каралаева.</w:t>
      </w:r>
    </w:p>
    <w:p>
      <w:r>
        <w:t>Старый Жакып живёт с тревогой: у него нет сына, который продолжил бы род и принял ответственность перед людьми. Он обращается к святому месту — мазару — и просит о ребёнке. В этой сцене желание будущего героя не отделено от памяти предков и от отношений внутри общины. Просьба становится не частным требованием, а обещанием разделить полученное с другими.</w:t>
      </w:r>
    </w:p>
    <w:p>
      <w:r>
        <w:t>Жена Жакыпа советует устроить большой пир. На него должны прийти не только знатные люди, но и бедняки, сироты и вдовы. Жакып закалывает скот и раздаёт пищу. В версии Орозбакова этот жест предваряет рождение Манаса: будущая сила героя возникает рядом с обязанностью не удерживать богатство только для себя.</w:t>
      </w:r>
    </w:p>
    <w:p>
      <w:r>
        <w:t>После рождения ребёнок оказывается необычным. Его появление тревожит и радует одновременно: в нём видят будущего защитника, но ещё не знают, каким будет его характер. Мальчик растёт среди слухов, опасностей и соперничества. Манасу предстоит стать не просто сильным воином, а человеком, которого признают разные группы и земли.</w:t>
      </w:r>
    </w:p>
    <w:p>
      <w:r>
        <w:t>Позднее эпос раздвигает карту далеко за пределы одного кочевья. В нём называются Алтай, Восточный Туркестан, Китай, Казахстан и многие другие пространства. Но этот широкий мир не превращает ранний эпизод в географическую справку. Для Жакыпа всё начинается с конкретной беды — отсутствия наследника, а для общины — с вопроса, как встретить дар так, чтобы он не стал причиной нового разрыва.</w:t>
      </w:r>
    </w:p>
    <w:p>
      <w:r>
        <w:t>Манасчи поют эпос без обязательного инструментального сопровождения. Исполнитель не только произносит строки, но и меняет манеру речи, когда описывает битву, скорбь или совет. Поэтому письменная версия не равна выступлению. В ней остаётся последовательность событий, но исчезают голос, жест и реакция слушателей.</w:t>
      </w:r>
    </w:p>
    <w:p>
      <w:r>
        <w:t>Так рождение Манаса показано не как одиночное чудо. Оно вырастает из просьбы, памяти и щедрости. В дальнейшем герой станет центром огромного повествования, однако выбранная запись позволяет остановиться раньше: до завоеваний и политической истории, в момент, когда будущая судьба ещё только принимает человеческое имя.</w:t>
      </w:r>
    </w:p>
    <w:p>
      <w:r>
        <w:t>Сцена пира также вводит коллективную меру будущего героя. Жакып просит о сыне, но ответ на просьбу выражается через стол, к которому допускают тех, кто обычно оказывается на краю. В таком начале Манас принадлежит не только дому отца. Его появление заранее вписано в отношения с сиротами, вдовами, бедными и старшими. Это не готовая мораль, добавленная современным пересказчиком, а последовательность, отмеченная в выбранном источнике.</w:t>
      </w:r>
    </w:p>
    <w:p>
      <w:r>
        <w:t>Позже разные манасчи будут по-разному распределять акценты. Один подробно развернёт поход, другой — скорбь или совет. Для слушателя важны не только имена, но и энергия голоса. На странице мы сохраняем лишь сюжетный скелет, чтобы не выдавать редакторскую прозу за звучание манасчи.</w:t>
      </w:r>
    </w:p>
    <w:p>
      <w:r>
        <w:t>Память о предках в этой сцене не отделена от заботы о живых. Мазар, пир и просьба о ребёнке образуют последовательность, где прошлое, настоящее и будущее рода встречаются за одним событием. Такое начало помогает понять, почему Манас в последующих песнях становится не частным приключенцем, а центром коллективного повествования.</w:t>
      </w:r>
    </w:p>
    <w:p>
      <w:pPr>
        <w:pStyle w:val="Heading3"/>
      </w:pPr>
      <w:r>
        <w:t>Версия, передача и границы</w:t>
      </w:r>
    </w:p>
    <w:p>
      <w:r>
        <w:t xml:space="preserve">Основной источник — обзор Фонда изучения Шёлкового пути о Манасе, где различены записи Сагымбая Орозбакова и Саякбая Каралаева, описаны функции манасчи и приведён эпизод с Жакыпом, мазаром и пиром: </w:t>
      </w:r>
      <w:hyperlink r:id="rId37">
        <w:r>
          <w:rPr>
            <w:color w:val="1B707C"/>
          </w:rPr>
          <w:t>Manas introduction</w:t>
        </w:r>
      </w:hyperlink>
      <w:r>
        <w:t xml:space="preserve">. Для проверки статуса традиции сопоставлена официальная видеостраница UNESCO о трилогии «Манас, Семетей, Сейтек»: </w:t>
      </w:r>
      <w:hyperlink r:id="rId38">
        <w:r>
          <w:rPr>
            <w:color w:val="1B707C"/>
          </w:rPr>
          <w:t>UNESCO</w:t>
        </w:r>
      </w:hyperlink>
      <w:r>
        <w:t>. Это пересказ конкретного мотива версии Орозбакова, не реконструкция первоначального авторства и не свод всех вариантов. Религиозные практики упомянуты только как часть опубликованного сюжета; инструкции и сакральные формулы не приводятся.</w:t>
      </w:r>
    </w:p>
    <w:p>
      <w:pPr>
        <w:pStyle w:val="Heading2"/>
        <w:pageBreakBefore/>
      </w:pPr>
      <w:bookmarkStart w:id="16" w:name="chapter_16"/>
      <w:r>
        <w:t>16. Бортэ-Чино и Гоа-Марал: у истока Онона</w:t>
      </w:r>
      <w:bookmarkEnd w:id="16"/>
    </w:p>
    <w:p>
      <w:r>
        <w:rPr>
          <w:i/>
        </w:rPr>
        <w:t>Монгольская традиция, начало «Сокровенного сказания монголов»; Пересказ</w:t>
      </w:r>
    </w:p>
    <w:p>
      <w:r>
        <w:rPr>
          <w:b/>
        </w:rPr>
        <w:t>Паспорт:</w:t>
      </w:r>
      <w:r>
        <w:t xml:space="preserve"> выбрано только начало памятника — первая генеалогическая сцена. Здесь нет продолжения до биографии Чингисхана и нет попытки превратить короткое происхождение в исторический роман.</w:t>
      </w:r>
    </w:p>
    <w:p>
      <w:r>
        <w:t>В самом начале «Сокровенного сказания» предком Чингисхана назван Бортэ-Чино, рождённый с судьбой, предопределённой Небом. Его спутница — Гоа-Марал, Прекрасная Лань. В выбранном переводе имя Бортэ-Чино поясняется как «серо-белый волк».</w:t>
      </w:r>
    </w:p>
    <w:p>
      <w:r>
        <w:t>Они переходят большое озеро и поселяются у истока Онона. Текст не объясняет эту пару как аллегорию и не разворачивает длинную космогонию. Он просто помещает начало родословной в движение между водой и землёй. Волк и лань не остаются отвлечёнными знаками: у них есть путь, место поселения и продолжение рода.</w:t>
      </w:r>
    </w:p>
    <w:p>
      <w:r>
        <w:t>От этого истока начинается цепь поколений. В ней имена сменяют друг друга, пока повествование не подходит к Борджигидаю-мергену, Добун-мергену и Алан-гое. О каждом персонаже сказано ровно столько, сколько нужно для перехода к следующему звену. Смысл сцены не в психологических портретах, а в том, что власть и происхождение получают направление во времени.</w:t>
      </w:r>
    </w:p>
    <w:p>
      <w:r>
        <w:t>Озеро в этом начале важно и как географическая неопределённость. Переводчики спорят, следует ли понимать слово как конкретное озеро или как большое водное пространство. Сам текст называет исток Онона, но не превращает раннюю миграцию в современную карту. Поэтому осторожный пересказ сохраняет «большое озеро» и не объявляет его безусловно Байкалом или другим водоёмом.</w:t>
      </w:r>
    </w:p>
    <w:p>
      <w:r>
        <w:t>На этом глава останавливается. Чингисхан ещё не становится действующим героем, а Бортэ-Чино и Гоа-Марал не получают позднейших характеристик, которых нет в выбранном начале. Так короткая сцена выполняет свою задачу: она вводит родословную как движение, соединяет животные имена с местностью и оставляет Небо источником предназначения, не превращая запись в романтическую легенду о «вечном народе».</w:t>
      </w:r>
    </w:p>
    <w:p>
      <w:r>
        <w:t>Формула происхождения работает как рамка для всего памятника. Читатель знает, что впереди будет история великого правителя, но повествование не спешит к нему. Сначала оно показывает, как род получает направление и как место становится частью памяти. Исток Онона здесь не просто точка на карте: это первый земной ориентир после перехода через воду.</w:t>
      </w:r>
    </w:p>
    <w:p>
      <w:r>
        <w:t>Имена волка и лани сохраняют двойственность. Они могут звучать как родовые предки, как образы животных и как элементы литературной композиции. Выбирать одну трактовку и объявлять её окончательной было бы шире, чем позволяет короткая запись. Поэтому пересказ оставляет их участниками начала, не превращая в объяснённые символы.</w:t>
      </w:r>
    </w:p>
    <w:p>
      <w:r>
        <w:t>Текстологическая история памятника тоже удерживает читателя от слишком уверенного пересказа. До нас он дошёл через китайскую графическую и переводную передачу, а современные издания сверяют разные слои чтения. В этой главе важна не иллюзия первоначального голоса, а честное обозначение того, какой короткий фрагмент доступен в выбранном издании.</w:t>
      </w:r>
    </w:p>
    <w:p>
      <w:r>
        <w:t>Этого достаточно для самостоятельного предания начала, но недостаточно для романа о монгольской истории.</w:t>
      </w:r>
    </w:p>
    <w:p>
      <w:r>
        <w:t>Для читателя это полезная остановка: происхождение здесь показано как начало повествования, а не как готовое объяснение всей последующей истории. Родословная остаётся открытой дверью, а не итогом.</w:t>
      </w:r>
    </w:p>
    <w:p>
      <w:pPr>
        <w:pStyle w:val="Heading3"/>
      </w:pPr>
      <w:r>
        <w:t>Версия, передача и границы</w:t>
      </w:r>
    </w:p>
    <w:p>
      <w:r>
        <w:t xml:space="preserve">Использована публикация </w:t>
      </w:r>
      <w:r>
        <w:rPr>
          <w:i/>
        </w:rPr>
        <w:t>The Secret History of the Mongols: The Life and Times of Chinggis Khan</w:t>
      </w:r>
      <w:r>
        <w:t xml:space="preserve"> с переводом и примечаниями, где приведён первый раздел и обсуждены варианты значения </w:t>
      </w:r>
      <w:r>
        <w:rPr>
          <w:i/>
        </w:rPr>
        <w:t>börte</w:t>
      </w:r>
      <w:r>
        <w:t xml:space="preserve">, </w:t>
      </w:r>
      <w:r>
        <w:rPr>
          <w:i/>
        </w:rPr>
        <w:t>maral</w:t>
      </w:r>
      <w:r>
        <w:t xml:space="preserve"> и </w:t>
      </w:r>
      <w:r>
        <w:rPr>
          <w:i/>
        </w:rPr>
        <w:t>tenggis</w:t>
      </w:r>
      <w:r>
        <w:t xml:space="preserve">: </w:t>
      </w:r>
      <w:hyperlink r:id="rId39">
        <w:r>
          <w:rPr>
            <w:color w:val="1B707C"/>
          </w:rPr>
          <w:t>текст издания</w:t>
        </w:r>
      </w:hyperlink>
      <w:r>
        <w:t xml:space="preserve">. Историко-текстологический статус памятника сопоставлен с исследовательским описанием </w:t>
      </w:r>
      <w:hyperlink r:id="rId40">
        <w:r>
          <w:rPr>
            <w:color w:val="1B707C"/>
          </w:rPr>
          <w:t>Journal of Digital History</w:t>
        </w:r>
      </w:hyperlink>
      <w:r>
        <w:t>. Пересказ ограничен началом; датировки миграции и отождествление озера с конкретным водоёмом не утверждаются. Последующие события жизни Чингисхана намеренно исключены.</w:t>
      </w:r>
    </w:p>
    <w:p>
      <w:pPr>
        <w:pStyle w:val="Heading2"/>
        <w:pageBreakBefore/>
      </w:pPr>
      <w:bookmarkStart w:id="17" w:name="chapter_17"/>
      <w:r>
        <w:t>17. Медведь у нивхов: гость тайги</w:t>
      </w:r>
      <w:bookmarkEnd w:id="17"/>
    </w:p>
    <w:p>
      <w:r>
        <w:rPr>
          <w:i/>
        </w:rPr>
        <w:t>Нивхская традиция Сахалина и нижнего Амура; Очерк</w:t>
      </w:r>
    </w:p>
    <w:p>
      <w:r>
        <w:rPr>
          <w:b/>
        </w:rPr>
        <w:t>Паспорт:</w:t>
      </w:r>
      <w:r>
        <w:t xml:space="preserve"> это публичный музейный очерк, а не реконструкция медвежьего праздника и не запись отдельной сказки. Он говорит о месте медведя в опубликованном описании нивхской культуры.</w:t>
      </w:r>
    </w:p>
    <w:p>
      <w:r>
        <w:t>Нивхи живут на Сахалине и у нижнего Амура. Их традиционная жизнь связана прежде всего с рыболовством и морским промыслом; охота на медведя была одной из важных, но не единственной форм хозяйства. В музейном материале медведь появляется поэтому не как изолированный «тотем», а внутри отношений с лесом, водой, добычей и духами местности.</w:t>
      </w:r>
    </w:p>
    <w:p>
      <w:r>
        <w:t>Публичное описание Национальной библиотеки Республики Саха сообщает, что нивхские представления включали духов неба, земли, воды и леса. Медведя связывают с хозяином тайги: каждый зверь рассматривается как его сын. Такое выражение нельзя понимать как простую биологическую классификацию. Оно показывает, что добыча включена в систему взаимности и ответственности, где человек встречается не с безымянным ресурсом.</w:t>
      </w:r>
    </w:p>
    <w:p>
      <w:r>
        <w:t>В музейной подписи к фотографии медвежьего праздника сказано, что охота сопровождалась обрядами промыслового культа. На этом граница очерка становится обязательной. Открытая подпись позволяет сообщить о существовании комплекса представлений, но не даёт права воспроизводить последовательность действий, слова, предметы или традиционные знаки. Они принадлежат живой культуре и могут иметь ограничения доступа.</w:t>
      </w:r>
    </w:p>
    <w:p>
      <w:r>
        <w:t xml:space="preserve">История публичного знания тоже важна. Учёный Чунер Таксами собирал у носителей языка рассказы и сказки, исследовал нивхский язык и создал фундаментальные труды о культуре народа. В музейном материале упомянут жанр </w:t>
      </w:r>
      <w:r>
        <w:rPr>
          <w:i/>
        </w:rPr>
        <w:t>тылгунд</w:t>
      </w:r>
      <w:r>
        <w:t xml:space="preserve"> — нивхский эпос. Значит, медведь существует сразу в нескольких слоях памяти: как животное промысла, как фигура религиозного представления, как персонаж рассказов и как часть музейного архива.</w:t>
      </w:r>
    </w:p>
    <w:p>
      <w:r>
        <w:t>Такой очерк не должен превращать медведя в экзотическую эмблему Севера. Он напоминает о конкретном народе, чьи знания записывались в экспедициях, переводились и иногда рассматривались внешними наблюдателями. Лучше назвать источник и оставить недосказанными закрытые детали, чем заполнить пробел красивой, но выдуманной сценой. Здесь предание передаётся не через имитацию голоса, а через осторожное чтение публичного свидетельства.</w:t>
      </w:r>
    </w:p>
    <w:p>
      <w:r>
        <w:t>Публичный музейный язык неизбежно сокращает сложную систему понятий. Слово «культ» в экспозиционной подписи может обозначать целый комплекс отношений, а не одну веру или единый обряд. Кроме того, музейная фотография показывает момент, но не передаёт голоса участников и местные различия. Очерк поэтому не объявляет подпись исчерпывающим описанием нивхского мира.</w:t>
      </w:r>
    </w:p>
    <w:p>
      <w:r>
        <w:t>Полезно различать рассказ о традиции и её присвоение. Можно узнать, что медведь связан с хозяином тайги, и одновременно признать, что знание не превращается в инструкцию для постороннего. Такая осторожность не обедняет главу: она показывает, как источник сам задаёт границу между видимым материалом и тем, что следует оставить носителям.</w:t>
      </w:r>
    </w:p>
    <w:p>
      <w:r>
        <w:t>Медведь в таком описании не становится «персонажем» с одной биографией. В одном контексте он добыча, в другом — сын хозяина тайги, в третьем — образ музейной фотографии или участник эпического повествования. Эти уровни нельзя без остатка слить. Их соседство и есть причина говорить очерком, а не сочинять единую легенду.</w:t>
      </w:r>
    </w:p>
    <w:p>
      <w:r>
        <w:t>Очерку достаточно зафиксировать связь и границу доступа, не превращая музейный материал в спектакль для внешнего зрителя.</w:t>
      </w:r>
    </w:p>
    <w:p>
      <w:pPr>
        <w:pStyle w:val="Heading3"/>
      </w:pPr>
      <w:r>
        <w:t>Версия, передача и границы</w:t>
      </w:r>
    </w:p>
    <w:p>
      <w:r>
        <w:t xml:space="preserve">Основа — музейно-библиотечная выставка Национальной библиотеки Республики Саха о материалах Чунера Таксами: </w:t>
      </w:r>
      <w:hyperlink r:id="rId41">
        <w:r>
          <w:rPr>
            <w:color w:val="1B707C"/>
          </w:rPr>
          <w:t>The World of the Nivkhi</w:t>
        </w:r>
      </w:hyperlink>
      <w:r>
        <w:t xml:space="preserve">. Для академического контекста сопоставлена статья о медвежьем празднике нивхов и айнов, но её обрядовые подробности здесь не воспроизводятся: </w:t>
      </w:r>
      <w:hyperlink r:id="rId42">
        <w:r>
          <w:rPr>
            <w:color w:val="1B707C"/>
          </w:rPr>
          <w:t>Территория архива</w:t>
        </w:r>
      </w:hyperlink>
      <w:r>
        <w:t>. Это очерк публичных музейных сведений, не «ни́вхская сказка» и не описание обряда. Не утверждаются единообразие верований у всех нивхов, неизменность традиции или разрешение на использование сакральных изображений и знаков.</w:t>
      </w:r>
    </w:p>
    <w:p>
      <w:pPr>
        <w:pStyle w:val="Heading2"/>
        <w:pageBreakBefore/>
      </w:pPr>
      <w:bookmarkStart w:id="18" w:name="chapter_18"/>
      <w:r>
        <w:t>18. Худхуд: голос Алигуйуна и память рисовых террас</w:t>
      </w:r>
      <w:bookmarkEnd w:id="18"/>
    </w:p>
    <w:p>
      <w:r>
        <w:rPr>
          <w:i/>
        </w:rPr>
        <w:t>Ифугао, Филиппины; очерк исполнения по опубликованной истории «Hudhud hi Aliguyon»</w:t>
      </w:r>
    </w:p>
    <w:p>
      <w:r>
        <w:rPr>
          <w:b/>
        </w:rPr>
        <w:t>Паспорт:</w:t>
      </w:r>
      <w:r>
        <w:t xml:space="preserve"> вместо имитации многочасового пения выбран честный очерк конкретно названной публикации — перевода «Hudhud hi Aliguyon» А. Т. Дагио, 1952. Сюжетные детали приведены только в пределах доступного публичного описания; мелодия и полная исполнительская форма не реконструируются.</w:t>
      </w:r>
    </w:p>
    <w:p>
      <w:r>
        <w:t>Алигуйун — герой одного из худхуд, повествовательных песнопений ифугао. В доступном английском переводе его история начинается как рассказ о доме, труде и соперничестве. Среди ранних эпизодов выделяется состязание: Алигуйун замечательно раскалывает дрова, а Пумбахайон умеет делать то же. Такой мотив сразу связывает героизм с повседневным умением, а не только с оружием и битвой.</w:t>
      </w:r>
    </w:p>
    <w:p>
      <w:r>
        <w:t>Дальше повествование строится вокруг противостояния двух сильных героев и их общин. Соперничество не сводится к победе одного над другим. В худхуд важны родство, обмен, правила поведения и способность завершить вражду так, чтобы жизнь продолжалась. Поэтому очерк не заполняет пробелы вымышленными диалогами и не превращает Алигуйуна в универсального «воина из легенды».</w:t>
      </w:r>
    </w:p>
    <w:p>
      <w:r>
        <w:t>UNESCO описывает худхуд как корпус более чем из двухсот песнопений, каждое из которых может делиться на десятки эпизодов. Полное исполнение способно длиться несколько дней. Песни звучат при севе и жатве риса, а также на поминальных мероприятиях. Основной рассказчик обычно чередуется с хором; традиционно главную роль часто исполняют пожилые женщины, обладающие авторитетом историков и наставниц общины.</w:t>
      </w:r>
    </w:p>
    <w:p>
      <w:r>
        <w:t>Ифугао живут среди рисовых террас северных Филиппин, поэтому худхуд не отделяет героев от сельскохозяйственного мира. В песнях передаются память о предках, обычное право, религиозные представления и знания о труде. Образ Алигуйуна читается не на фоне декоративных гор, а внутри общества, где отношения между людьми поддерживают и урожай, и достоинство рода.</w:t>
      </w:r>
    </w:p>
    <w:p>
      <w:r>
        <w:t>Перевод Дагио помогает увидеть конкретный сюжет, но не заменяет исполнение. Ифугао-язык насыщен повторами, метафорами, метонимией и звукоподражанием, из-за чего запись трудно переносить на бумагу. Поэтому эта глава — очерк доступной публикации и формы наследия, а не «полный худхуд» в русской прозе. Мы можем рассказать, кто такой Алигуйун и как устроена передача, но не можем честно воспроизвести несколько дней пения по одной печатной странице.</w:t>
      </w:r>
    </w:p>
    <w:p>
      <w:r>
        <w:t>В истории Алигуйуна повторение не является недостатком. Для песнопения оно создаёт ритм, помогает хору удерживать длинную последовательность и возвращает слушателя к именам и действиям. На письме повтор часто сокращают, поэтому перевод уже является результатом выбора. Русский очерк должен назвать этот выбор, а не скрывать его под гладкой прозой.</w:t>
      </w:r>
    </w:p>
    <w:p>
      <w:r>
        <w:t>Соперники Алигуйун и Пумбахайон особенно важны для масштаба повествования. Их сравнивают не только по военной силе: умение расколоть дрова показывает мастерство, полезное в домашнем и земледельческом мире. Благодаря этому герой остаётся частью общины. Он не вырван из труда, который поддерживает рисовые террасы и саму возможность исполнения худхуд.</w:t>
      </w:r>
    </w:p>
    <w:p>
      <w:r>
        <w:t>Публичная запись Дагио важна именно как опубликованная посредническая работа. Она сохраняет историю для читателя, но не передаёт весь социальный момент пения: кто присутствует, когда вступает хор и какие отношения связывают исполнителей. Поэтому сведения UNESCO о контексте нужны здесь не как украшение, а как напоминание о неполноте печатной версии.</w:t>
      </w:r>
    </w:p>
    <w:p>
      <w:pPr>
        <w:pStyle w:val="Heading3"/>
      </w:pPr>
      <w:r>
        <w:t>Версия, передача и границы</w:t>
      </w:r>
    </w:p>
    <w:p>
      <w:r>
        <w:t xml:space="preserve">Конкретная публикация — A. T. Daguio, </w:t>
      </w:r>
      <w:r>
        <w:rPr>
          <w:i/>
        </w:rPr>
        <w:t>Hudhud hi Aliguyon: a translation of an Ifugao harvest song</w:t>
      </w:r>
      <w:r>
        <w:t xml:space="preserve"> (Stanford, 1952), библиографическая запись </w:t>
      </w:r>
      <w:hyperlink r:id="rId43">
        <w:r>
          <w:rPr>
            <w:color w:val="1B707C"/>
          </w:rPr>
          <w:t>University of Wisconsin</w:t>
        </w:r>
      </w:hyperlink>
      <w:r>
        <w:t xml:space="preserve">; доступный фрагмент перевода сопоставлен с </w:t>
      </w:r>
      <w:hyperlink r:id="rId44">
        <w:r>
          <w:rPr>
            <w:color w:val="1B707C"/>
          </w:rPr>
          <w:t>электронной копией текста</w:t>
        </w:r>
      </w:hyperlink>
      <w:r>
        <w:t xml:space="preserve">. Общую исполнительскую рамку проверяет официальная карточка UNESCO: </w:t>
      </w:r>
      <w:hyperlink r:id="rId45">
        <w:r>
          <w:rPr>
            <w:color w:val="1B707C"/>
          </w:rPr>
          <w:t>Hudhud chants of the Ifugao</w:t>
        </w:r>
      </w:hyperlink>
      <w:r>
        <w:t>. Это очерк, а не полный пересказ всех эпизодов и не транскрипция мелодии. Не воспроизводятся закрытые обрядовые контексты, традиционные знаки и утверждения о единственной «правильной» версии.</w:t>
      </w:r>
    </w:p>
    <w:p>
      <w:pPr>
        <w:pStyle w:val="Heading1"/>
      </w:pPr>
      <w:r>
        <w:t>IV. Голоса, власть и память</w:t>
      </w:r>
    </w:p>
    <w:p>
      <w:pPr>
        <w:jc w:val="center"/>
      </w:pPr>
      <w:r>
        <w:drawing>
          <wp:inline xmlns:a="http://schemas.openxmlformats.org/drawingml/2006/main" xmlns:pic="http://schemas.openxmlformats.org/drawingml/2006/picture">
            <wp:extent cx="4896000" cy="3264000"/>
            <wp:docPr id="5" name="Picture 5"/>
            <wp:cNvGraphicFramePr>
              <a:graphicFrameLocks noChangeAspect="1"/>
            </wp:cNvGraphicFramePr>
            <a:graphic>
              <a:graphicData uri="http://schemas.openxmlformats.org/drawingml/2006/picture">
                <pic:pic>
                  <pic:nvPicPr>
                    <pic:cNvPr id="0" name="04-voices.jpg"/>
                    <pic:cNvPicPr/>
                  </pic:nvPicPr>
                  <pic:blipFill>
                    <a:blip r:embed="rId46"/>
                    <a:stretch>
                      <a:fillRect/>
                    </a:stretch>
                  </pic:blipFill>
                  <pic:spPr>
                    <a:xfrm>
                      <a:off x="0" y="0"/>
                      <a:ext cx="4896000" cy="3264000"/>
                    </a:xfrm>
                    <a:prstGeom prst="rect"/>
                  </pic:spPr>
                </pic:pic>
              </a:graphicData>
            </a:graphic>
          </wp:inline>
        </w:drawing>
      </w:r>
    </w:p>
    <w:p>
      <w:pPr>
        <w:pStyle w:val="Heading2"/>
        <w:pageBreakBefore/>
      </w:pPr>
      <w:bookmarkStart w:id="19" w:name="chapter_19"/>
      <w:r>
        <w:t>19. Сунджата, лев Мандена</w:t>
      </w:r>
      <w:bookmarkEnd w:id="19"/>
    </w:p>
    <w:p>
      <w:r>
        <w:rPr>
          <w:i/>
        </w:rPr>
        <w:t>Манден, мандинские народы Западной Африки · Пересказ</w:t>
      </w:r>
    </w:p>
    <w:p>
      <w:r>
        <w:t>Сунджата показан в мире, где имя человека неотделимо от родословной. Его сила связана прежде всего с матерью, а семейная и генеалогическая политика определяет его место при дворе. В университетском обзоре Berkeley мальчик долго не ходит, что становится поводом для насмешек и политического давления на его мать.</w:t>
      </w:r>
    </w:p>
    <w:p>
      <w:r>
        <w:t>Berkeley сообщает об эпизоде первых шагов лишь в связи с оскорблением Соголон и защитой семейной чести; подробностей о просьбе дать опору, железном пруте или появлении баобаба на этой странице нет. Поэтому здесь не сшиваются детали из других пересказов: важен только зафиксированный обзором поворот, в котором действие Сунджаты отвечает на унижение матери.</w:t>
      </w:r>
    </w:p>
    <w:p>
      <w:r>
        <w:t>Но двор уже стал опасным. После смерти Магана Соголон с сыном уходят в изгнание. Их путь проходит через чужие земли и дворы. Мальчик взрослеет, учится быть воином и правителем, а его брат Мандинг-Бори остаётся рядом. В изгнании родственные связи превращаются в дипломатические: к Сунджате присоединяются правители, чьи дома связаны браками, союзами и общей опасностью.</w:t>
      </w:r>
    </w:p>
    <w:p>
      <w:r>
        <w:t>Тем временем Сумангору захватывает Ньяни и нарушает порядок Мандена. Сунджата возвращается не один. Его армия — результат долгих отношений, а не внезапного чуда. В битве при Кирине он побеждает Сумангору; в некоторых версиях решающим становится знание тайны противника, добытое сестрой Сунджаты Наной Трибан. После победы новый правитель собирает союзников в Курокане и распределяет между ними обязанности и земли. Так империя возникает как договор между разными царствами, а не как единоличное поглощение всех соседей.</w:t>
      </w:r>
    </w:p>
    <w:p>
      <w:r>
        <w:t>Сунджата в этом предании — не только непобедимый герой. Он сын изгнанницы, ученик чужих дворов и правитель, которому нужны семья, певец-джели и союзники. Его история хранит одновременно память о Мали и искусство мандинских специалистов устного слова. Повествование не отделяет политику от родства: возвращение героя восстанавливает не абстрактную справедливость, а сеть обязанностей между домами. Именно поэтому изгнание и союзники занимают в нём столько места. Поэтому один и тот же герой может звучать по-разному в Мали, Гвинее, Сенегале и Гамбии.</w:t>
      </w:r>
    </w:p>
    <w:p>
      <w:r>
        <w:t>Сунджата связан не с одним неподвижным текстом, а с работой памяти. Джели хранит родословные и может призывать их перед важным событием; от его искусства зависит, какие связи между людьми становятся слышимыми. В таком устройстве эпос рассказывает не только о личной судьбе, но и о том, как общество объясняет законность власти.</w:t>
      </w:r>
    </w:p>
    <w:p>
      <w:pPr>
        <w:pStyle w:val="Heading3"/>
      </w:pPr>
      <w:r>
        <w:t>Версия, передача и границы</w:t>
      </w:r>
    </w:p>
    <w:p>
      <w:r>
        <w:t>Здесь использован университетский обзор Berkeley — учебная беседа с Эданом Декелем, а не полный текст или запись исполнения: он прямо связывает первые шаги с оскорблением Соголон и описывает изгнание, возвращение, Сумангору, родственные союзы и роль джели (</w:t>
      </w:r>
      <w:hyperlink r:id="rId47">
        <w:r>
          <w:rPr>
            <w:color w:val="1B707C"/>
          </w:rPr>
          <w:t>Berkeley, “The Hero’s Journey: Sundiata”</w:t>
        </w:r>
      </w:hyperlink>
      <w:r>
        <w:t>). Для истории вариантов использован обзор корпуса ранних записей 1889–1959, где названы двадцать версий и их записыватели (</w:t>
      </w:r>
      <w:hyperlink r:id="rId48">
        <w:r>
          <w:rPr>
            <w:color w:val="1B707C"/>
          </w:rPr>
          <w:t>Oxford Academic, *Corpus of Early Accounts of the Sunjata Epic*</w:t>
        </w:r>
      </w:hyperlink>
      <w:r>
        <w:t>). Это авторский краткий очерк по университетским справкам, а не перевод одного полного эпоса; детали разных исполнителей не следует считать единой обязательной редакцией.</w:t>
      </w:r>
    </w:p>
    <w:p>
      <w:pPr>
        <w:pStyle w:val="Heading2"/>
        <w:pageBreakBefore/>
      </w:pPr>
      <w:bookmarkStart w:id="20" w:name="chapter_20"/>
      <w:r>
        <w:t>20. Мвиндо и барабан, который пережил реку</w:t>
      </w:r>
      <w:bookmarkEnd w:id="20"/>
    </w:p>
    <w:p>
      <w:r>
        <w:rPr>
          <w:i/>
        </w:rPr>
        <w:t>Ньянга, восток Демократической Республики Конго · Пересказ</w:t>
      </w:r>
    </w:p>
    <w:p>
      <w:r>
        <w:t>Царь Шемвиндо хочет, чтобы после него не осталось сына. Шесть жён рожают дочерей, но седьмая, Ньямвиндо, приносит мальчика. Это Мвиндо — ребёнок, чьё появление уже нарушает замысел отца. Шемвиндо пытается убить его: пронзает, закапывает, бросает в воду, а затем запирает в ритуальном барабане и пускает барабан по реке. Мвиндо не погибает. Он выходит из воды и ищет убежище у тёти Иянгуры.</w:t>
      </w:r>
    </w:p>
    <w:p>
      <w:r>
        <w:t>Его детство не становится спокойным. Муж тёти пытается заманить мальчика в ловушку, а стражник призывает Нкубу, владыку молнии, чтобы тот поразил беглеца. Но Мвиндо защищён собственной волшебной булавой-конгой и помощью природных сил. Он становится вождём среди родственников матери и возвращается в родную деревню. Возвращение оборачивается яростью: Мвиндо уничтожает жителей и преследует отца, который бежал в подземный мир.</w:t>
      </w:r>
    </w:p>
    <w:p>
      <w:r>
        <w:t>Под землёй герой проходит испытания и встречает Муису, владыку мёртвых. Он играет в состязание с Шебурунгу, хозяином творения, и узнаёт, где скрывается Шемвиндо. Но встреча с отцом меняет цель странствия. Мвиндо может отомстить, однако выбирает прощение. Отец и сын договариваются разделить царство и возвращаются к людям.</w:t>
      </w:r>
    </w:p>
    <w:p>
      <w:r>
        <w:t>Булавы-конги хватает, чтобы вернуть к жизни тех, кто погиб от руки героя. Воскресение не стирает случившегося, но позволяет общине начаться снова. Позже Мвиндо убивает дракона, дорогого Нкубу. За это громовержец уносит его в небо. Там герой терпит жар солнца, холод и дождь, пока не обещает больше не вредить миру природы. Только после этого ему разрешают вернуться.</w:t>
      </w:r>
    </w:p>
    <w:p>
      <w:r>
        <w:t>В конце Мвиндо правит иначе. Его испытания не отменяют причинённого вреда, но показывают, что возвращение к власти требует восстановления общины. Воскресшие люди и возобновлённый совет делают финал не личным триумфом, а проверкой того, сможет ли герой жить среди тех, кого сам погубил. Его власть ограничена законом, советом и согласием людей. Герой, который начинал с мести, приходит к обязанности. Его путь проходит через реку, деревню, подземный мир и небо, но главный поворот совершается внутри: сила должна научиться отвечать за последствия.</w:t>
      </w:r>
    </w:p>
    <w:p>
      <w:r>
        <w:t>Для ньянга особенно важна форма исполнения. Издатель подчёркивает, что эпос сочетает прозу, песни и пословицы; значит, его действие не исчерпывается последовательностью происшествий. Голос певца, ритм и обращение к слушателям входят в сам способ существования истории. В пересказе можно сохранить повороты сюжета, но нельзя выдать их за весь опыт исполнения.</w:t>
      </w:r>
    </w:p>
    <w:p>
      <w:pPr>
        <w:pStyle w:val="Heading3"/>
      </w:pPr>
      <w:r>
        <w:t>Версия, передача и границы</w:t>
      </w:r>
    </w:p>
    <w:p>
      <w:r>
        <w:t xml:space="preserve">Основа — устная версия певца Шекариси Руреке, записанная и переведённая Даниэлем Бибюиком при участии Кахомбо Ч. Матене в двуязычном издании </w:t>
      </w:r>
      <w:r>
        <w:rPr>
          <w:i/>
        </w:rPr>
        <w:t>The Mwindo Epic from the Banyanga</w:t>
      </w:r>
      <w:r>
        <w:t>. Издатель описывает текст как исполненный и рассказанный на языке банту, с песнями и пословицами, а не как немой письменный роман (</w:t>
      </w:r>
      <w:hyperlink r:id="rId49">
        <w:r>
          <w:rPr>
            <w:color w:val="1B707C"/>
          </w:rPr>
          <w:t>University of California Press, описание издания</w:t>
        </w:r>
      </w:hyperlink>
      <w:r>
        <w:t>). Сюжетные узлы и имя исполнителя сверены с обзором Columbia University, который называет версию Руреке наиболее полной доступной западному читателю (</w:t>
      </w:r>
      <w:hyperlink r:id="rId50">
        <w:r>
          <w:rPr>
            <w:color w:val="1B707C"/>
          </w:rPr>
          <w:t>Columbia, “Mwindo Epic”</w:t>
        </w:r>
      </w:hyperlink>
      <w:r>
        <w:t>). Здесь не воспроизводятся песни дословно и не заявляется, что одна запись исчерпывает традицию ньянга.</w:t>
      </w:r>
    </w:p>
    <w:p>
      <w:pPr>
        <w:pStyle w:val="Heading2"/>
        <w:pageBreakBefore/>
      </w:pPr>
      <w:bookmarkStart w:id="21" w:name="chapter_21"/>
      <w:r>
        <w:t>21. Когда небо отступило от земли</w:t>
      </w:r>
      <w:bookmarkEnd w:id="21"/>
    </w:p>
    <w:p>
      <w:r>
        <w:rPr>
          <w:i/>
        </w:rPr>
        <w:t>Динка, Южный Судан · Очерк по конкретной записи</w:t>
      </w:r>
    </w:p>
    <w:p>
      <w:r>
        <w:t>В записи, опубликованной в справочнике Oxford Reference, небо и земля когда-то лежали рядом. Между ними была протянута верёвка, и человек мог подняться к Ньялику — высшему существу, связанному с небом, дождём и порядком мира. Смерти ещё не было. Первым людям, Гарангу и Абук, полагалось лишь одно зерно проса в день. Этого должно было хватать, если не нарушать установленную меру.</w:t>
      </w:r>
    </w:p>
    <w:p>
      <w:r>
        <w:t>Но мера оказалась хрупкой. Абук захотела посадить больше проса. Для работы она взяла мотыгу с длинной рукоятью. Когда женщина подняла её, орудие ударило Ньялика. Тот отступил далеко от земли. Маленькая синяя птица, цветом напоминающая небо, перерезала верёвку, по которой люди прежде ходили между мирами.</w:t>
      </w:r>
    </w:p>
    <w:p>
      <w:r>
        <w:t>После этого меняется не только расстояние. Людям приходится трудиться ради пищи, они узнают голод, болезнь и смерть. В справочнике рядом приведена другая динка-история: Аруу Пабек, «Рассвет», живёт в темноте и просит Ньялика открыть миру свет. Получив топор, он рассекает землю, и одна часть поднимается, а другая опускается. Так оформляется разделение неба и земли. Ньялик сердится и сталкивает Аруу вниз, закрывая проход.</w:t>
      </w:r>
    </w:p>
    <w:p>
      <w:r>
        <w:t>Две записи не складываются в одну гладкую хронологию. Это не недостаток очерка, а свойство источника: разные мотивы могут сосуществовать в справочном корпусе, не образуя единого священного сценария. Их сопоставление показывает диапазон объяснений, но не разрешает спор о первоначальной форме. Первая объясняет утрату близости с творцом через удар о небесный порядок. Вторая связывает свет и устройство мира с действием Аруу. В обеих космос не выглядит неподвижной декорацией: расстояние, свет и доступ к высшему существу имеют историю.</w:t>
      </w:r>
    </w:p>
    <w:p>
      <w:r>
        <w:t>Здесь важно оставить место для различий. Ньялик в одних регионах соотносится с Денгом, дождём; в других именах и отношениях между высшим существом и духами мёртвых есть отличия. Поэтому «отдаление неба» — не единый догмат всех динка, а конкретная опубликованная справка, в которой собраны два мотива. Её ценность не в том, что она говорит за каждого носителя традиции, а в том, что сохраняет определённую форму рассказа и её объяснительную логику.</w:t>
      </w:r>
    </w:p>
    <w:p>
      <w:r>
        <w:t>В этой композиции вина не превращается в простую бытовую мораль. Абук действует ради пищи, а удар о небо становится событием космического масштаба. Рассказ связывает повседневный труд с устройством мира: после разрыва людям приходится самим добывать пропитание, а прежняя близость с Ньяликом становится недоступной. Именно эта связь, а не одна эффектная причина, удерживает мотив в памяти.</w:t>
      </w:r>
    </w:p>
    <w:p>
      <w:pPr>
        <w:pStyle w:val="Heading3"/>
      </w:pPr>
      <w:r>
        <w:t>Версия, передача и границы</w:t>
      </w:r>
    </w:p>
    <w:p>
      <w:r>
        <w:t xml:space="preserve">Использована статья Oxford Reference </w:t>
      </w:r>
      <w:r>
        <w:rPr>
          <w:b/>
        </w:rPr>
        <w:t>“Nhialic and the Separation of Heaven and Earth”</w:t>
      </w:r>
      <w:r>
        <w:t>, где приведены оба сюжета: Гаранг и Абук, верёвка и синяя птица, а также Аруу и разделение неба и земли (</w:t>
      </w:r>
      <w:hyperlink r:id="rId51">
        <w:r>
          <w:rPr>
            <w:color w:val="1B707C"/>
          </w:rPr>
          <w:t>Oxford Reference</w:t>
        </w:r>
      </w:hyperlink>
      <w:r>
        <w:t>). Это справочная публикация, а не аудиозапись названного рассказчика и не полный корпус динка. Вторая опора — указатель статьи Oxford на варианты имён Ньялика и Денга; поэтому очерк не превращает региональные различия в одну «каноническую» мифологию.</w:t>
      </w:r>
    </w:p>
    <w:p>
      <w:pPr>
        <w:pStyle w:val="Heading2"/>
        <w:pageBreakBefore/>
      </w:pPr>
      <w:bookmarkStart w:id="22" w:name="chapter_22"/>
      <w:r>
        <w:t>22. Золотой трон, душа Асанте</w:t>
      </w:r>
      <w:bookmarkEnd w:id="22"/>
    </w:p>
    <w:p>
      <w:r>
        <w:rPr>
          <w:i/>
        </w:rPr>
        <w:t>Асанте, акан, современная Гана · Очерк</w:t>
      </w:r>
    </w:p>
    <w:p>
      <w:r>
        <w:t>В конце XVII века, по преданию асанте, правитель Осей Туту и жрец Анокье объединили несколько аканских владений вокруг Кумаси. Их союз получил знак, который не был обычным креслом правителя. Золотой трон, Sika Dwa Kofi — «Золотой трон, рождённый в пятницу», — должен был спуститься с неба и стать вместилищем души всей нации. В этом публичном историко-религиозном рассказе трон не просто украшен золотом: он воплощает единство и легитимность конфедерации.</w:t>
      </w:r>
    </w:p>
    <w:p>
      <w:r>
        <w:t>Золото здесь связано с экономикой и властью. Асанте добывали и обменивали его, использовали золотую пыль как деньги, а двор превращал металл в знаки ранга. Регалии показывали не только богатство отдельного человека. Они связывали асантехене, придворных, военных и общины с порядком государства. Трон нельзя свести к «короне другого вида»: его значение рождается из отношений, клятв, церемоний и памяти о союзе.</w:t>
      </w:r>
    </w:p>
    <w:p>
      <w:r>
        <w:t>Эта память имеет и тяжёлую политическую сторону. Британский музей хранит более двухсот предметов асанте, среди которых есть королевские знаки и украшения. Многие связаны с англо-асантийскими войнами XIX века: их вывезли как военную добычу, получили в качестве принудительной контрибуции или купили после распродаж. В 1900 году британский губернатор потребовал сесть на Золотой трон. Это требование стало политическим скандалом и предшествовало восстанию, которое возглавила королева-мать Яа Асантеваа.</w:t>
      </w:r>
    </w:p>
    <w:p>
      <w:r>
        <w:t>Сам трон не превращается в музейную иллюстрацию колониальной войны. Он продолжает быть действующим фокусом асантийской истории, тогда как музейные коллекции показывают другой маршрут вещей — от Кумаси через войну, рынок и имперские учреждения. Поэтому рассказ о нём должен удерживать два слоя: священный символ единства и материальную историю изъятия регалий.</w:t>
      </w:r>
    </w:p>
    <w:p>
      <w:r>
        <w:t>Публичный очерк не пересказывает закрытую церемонию и не выдаёт музейное описание за голос жреца. Он также не пытается определить, что именно «должен чувствовать» читатель перед символом. Достаточно установить его место в политической истории и признать, что музейная витрина не обладает тем же статусом, что трон в асантийской общности, и не изображает трон предметом для повседневного осмотра. Он говорит о том, что доступно в музейных и исторических публикациях: о происхождении символа, его политическом значении и продолжающейся силе асантийской традиции.</w:t>
      </w:r>
    </w:p>
    <w:p>
      <w:r>
        <w:t>Смысл трона раскрывается и через отрицание: на него не следует смотреть как на личное место для сидения правителя. В музейном описании он выступает знаком коллективной души и легитимности, а не просто драгоценным предметом. История 1900 года показывает, почему попытка обращаться с ним как с обычной мебелью была воспринята как посягательство на саму политическую общность.</w:t>
      </w:r>
    </w:p>
    <w:p>
      <w:pPr>
        <w:pStyle w:val="Heading3"/>
      </w:pPr>
      <w:r>
        <w:t>Версия, передача и границы</w:t>
      </w:r>
    </w:p>
    <w:p>
      <w:r>
        <w:t>Основа — публичная страница British Museum об асантийских золотых регалиях: музей сообщает предание об Осее Туту и Анокье, значение Sika Dwa Kofi и историю колониального изъятия предметов (</w:t>
      </w:r>
      <w:hyperlink r:id="rId52">
        <w:r>
          <w:rPr>
            <w:color w:val="1B707C"/>
          </w:rPr>
          <w:t>British Museum, “Asante gold regalia”</w:t>
        </w:r>
      </w:hyperlink>
      <w:r>
        <w:t>). Для музейно-исторической трактовки использован также обзор Smarthistory о Sika dwa kofi (</w:t>
      </w:r>
      <w:hyperlink r:id="rId53">
        <w:r>
          <w:rPr>
            <w:color w:val="1B707C"/>
          </w:rPr>
          <w:t>Smarthistory</w:t>
        </w:r>
      </w:hyperlink>
      <w:r>
        <w:t>). Это очерк по публичным источникам, не перевод асантийского исполнителя и не описание закрытых обрядов.</w:t>
      </w:r>
    </w:p>
    <w:p>
      <w:pPr>
        <w:pStyle w:val="Heading2"/>
        <w:pageBreakBefore/>
      </w:pPr>
      <w:bookmarkStart w:id="23" w:name="chapter_23"/>
      <w:r>
        <w:t>23. Кумулипо: рождение в глубокой тьме</w:t>
      </w:r>
      <w:bookmarkEnd w:id="23"/>
    </w:p>
    <w:p>
      <w:r>
        <w:rPr>
          <w:i/>
        </w:rPr>
        <w:t>Гавайи · Очерк по публикации Марты Уоррен Беквит</w:t>
      </w:r>
    </w:p>
    <w:p>
      <w:r>
        <w:t>Слово Kumulipo обычно переводят как начало в глубокой тьме. Но перед нами не короткая сказка о единственном создателе. Это mele koʻihonua — песнь происхождения, в которой космос разворачивается последовательностями рождений и родословных. Ночь не исчезает сразу. Из неё постепенно возникают формы жизни, море, суша, животные, растения, люди и линии правителей.</w:t>
      </w:r>
    </w:p>
    <w:p>
      <w:r>
        <w:t>В издании Марты Уоррен Беквит текст разделён на ночной пролог, повторяющиеся поколения, рождение морской и наземной жизни, появление крылатых существ и другие циклы. Такое деление — работа редактора, помогающая читателю увидеть структуру, но не заменяющая гавайское исполнение. Внутри самой песни важны повтор, созвучия и переходы, которые удерживают длинную последовательность в памяти.</w:t>
      </w:r>
    </w:p>
    <w:p>
      <w:r>
        <w:t>Кумулипо связывает природное и человеческое без резкой границы. Море не служит декорацией для появления людей, а участвует в цепи происхождения. Родословная правителя оказывается продолжением космического порядка. Поэтому песнь одновременно говорит о мире, о месте человека в нём и о статусе тех, чья линия включена в её последующие поколения.</w:t>
      </w:r>
    </w:p>
    <w:p>
      <w:r>
        <w:t>Письменная история текста тоже часть его судьбы. В XVIII веке Кумулипо существовал в устной передаче при дворе. Позднее его записывали и переводили; важнейшей стала работа королевы Лилиуокалани, а научное издание Беквит впервые вышло в 1951 году и затем было переиздано University of Hawaiʻi Press. Открытая книга даёт нам гавайский текст, перевод, примечания и приложения, однако страница не возвращает тембр голоса и обстоятельства, в которых песнь произносилась.</w:t>
      </w:r>
    </w:p>
    <w:p>
      <w:r>
        <w:t>Поэтому Кумулипо здесь не превращён в реконструированный ритуал. Не следует также сводить его к современной научной схеме эволюции или к учебной таблице происхождения: порядок рождений принадлежит гавайской поэтической и генеалогической логике. Его ценность не зависит от того, можно ли перевести каждую строку на язык естественных наук. Мы можем говорить о его композиции, языковой памяти и связи с родословными. Но нельзя из музейной или книжной публикации выводить право воспроизводить церемонию. Песнь остаётся живым наследием, а не набором универсальных символов «начала мира».</w:t>
      </w:r>
    </w:p>
    <w:p>
      <w:r>
        <w:t>Повторяющаяся формула в такой песне — не украшение, которое можно без потери убрать. Она помогает связывать длинную цепь и удерживать порядок поколений. Читатель русской антологии видит лишь переводческую тень этой работы памяти: гавайские слова, их звучание и отношения между понятиями не совпадают с русскими строками. Поэтому очерк говорит о структуре, но не имитирует голос исполнителя.</w:t>
      </w:r>
    </w:p>
    <w:p>
      <w:pPr>
        <w:pStyle w:val="Heading3"/>
      </w:pPr>
      <w:r>
        <w:t>Версия, передача и границы</w:t>
      </w:r>
    </w:p>
    <w:p>
      <w:r>
        <w:t xml:space="preserve">Конкретная версия — публикация Марты Уоррен Беквит </w:t>
      </w:r>
      <w:r>
        <w:rPr>
          <w:b/>
        </w:rPr>
        <w:t>The Kumulipo: A Hawaiian Creation Chant</w:t>
      </w:r>
      <w:r>
        <w:t>, доступная через Ulukau; каталог указывает гавайский текст, перевод, комментарии, приложения и издательскую историю University of Hawaiʻi Press (</w:t>
      </w:r>
      <w:hyperlink r:id="rId54">
        <w:r>
          <w:rPr>
            <w:color w:val="1B707C"/>
          </w:rPr>
          <w:t>Ulukau, издание Beckwith</w:t>
        </w:r>
      </w:hyperlink>
      <w:r>
        <w:t>). Дополнительная публичная справка Университета Hawaiʻi–Hilo называет Кумулипо исторически значимой песнью более чем на две тысячи строк (</w:t>
      </w:r>
      <w:hyperlink r:id="rId55">
        <w:r>
          <w:rPr>
            <w:color w:val="1B707C"/>
          </w:rPr>
          <w:t>UH Hilo, “Kumulipo”</w:t>
        </w:r>
      </w:hyperlink>
      <w:r>
        <w:t>). Здесь дан очерк по изданию Беквит, без притворства, будто это расшифровка одного полного исполнения, и без реконструкции обряда.</w:t>
      </w:r>
    </w:p>
    <w:p>
      <w:pPr>
        <w:pStyle w:val="Heading2"/>
        <w:pageBreakBefore/>
      </w:pPr>
      <w:bookmarkStart w:id="24" w:name="chapter_24"/>
      <w:r>
        <w:t>24. Ронгоронго: память, которой мы пока не читаем</w:t>
      </w:r>
      <w:bookmarkEnd w:id="24"/>
    </w:p>
    <w:p>
      <w:r>
        <w:rPr>
          <w:i/>
        </w:rPr>
        <w:t>Рапа-Нуи · Очерк о kohau rōŋo­rōŋo и памяти предков</w:t>
      </w:r>
    </w:p>
    <w:p>
      <w:r>
        <w:t>На деревянных предметах Рапа-Нуи сохранились ряды знаков, которые называют rongo­rongo. Сохранилось менее тридцати предметов или памятников, а сами таблички находятся за пределами острова. Знаки изображают человеческие позы, части тела, животных, растения, инструменты и небесные тела. Они выстроены в сложные последовательности, но до сих пор не расшифрованы. Поэтому честный рассказ о ронгоронго не может предложить читателю «перевод» неизвестного текста.</w:t>
      </w:r>
    </w:p>
    <w:p>
      <w:r>
        <w:t>Музей quai Branly описывает чтение строк как перевёрнутый бустрофедон: после одной строки предмет поворачивают на сто восемьдесят градусов, затем читают следующую. Это наблюдение относится к форме объекта и направлению знаков, а не к пониманию их языка. Музей также сообщает о возможных связях с лунными циклами, историческими событиями, преданиями, генеалогиями и формулами. Слово «возможных» здесь необходимо: эти функции реконструируются исследователями, а не прочитаны из табличек.</w:t>
      </w:r>
    </w:p>
    <w:p>
      <w:r>
        <w:t>История сохранения предметов связана с миссионерами 1860-х и 1870-х годов. В 1869 году одна табличка была передана епископу Таити через священника Гаспара Цумбома. Вокруг неё находился шнур из человеческих волос — материал, имеющий сакральное значение в Полинезии. Миссионеры видели в передаче знак утраты прежней ценности; музейный комментарий предлагает осторожнее рассматривать предмет, поскольку обёртка и дерево могли указывать на ритуальную значимость.</w:t>
      </w:r>
    </w:p>
    <w:p>
      <w:r>
        <w:t>Новое радиоуглеродное исследование четырёх табличек, хранящихся в Риме, дало неодинаковые результаты. Одна, «Эшанкра» (Échancrée), датируется серединой XV века, другие — XIX столетием. Это допускает существование табличек до европейского влияния, но не доказывает окончательно независимое изобретение письма. Исследователи по-прежнему спорят, является ли система письмом в строгом смысле.</w:t>
      </w:r>
    </w:p>
    <w:p>
      <w:r>
        <w:t>Память предков в этой главе — не выдуманный текст, который мы якобы умеем прочесть. Важно различать память как культурную функцию и содержание знаков. Первая изучается по предметам, коллекциям и свидетельствам; второе пока закрыто не ключом, а отсутствием надёжной расшифровки. Она видна в самом отношении к предмету: в его передаче, повторном использовании, сакральном материале, музейном перемещении и попытках восстановить утраченные способы чтения. Молчание знаков — не пустота. Это граница знания, которую исследование обязано назвать.</w:t>
      </w:r>
    </w:p>
    <w:p>
      <w:r>
        <w:t>Даже число предметов требует осторожности: разные публикации называют около двадцати или менее тридцати объектов, поскольку корпус зависит от того, что считать отдельной табличкой и как учитывать фрагменты. Надёжнее говорить о редком, рассеянном собрании, чем рисовать полный архив островной культуры. Отсутствие предметов на самом Рапа-Нуи — часть колониальной истории доступа к памяти.</w:t>
      </w:r>
    </w:p>
    <w:p>
      <w:pPr>
        <w:pStyle w:val="Heading3"/>
      </w:pPr>
      <w:r>
        <w:t>Версия, передача и границы</w:t>
      </w:r>
    </w:p>
    <w:p>
      <w:r>
        <w:t>Для музейной истории и сведений о возможных функциях использован обзор четырёх оригинальных табличек в Musée du quai Branly–Jacques Chirac (</w:t>
      </w:r>
      <w:hyperlink r:id="rId56">
        <w:r>
          <w:rPr>
            <w:color w:val="1B707C"/>
          </w:rPr>
          <w:t>“Treasures of Rapa Nui”</w:t>
        </w:r>
      </w:hyperlink>
      <w:r>
        <w:t xml:space="preserve">). Для датировок и статуса нерасшифрованности — открытая статья Ferrara, Tassoni, Kromer и соавторов в </w:t>
      </w:r>
      <w:r>
        <w:rPr>
          <w:i/>
        </w:rPr>
        <w:t>Scientific Reports</w:t>
      </w:r>
      <w:r>
        <w:t xml:space="preserve"> (</w:t>
      </w:r>
      <w:hyperlink r:id="rId57">
        <w:r>
          <w:rPr>
            <w:color w:val="1B707C"/>
          </w:rPr>
          <w:t>Nature, “The invention of writing on Rapa Nui”</w:t>
        </w:r>
      </w:hyperlink>
      <w:r>
        <w:t>). Это очерк по музейным и научным источникам: известны предметы, история их сбора и ряд гипотез, но неизвестно содержание знаков. Вымышленного перевода, реконструированного ритуала и утверждения о единой функции табличек здесь нет.</w:t>
      </w:r>
    </w:p>
    <w:p>
      <w:pPr>
        <w:pStyle w:val="Heading1"/>
      </w:pPr>
      <w:r>
        <w:t>Источники и дальнейшее чтение</w:t>
      </w:r>
    </w:p>
    <w:p>
      <w:r>
        <w:t>Ссылки ниже собраны из всех глав. Разделы о версиях после глав поясняют, что именно подтверждает каждый источник; справочная статья и полный перевод выполняют разные задачи.</w:t>
      </w:r>
    </w:p>
    <w:p>
      <w:r>
        <w:t xml:space="preserve">1. </w:t>
      </w:r>
      <w:hyperlink r:id="rId13">
        <w:r>
          <w:rPr>
            <w:color w:val="1B707C"/>
          </w:rPr>
          <w:t>Лимеров, «Some Motifs in Komi Legends about the Creation of the World»</w:t>
        </w:r>
      </w:hyperlink>
    </w:p>
    <w:p>
      <w:r>
        <w:t xml:space="preserve">2. </w:t>
      </w:r>
      <w:hyperlink r:id="rId14">
        <w:r>
          <w:rPr>
            <w:color w:val="1B707C"/>
          </w:rPr>
          <w:t>в *Folklore* 76</w:t>
        </w:r>
      </w:hyperlink>
    </w:p>
    <w:p>
      <w:r>
        <w:t xml:space="preserve">3. </w:t>
      </w:r>
      <w:hyperlink r:id="rId15">
        <w:r>
          <w:rPr>
            <w:color w:val="1B707C"/>
          </w:rPr>
          <w:t>«Космогенез в мифологии древних коми-зырян»</w:t>
        </w:r>
      </w:hyperlink>
    </w:p>
    <w:p>
      <w:r>
        <w:t xml:space="preserve">4. </w:t>
      </w:r>
      <w:hyperlink r:id="rId16">
        <w:r>
          <w:rPr>
            <w:color w:val="1B707C"/>
          </w:rPr>
          <w:t>Toulouze, «Continuity and Revitalisation in Sacrificial Traditions»</w:t>
        </w:r>
      </w:hyperlink>
    </w:p>
    <w:p>
      <w:r>
        <w:t xml:space="preserve">5. </w:t>
      </w:r>
      <w:hyperlink r:id="rId17">
        <w:r>
          <w:rPr>
            <w:color w:val="1B707C"/>
          </w:rPr>
          <w:t>Н. И. Шутова, «Верования удмуртов»</w:t>
        </w:r>
      </w:hyperlink>
    </w:p>
    <w:p>
      <w:r>
        <w:t xml:space="preserve">6. </w:t>
      </w:r>
      <w:hyperlink r:id="rId18">
        <w:r>
          <w:rPr>
            <w:color w:val="1B707C"/>
          </w:rPr>
          <w:t>*Inmar, the Udmurt God, in Modern Udmurt Literature*</w:t>
        </w:r>
      </w:hyperlink>
    </w:p>
    <w:p>
      <w:r>
        <w:t xml:space="preserve">7. </w:t>
      </w:r>
      <w:hyperlink r:id="rId19">
        <w:r>
          <w:rPr>
            <w:color w:val="1B707C"/>
          </w:rPr>
          <w:t>Mnamon, «Celtic, Gaulish — Examples of writing»</w:t>
        </w:r>
      </w:hyperlink>
    </w:p>
    <w:p>
      <w:r>
        <w:t xml:space="preserve">8. </w:t>
      </w:r>
      <w:hyperlink r:id="rId20">
        <w:r>
          <w:rPr>
            <w:color w:val="1B707C"/>
          </w:rPr>
          <w:t>Barandiaran, *Selected Writings*</w:t>
        </w:r>
      </w:hyperlink>
    </w:p>
    <w:p>
      <w:r>
        <w:t xml:space="preserve">9. </w:t>
      </w:r>
      <w:hyperlink r:id="rId21">
        <w:r>
          <w:rPr>
            <w:color w:val="1B707C"/>
          </w:rPr>
          <w:t>Halili, «A Few Remarks on the Name Rozafa»</w:t>
        </w:r>
      </w:hyperlink>
    </w:p>
    <w:p>
      <w:r>
        <w:t xml:space="preserve">10. </w:t>
      </w:r>
      <w:hyperlink r:id="rId23">
        <w:r>
          <w:rPr>
            <w:color w:val="1B707C"/>
          </w:rPr>
          <w:t>Electronic Babylonian Library, «Etana»</w:t>
        </w:r>
      </w:hyperlink>
    </w:p>
    <w:p>
      <w:r>
        <w:t xml:space="preserve">11. </w:t>
      </w:r>
      <w:hyperlink r:id="rId24">
        <w:r>
          <w:rPr>
            <w:color w:val="1B707C"/>
          </w:rPr>
          <w:t>ORACC/Nimrud</w:t>
        </w:r>
      </w:hyperlink>
    </w:p>
    <w:p>
      <w:r>
        <w:t xml:space="preserve">12. </w:t>
      </w:r>
      <w:hyperlink r:id="rId25">
        <w:r>
          <w:rPr>
            <w:color w:val="1B707C"/>
          </w:rPr>
          <w:t>Electronic Babylonian Library, «Adapa»</w:t>
        </w:r>
      </w:hyperlink>
    </w:p>
    <w:p>
      <w:r>
        <w:t xml:space="preserve">13. </w:t>
      </w:r>
      <w:hyperlink r:id="rId26">
        <w:r>
          <w:rPr>
            <w:color w:val="1B707C"/>
          </w:rPr>
          <w:t>ETCSL, «Inana’s descent to the nether world»</w:t>
        </w:r>
      </w:hyperlink>
    </w:p>
    <w:p>
      <w:r>
        <w:t xml:space="preserve">14. </w:t>
      </w:r>
      <w:hyperlink r:id="rId27">
        <w:r>
          <w:rPr>
            <w:color w:val="1B707C"/>
          </w:rPr>
          <w:t>ORACC об Инанне/Иштар</w:t>
        </w:r>
      </w:hyperlink>
    </w:p>
    <w:p>
      <w:r>
        <w:t xml:space="preserve">15. </w:t>
      </w:r>
      <w:hyperlink r:id="rId28">
        <w:r>
          <w:rPr>
            <w:color w:val="1B707C"/>
          </w:rPr>
          <w:t>EBL</w:t>
        </w:r>
      </w:hyperlink>
    </w:p>
    <w:p>
      <w:r>
        <w:t xml:space="preserve">16. </w:t>
      </w:r>
      <w:hyperlink r:id="rId29">
        <w:r>
          <w:rPr>
            <w:color w:val="1B707C"/>
          </w:rPr>
          <w:t>Egyptian texts corpus</w:t>
        </w:r>
      </w:hyperlink>
    </w:p>
    <w:p>
      <w:r>
        <w:t xml:space="preserve">17. </w:t>
      </w:r>
      <w:hyperlink r:id="rId30">
        <w:r>
          <w:rPr>
            <w:color w:val="1B707C"/>
          </w:rPr>
          <w:t>Digital Egypt</w:t>
        </w:r>
      </w:hyperlink>
    </w:p>
    <w:p>
      <w:r>
        <w:t xml:space="preserve">18. </w:t>
      </w:r>
      <w:hyperlink r:id="rId31">
        <w:r>
          <w:rPr>
            <w:color w:val="1B707C"/>
          </w:rPr>
          <w:t>UCL Digital Egypt</w:t>
        </w:r>
      </w:hyperlink>
    </w:p>
    <w:p>
      <w:r>
        <w:t xml:space="preserve">19. </w:t>
      </w:r>
      <w:hyperlink r:id="rId32">
        <w:r>
          <w:rPr>
            <w:color w:val="1B707C"/>
          </w:rPr>
          <w:t>UCL, «Sanehat, text and translation»</w:t>
        </w:r>
      </w:hyperlink>
    </w:p>
    <w:p>
      <w:r>
        <w:t xml:space="preserve">20. </w:t>
      </w:r>
      <w:hyperlink r:id="rId34">
        <w:r>
          <w:rPr>
            <w:color w:val="1B707C"/>
          </w:rPr>
          <w:t>Columbia World Epics</w:t>
        </w:r>
      </w:hyperlink>
    </w:p>
    <w:p>
      <w:r>
        <w:t xml:space="preserve">21. </w:t>
      </w:r>
      <w:hyperlink r:id="rId35">
        <w:r>
          <w:rPr>
            <w:color w:val="1B707C"/>
          </w:rPr>
          <w:t>CyberLeninka</w:t>
        </w:r>
      </w:hyperlink>
    </w:p>
    <w:p>
      <w:r>
        <w:t xml:space="preserve">22. </w:t>
      </w:r>
      <w:hyperlink r:id="rId36">
        <w:r>
          <w:rPr>
            <w:color w:val="1B707C"/>
          </w:rPr>
          <w:t>permanent URI</w:t>
        </w:r>
      </w:hyperlink>
    </w:p>
    <w:p>
      <w:r>
        <w:t xml:space="preserve">23. </w:t>
      </w:r>
      <w:hyperlink r:id="rId37">
        <w:r>
          <w:rPr>
            <w:color w:val="1B707C"/>
          </w:rPr>
          <w:t>Manas introduction</w:t>
        </w:r>
      </w:hyperlink>
    </w:p>
    <w:p>
      <w:r>
        <w:t xml:space="preserve">24. </w:t>
      </w:r>
      <w:hyperlink r:id="rId38">
        <w:r>
          <w:rPr>
            <w:color w:val="1B707C"/>
          </w:rPr>
          <w:t>UNESCO</w:t>
        </w:r>
      </w:hyperlink>
    </w:p>
    <w:p>
      <w:r>
        <w:t xml:space="preserve">25. </w:t>
      </w:r>
      <w:hyperlink r:id="rId39">
        <w:r>
          <w:rPr>
            <w:color w:val="1B707C"/>
          </w:rPr>
          <w:t>текст издания</w:t>
        </w:r>
      </w:hyperlink>
    </w:p>
    <w:p>
      <w:r>
        <w:t xml:space="preserve">26. </w:t>
      </w:r>
      <w:hyperlink r:id="rId40">
        <w:r>
          <w:rPr>
            <w:color w:val="1B707C"/>
          </w:rPr>
          <w:t>Journal of Digital History</w:t>
        </w:r>
      </w:hyperlink>
    </w:p>
    <w:p>
      <w:r>
        <w:t xml:space="preserve">27. </w:t>
      </w:r>
      <w:hyperlink r:id="rId41">
        <w:r>
          <w:rPr>
            <w:color w:val="1B707C"/>
          </w:rPr>
          <w:t>The World of the Nivkhi</w:t>
        </w:r>
      </w:hyperlink>
    </w:p>
    <w:p>
      <w:r>
        <w:t xml:space="preserve">28. </w:t>
      </w:r>
      <w:hyperlink r:id="rId42">
        <w:r>
          <w:rPr>
            <w:color w:val="1B707C"/>
          </w:rPr>
          <w:t>Территория архива</w:t>
        </w:r>
      </w:hyperlink>
    </w:p>
    <w:p>
      <w:r>
        <w:t xml:space="preserve">29. </w:t>
      </w:r>
      <w:hyperlink r:id="rId43">
        <w:r>
          <w:rPr>
            <w:color w:val="1B707C"/>
          </w:rPr>
          <w:t>University of Wisconsin</w:t>
        </w:r>
      </w:hyperlink>
    </w:p>
    <w:p>
      <w:r>
        <w:t xml:space="preserve">30. </w:t>
      </w:r>
      <w:hyperlink r:id="rId44">
        <w:r>
          <w:rPr>
            <w:color w:val="1B707C"/>
          </w:rPr>
          <w:t>электронной копией текста</w:t>
        </w:r>
      </w:hyperlink>
    </w:p>
    <w:p>
      <w:r>
        <w:t xml:space="preserve">31. </w:t>
      </w:r>
      <w:hyperlink r:id="rId45">
        <w:r>
          <w:rPr>
            <w:color w:val="1B707C"/>
          </w:rPr>
          <w:t>Hudhud chants of the Ifugao</w:t>
        </w:r>
      </w:hyperlink>
    </w:p>
    <w:p>
      <w:r>
        <w:t xml:space="preserve">32. </w:t>
      </w:r>
      <w:hyperlink r:id="rId47">
        <w:r>
          <w:rPr>
            <w:color w:val="1B707C"/>
          </w:rPr>
          <w:t>Berkeley, “The Hero’s Journey: Sundiata”</w:t>
        </w:r>
      </w:hyperlink>
    </w:p>
    <w:p>
      <w:r>
        <w:t xml:space="preserve">33. </w:t>
      </w:r>
      <w:hyperlink r:id="rId48">
        <w:r>
          <w:rPr>
            <w:color w:val="1B707C"/>
          </w:rPr>
          <w:t>Oxford Academic, *Corpus of Early Accounts of the Sunjata Epic*</w:t>
        </w:r>
      </w:hyperlink>
    </w:p>
    <w:p>
      <w:r>
        <w:t xml:space="preserve">34. </w:t>
      </w:r>
      <w:hyperlink r:id="rId49">
        <w:r>
          <w:rPr>
            <w:color w:val="1B707C"/>
          </w:rPr>
          <w:t>University of California Press, описание издания</w:t>
        </w:r>
      </w:hyperlink>
    </w:p>
    <w:p>
      <w:r>
        <w:t xml:space="preserve">35. </w:t>
      </w:r>
      <w:hyperlink r:id="rId50">
        <w:r>
          <w:rPr>
            <w:color w:val="1B707C"/>
          </w:rPr>
          <w:t>Columbia, “Mwindo Epic”</w:t>
        </w:r>
      </w:hyperlink>
    </w:p>
    <w:p>
      <w:r>
        <w:t xml:space="preserve">36. </w:t>
      </w:r>
      <w:hyperlink r:id="rId51">
        <w:r>
          <w:rPr>
            <w:color w:val="1B707C"/>
          </w:rPr>
          <w:t>Oxford Reference</w:t>
        </w:r>
      </w:hyperlink>
    </w:p>
    <w:p>
      <w:r>
        <w:t xml:space="preserve">37. </w:t>
      </w:r>
      <w:hyperlink r:id="rId52">
        <w:r>
          <w:rPr>
            <w:color w:val="1B707C"/>
          </w:rPr>
          <w:t>British Museum, “Asante gold regalia”</w:t>
        </w:r>
      </w:hyperlink>
    </w:p>
    <w:p>
      <w:r>
        <w:t xml:space="preserve">38. </w:t>
      </w:r>
      <w:hyperlink r:id="rId53">
        <w:r>
          <w:rPr>
            <w:color w:val="1B707C"/>
          </w:rPr>
          <w:t>Smarthistory</w:t>
        </w:r>
      </w:hyperlink>
    </w:p>
    <w:p>
      <w:r>
        <w:t xml:space="preserve">39. </w:t>
      </w:r>
      <w:hyperlink r:id="rId54">
        <w:r>
          <w:rPr>
            <w:color w:val="1B707C"/>
          </w:rPr>
          <w:t>Ulukau, издание Beckwith</w:t>
        </w:r>
      </w:hyperlink>
    </w:p>
    <w:p>
      <w:r>
        <w:t xml:space="preserve">40. </w:t>
      </w:r>
      <w:hyperlink r:id="rId55">
        <w:r>
          <w:rPr>
            <w:color w:val="1B707C"/>
          </w:rPr>
          <w:t>UH Hilo, “Kumulipo”</w:t>
        </w:r>
      </w:hyperlink>
    </w:p>
    <w:p>
      <w:r>
        <w:t xml:space="preserve">41. </w:t>
      </w:r>
      <w:hyperlink r:id="rId56">
        <w:r>
          <w:rPr>
            <w:color w:val="1B707C"/>
          </w:rPr>
          <w:t>“Treasures of Rapa Nui”</w:t>
        </w:r>
      </w:hyperlink>
    </w:p>
    <w:p>
      <w:r>
        <w:t xml:space="preserve">42. </w:t>
      </w:r>
      <w:hyperlink r:id="rId57">
        <w:r>
          <w:rPr>
            <w:color w:val="1B707C"/>
          </w:rPr>
          <w:t>Nature, “The invention of writing on Rapa Nui”</w:t>
        </w:r>
      </w:hyperlink>
    </w:p>
    <w:sectPr w:rsidR="00FC693F" w:rsidRPr="0006063C" w:rsidSect="00034616">
      <w:headerReference w:type="default" r:id="rId9"/>
      <w:footerReference w:type="default" r:id="rId10"/>
      <w:pgSz w:w="9638" w:h="13606"/>
      <w:pgMar w:top="1020" w:right="964" w:bottom="1020" w:left="96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Дороги слова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4"/>
      </w:rPr>
      <w:t>ПРЕДАНИЯ НАРОДОВ МИРА · ТОМ 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40"/>
    </w:pPr>
    <w:rPr>
      <w:rFonts w:ascii="Noto Serif" w:hAnsi="Noto Serif"/>
      <w:color w:val="202D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Noto Sans" w:hAnsi="Noto Sans"/>
      <w:b/>
      <w:bCs/>
      <w:color w:val="172A57"/>
      <w:sz w:val="5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172A57"/>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237F8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Noto Sans" w:hAnsi="Noto Sans"/>
      <w:color w:val="172A5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Noto Sans" w:hAnsi="Noto Sans"/>
      <w:i/>
      <w:iCs/>
      <w:color w:val="564174"/>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hyperlink" Target="https://www.folklore.ee/folklore/vol76/limerov.pdf" TargetMode="External"/><Relationship Id="rId14" Type="http://schemas.openxmlformats.org/officeDocument/2006/relationships/hyperlink" Target="https://doi.org/10.7592/FEJF2019.76.limerov" TargetMode="External"/><Relationship Id="rId15" Type="http://schemas.openxmlformats.org/officeDocument/2006/relationships/hyperlink" Target="https://cyberleninka.ru/article/n/kosmogenez-v-mifologii-drevnih-komi-zyryan" TargetMode="External"/><Relationship Id="rId16" Type="http://schemas.openxmlformats.org/officeDocument/2006/relationships/hyperlink" Target="https://www.folklore.ee/folklore/vol72/udmurt1.pdf" TargetMode="External"/><Relationship Id="rId17" Type="http://schemas.openxmlformats.org/officeDocument/2006/relationships/hyperlink" Target="https://herzenlib.ru/almanac/number/detail.php?NUMBER=number22&amp;ELEMENT=gerzenka22_2_2" TargetMode="External"/><Relationship Id="rId18" Type="http://schemas.openxmlformats.org/officeDocument/2006/relationships/hyperlink" Target="https://folklore.ee/sator/wp-content/uploads/2021/11/sator22-06.pdf" TargetMode="External"/><Relationship Id="rId19" Type="http://schemas.openxmlformats.org/officeDocument/2006/relationships/hyperlink" Target="https://mnamon.sns.it/index.php?page=Esempi&amp;id=61&amp;lang=en" TargetMode="External"/><Relationship Id="rId20" Type="http://schemas.openxmlformats.org/officeDocument/2006/relationships/hyperlink" Target="https://scholarwolf.unr.edu/items/c23b9ed9-040f-4262-a2e9-951241137ba3" TargetMode="External"/><Relationship Id="rId21" Type="http://schemas.openxmlformats.org/officeDocument/2006/relationships/hyperlink" Target="https://doi.org/10.11649/sm.3304" TargetMode="External"/><Relationship Id="rId22" Type="http://schemas.openxmlformats.org/officeDocument/2006/relationships/image" Target="media/image3.jpg"/><Relationship Id="rId23" Type="http://schemas.openxmlformats.org/officeDocument/2006/relationships/hyperlink" Target="https://www.ebl.lmu.de/corpus/L/1/9" TargetMode="External"/><Relationship Id="rId24" Type="http://schemas.openxmlformats.org/officeDocument/2006/relationships/hyperlink" Target="https://oracc.museum.upenn.edu/nimrud/livesofobjects/anzu/index.html" TargetMode="External"/><Relationship Id="rId25" Type="http://schemas.openxmlformats.org/officeDocument/2006/relationships/hyperlink" Target="https://www.ebl.lmu.de/corpus/L/1/7" TargetMode="External"/><Relationship Id="rId26" Type="http://schemas.openxmlformats.org/officeDocument/2006/relationships/hyperlink" Target="https://etcsl.orinst.ox.ac.uk/section1/tr141.htm" TargetMode="External"/><Relationship Id="rId27" Type="http://schemas.openxmlformats.org/officeDocument/2006/relationships/hyperlink" Target="https://oracc.museum.upenn.edu/amgg/listofdeities/inanaitar/" TargetMode="External"/><Relationship Id="rId28" Type="http://schemas.openxmlformats.org/officeDocument/2006/relationships/hyperlink" Target="https://www.ebl.lmu.de/corpus/L/1/8" TargetMode="External"/><Relationship Id="rId29" Type="http://schemas.openxmlformats.org/officeDocument/2006/relationships/hyperlink" Target="https://sites.cs.st-andrews.ac.uk/people/mn31/egyptian/texts/corpus/pdf/Shipwrecked.pdf" TargetMode="External"/><Relationship Id="rId30" Type="http://schemas.openxmlformats.org/officeDocument/2006/relationships/hyperlink" Target="https://www.ucl.ac.uk/museums-static/digitalegypt/literature/index.html" TargetMode="External"/><Relationship Id="rId31" Type="http://schemas.openxmlformats.org/officeDocument/2006/relationships/hyperlink" Target="https://www.ucl.ac.uk/museums-static/digitalegypt/literature/sanehat/index.html" TargetMode="External"/><Relationship Id="rId32" Type="http://schemas.openxmlformats.org/officeDocument/2006/relationships/hyperlink" Target="https://www.ucl.ac.uk/museums-static/digitalegypt/literature/sanehat/text.html" TargetMode="External"/><Relationship Id="rId33" Type="http://schemas.openxmlformats.org/officeDocument/2006/relationships/image" Target="media/image4.jpg"/><Relationship Id="rId34" Type="http://schemas.openxmlformats.org/officeDocument/2006/relationships/hyperlink" Target="https://edblogs.columbia.edu/worldepics/project/epic-of-king-gesar/" TargetMode="External"/><Relationship Id="rId35" Type="http://schemas.openxmlformats.org/officeDocument/2006/relationships/hyperlink" Target="https://cyberleninka.ru/article/n/altayskiy-geroicheskiy-epos-i-skazanie-maaday-kara" TargetMode="External"/><Relationship Id="rId36" Type="http://schemas.openxmlformats.org/officeDocument/2006/relationships/hyperlink" Target="https://www.repository.cam.ac.uk/handle/1810/244521" TargetMode="External"/><Relationship Id="rId37" Type="http://schemas.openxmlformats.org/officeDocument/2006/relationships/hyperlink" Target="http://www.silkroadfoundation.org/folklore/manas/manasintro.html" TargetMode="External"/><Relationship Id="rId38" Type="http://schemas.openxmlformats.org/officeDocument/2006/relationships/hyperlink" Target="https://ich.unesco.org/en/video/19616" TargetMode="External"/><Relationship Id="rId39" Type="http://schemas.openxmlformats.org/officeDocument/2006/relationships/hyperlink" Target="https://jigjids.files.wordpress.com/2011/05/the_secret_history_of_the_mongols_the_life_and_times_of_chinggis_khan1.pdf" TargetMode="External"/><Relationship Id="rId40" Type="http://schemas.openxmlformats.org/officeDocument/2006/relationships/hyperlink" Target="https://journalofdigitalhistory.org/en/article/Gqh2Bf5W4TdK" TargetMode="External"/><Relationship Id="rId41" Type="http://schemas.openxmlformats.org/officeDocument/2006/relationships/hyperlink" Target="https://artsandculture.google.com/story/the-world-of-the-nivkhi-national-library-of-republic-sakha/pAVxrvxMunlOKw?hl=en" TargetMode="External"/><Relationship Id="rId42" Type="http://schemas.openxmlformats.org/officeDocument/2006/relationships/hyperlink" Target="https://ter-arkhiv.ru/0869-5415/article/view/683036" TargetMode="External"/><Relationship Id="rId43" Type="http://schemas.openxmlformats.org/officeDocument/2006/relationships/hyperlink" Target="https://search.library.wisc.edu/catalog/9910020707702121" TargetMode="External"/><Relationship Id="rId44" Type="http://schemas.openxmlformats.org/officeDocument/2006/relationships/hyperlink" Target="https://filameducation.com/wp-content/uploads/Hudhdud.pdf" TargetMode="External"/><Relationship Id="rId45" Type="http://schemas.openxmlformats.org/officeDocument/2006/relationships/hyperlink" Target="https://ich.unesco.org/en/RL/hudhud-chants-of-the-ifugao-00015" TargetMode="External"/><Relationship Id="rId46" Type="http://schemas.openxmlformats.org/officeDocument/2006/relationships/image" Target="media/image5.jpg"/><Relationship Id="rId47" Type="http://schemas.openxmlformats.org/officeDocument/2006/relationships/hyperlink" Target="https://orias.berkeley.edu/resources-teachers/monomyth-heros-journey-project/sundiata" TargetMode="External"/><Relationship Id="rId48" Type="http://schemas.openxmlformats.org/officeDocument/2006/relationships/hyperlink" Target="https://academic.oup.com/british-academy-scholarship-online/book/55807" TargetMode="External"/><Relationship Id="rId49" Type="http://schemas.openxmlformats.org/officeDocument/2006/relationships/hyperlink" Target="https://www.ucpress.edu/books/the-mwindo-epic-from-the-banyanga/epub-pdf" TargetMode="External"/><Relationship Id="rId50" Type="http://schemas.openxmlformats.org/officeDocument/2006/relationships/hyperlink" Target="https://edblogs.columbia.edu/worldepics/project/mwindo-epic/" TargetMode="External"/><Relationship Id="rId51" Type="http://schemas.openxmlformats.org/officeDocument/2006/relationships/hyperlink" Target="https://www.oxfordreference.com/display/10.1093/oi/authority.20110803100233107" TargetMode="External"/><Relationship Id="rId52" Type="http://schemas.openxmlformats.org/officeDocument/2006/relationships/hyperlink" Target="https://www.britishmuseum.org/about-us/british-museum-story/contested-objects-collection/asante-gold-regalia" TargetMode="External"/><Relationship Id="rId53" Type="http://schemas.openxmlformats.org/officeDocument/2006/relationships/hyperlink" Target="https://smarthistory.org/sika-dwa-kofi-golden-stool/" TargetMode="External"/><Relationship Id="rId54" Type="http://schemas.openxmlformats.org/officeDocument/2006/relationships/hyperlink" Target="https://www.ulukau.org/ulukau-books/?a=d&amp;d=EBOOK-BECKWIT2.1.2&amp;l=en" TargetMode="External"/><Relationship Id="rId55" Type="http://schemas.openxmlformats.org/officeDocument/2006/relationships/hyperlink" Target="https://hilo.hawaii.edu/chancellor/stories/2019/07/30/larry-kimura-and-doug-simons-talk/" TargetMode="External"/><Relationship Id="rId56" Type="http://schemas.openxmlformats.org/officeDocument/2006/relationships/hyperlink" Target="https://m.quaibranly.fr/en/collections/living-collections/news/new-display-cases/tresors-de-rapa-nui-lile-de-paques" TargetMode="External"/><Relationship Id="rId57" Type="http://schemas.openxmlformats.org/officeDocument/2006/relationships/hyperlink" Target="https://www.nature.com/articles/s41598-024-5306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Предания народов мира. Том IV. Дороги слова</dc:title>
  <dc:subject>24 новые главы: предания, эпосы и очерки</dc:subject>
  <dc:creator>Cue · редакционная подготовка</dc:creator>
  <cp:keywords>предания, мифология, том IV, русский, полный черновик</cp:keywords>
  <dc:description>Не опубликовано. Полный редакционный черновик.</dc:description>
  <cp:lastModifiedBy/>
  <cp:revision>1</cp:revision>
  <dcterms:created xsi:type="dcterms:W3CDTF">2013-12-23T23:15:00Z</dcterms:created>
  <dcterms:modified xsi:type="dcterms:W3CDTF">2013-12-23T23:15:00Z</dcterms:modified>
  <cp:category/>
</cp:coreProperties>
</file>