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7F0"/>
  <w:body>
    <w:p>
      <w:pPr>
        <w:widowControl/>
        <w:spacing w:before="20" w:after="200"/>
        <w:jc w:val="center"/>
      </w:pPr>
      <w:r>
        <w:rPr>
          <w:rFonts w:ascii="Noto Serif" w:hAnsi="Noto Serif"/>
        </w:rPr>
        <w:drawing>
          <wp:inline xmlns:a="http://schemas.openxmlformats.org/drawingml/2006/main" xmlns:pic="http://schemas.openxmlformats.org/drawingml/2006/picture">
            <wp:extent cx="2468880" cy="3703320"/>
            <wp:docPr id="1" name="Picture 1"/>
            <wp:cNvGraphicFramePr>
              <a:graphicFrameLocks noChangeAspect="1"/>
            </wp:cNvGraphicFramePr>
            <a:graphic>
              <a:graphicData uri="http://schemas.openxmlformats.org/drawingml/2006/picture">
                <pic:pic>
                  <pic:nvPicPr>
                    <pic:cNvPr id="0" name="01-cover-gerizim.jpg"/>
                    <pic:cNvPicPr/>
                  </pic:nvPicPr>
                  <pic:blipFill>
                    <a:blip r:embed="rId11"/>
                    <a:stretch>
                      <a:fillRect/>
                    </a:stretch>
                  </pic:blipFill>
                  <pic:spPr>
                    <a:xfrm>
                      <a:off x="0" y="0"/>
                      <a:ext cx="2468880" cy="3703320"/>
                    </a:xfrm>
                    <a:prstGeom prst="rect"/>
                  </pic:spPr>
                </pic:pic>
              </a:graphicData>
            </a:graphic>
          </wp:inline>
        </w:drawing>
      </w:r>
    </w:p>
    <w:p>
      <w:pPr>
        <w:widowControl/>
        <w:spacing w:after="40"/>
        <w:jc w:val="center"/>
      </w:pPr>
      <w:r>
        <w:rPr>
          <w:rFonts w:ascii="Noto Sans" w:hAnsi="Noto Sans"/>
          <w:b/>
          <w:color w:val="B7912F"/>
          <w:sz w:val="26"/>
        </w:rPr>
        <w:t>HARVYRÐ</w:t>
      </w:r>
    </w:p>
    <w:p>
      <w:pPr>
        <w:widowControl/>
        <w:spacing w:after="100"/>
        <w:jc w:val="center"/>
      </w:pPr>
      <w:r>
        <w:rPr>
          <w:rFonts w:ascii="Noto Serif" w:hAnsi="Noto Serif"/>
          <w:b/>
          <w:color w:val="18284A"/>
          <w:sz w:val="48"/>
        </w:rPr>
        <w:t>Самаритянское Пятикнижие:</w:t>
        <w:br/>
        <w:t>у горы Гаризим</w:t>
      </w:r>
    </w:p>
    <w:p>
      <w:pPr>
        <w:widowControl/>
        <w:jc w:val="center"/>
      </w:pPr>
      <w:r>
        <w:rPr>
          <w:rFonts w:ascii="Noto Sans" w:hAnsi="Noto Sans"/>
          <w:color w:val="117E85"/>
          <w:sz w:val="18"/>
        </w:rPr>
        <w:t>Читательский том · Пять книг, рукописная память и живая община</w:t>
      </w:r>
    </w:p>
    <w:p>
      <w:pPr>
        <w:widowControl/>
      </w:pPr>
      <w:r>
        <w:rPr>
          <w:rFonts w:ascii="Noto Serif" w:hAnsi="Noto Serif"/>
        </w:rPr>
        <w:br w:type="page"/>
      </w:r>
    </w:p>
    <w:p>
      <w:pPr>
        <w:pStyle w:val="Heading2"/>
        <w:keepNext/>
        <w:widowControl/>
      </w:pPr>
      <w:r>
        <w:rPr>
          <w:rFonts w:ascii="Noto Serif" w:hAnsi="Noto Serif"/>
          <w:b w:val="0"/>
          <w:i w:val="0"/>
        </w:rPr>
        <w:t>Содержание</w:t>
      </w:r>
    </w:p>
    <w:p>
      <w:pPr>
        <w:pStyle w:val="ListBullet"/>
        <w:keepLines/>
        <w:widowControl/>
        <w:spacing w:after="60"/>
      </w:pPr>
      <w:r>
        <w:rPr>
          <w:rFonts w:ascii="Noto Serif" w:hAnsi="Noto Serif"/>
          <w:b w:val="0"/>
          <w:i w:val="0"/>
        </w:rPr>
        <w:t>Краткое предисловие</w:t>
      </w:r>
    </w:p>
    <w:p>
      <w:pPr>
        <w:pStyle w:val="ListBullet"/>
        <w:keepLines/>
        <w:widowControl/>
        <w:spacing w:after="60"/>
      </w:pPr>
      <w:r>
        <w:rPr>
          <w:rFonts w:ascii="Noto Serif" w:hAnsi="Noto Serif"/>
          <w:b w:val="0"/>
          <w:i w:val="0"/>
        </w:rPr>
        <w:t>Глава 1. Пять книг и одна священная гора</w:t>
      </w:r>
    </w:p>
    <w:p>
      <w:pPr>
        <w:pStyle w:val="ListBullet"/>
        <w:keepLines/>
        <w:widowControl/>
        <w:spacing w:after="60"/>
      </w:pPr>
      <w:r>
        <w:rPr>
          <w:rFonts w:ascii="Noto Serif" w:hAnsi="Noto Serif"/>
          <w:b w:val="0"/>
          <w:i w:val="0"/>
        </w:rPr>
        <w:t>Глава 2. От древнего текста к средневековой рукописи</w:t>
      </w:r>
    </w:p>
    <w:p>
      <w:pPr>
        <w:pStyle w:val="ListBullet"/>
        <w:keepLines/>
        <w:widowControl/>
        <w:spacing w:after="60"/>
      </w:pPr>
      <w:r>
        <w:rPr>
          <w:rFonts w:ascii="Noto Serif" w:hAnsi="Noto Serif"/>
          <w:b w:val="0"/>
          <w:i w:val="0"/>
        </w:rPr>
        <w:t>Глава 3. Самаритянская буква и редакторская работа</w:t>
      </w:r>
    </w:p>
    <w:p>
      <w:pPr>
        <w:pStyle w:val="ListBullet"/>
        <w:keepLines/>
        <w:widowControl/>
        <w:spacing w:after="60"/>
      </w:pPr>
      <w:r>
        <w:rPr>
          <w:rFonts w:ascii="Noto Serif" w:hAnsi="Noto Serif"/>
          <w:b w:val="0"/>
          <w:i w:val="0"/>
        </w:rPr>
        <w:t>Глава 4. Три текста, а не одна лестница</w:t>
      </w:r>
    </w:p>
    <w:p>
      <w:pPr>
        <w:pStyle w:val="ListBullet"/>
        <w:keepLines/>
        <w:widowControl/>
        <w:spacing w:after="60"/>
      </w:pPr>
      <w:r>
        <w:rPr>
          <w:rFonts w:ascii="Noto Serif" w:hAnsi="Noto Serif"/>
          <w:b w:val="0"/>
          <w:i w:val="0"/>
        </w:rPr>
        <w:t>Глава 5. Кумранские родственники, но не копия</w:t>
      </w:r>
    </w:p>
    <w:p>
      <w:pPr>
        <w:pStyle w:val="ListBullet"/>
        <w:keepLines/>
        <w:widowControl/>
        <w:spacing w:after="60"/>
      </w:pPr>
      <w:r>
        <w:rPr>
          <w:rFonts w:ascii="Noto Serif" w:hAnsi="Noto Serif"/>
          <w:b w:val="0"/>
          <w:i w:val="0"/>
        </w:rPr>
        <w:t>Глава 6. Евал или Гаризим? Второзаконие 27:4</w:t>
      </w:r>
    </w:p>
    <w:p>
      <w:pPr>
        <w:pStyle w:val="ListBullet"/>
        <w:keepLines/>
        <w:widowControl/>
        <w:spacing w:after="60"/>
      </w:pPr>
      <w:r>
        <w:rPr>
          <w:rFonts w:ascii="Noto Serif" w:hAnsi="Noto Serif"/>
          <w:b w:val="0"/>
          <w:i w:val="0"/>
        </w:rPr>
        <w:t>Глава 7. Самаритянское десятое слово</w:t>
      </w:r>
    </w:p>
    <w:p>
      <w:pPr>
        <w:pStyle w:val="ListBullet"/>
        <w:keepLines/>
        <w:widowControl/>
        <w:spacing w:after="60"/>
      </w:pPr>
      <w:r>
        <w:rPr>
          <w:rFonts w:ascii="Noto Serif" w:hAnsi="Noto Serif"/>
          <w:b w:val="0"/>
          <w:i w:val="0"/>
        </w:rPr>
        <w:t>Глава 8. От Самарии к общине Гаризима</w:t>
      </w:r>
    </w:p>
    <w:p>
      <w:pPr>
        <w:pStyle w:val="ListBullet"/>
        <w:keepLines/>
        <w:widowControl/>
        <w:spacing w:after="60"/>
      </w:pPr>
      <w:r>
        <w:rPr>
          <w:rFonts w:ascii="Noto Serif" w:hAnsi="Noto Serif"/>
          <w:b w:val="0"/>
          <w:i w:val="0"/>
        </w:rPr>
        <w:t>Глава 9. Живая община у двух домов</w:t>
      </w:r>
    </w:p>
    <w:p>
      <w:pPr>
        <w:pStyle w:val="ListBullet"/>
        <w:keepLines/>
        <w:widowControl/>
        <w:spacing w:after="60"/>
      </w:pPr>
      <w:r>
        <w:rPr>
          <w:rFonts w:ascii="Noto Serif" w:hAnsi="Noto Serif"/>
          <w:b w:val="0"/>
          <w:i w:val="0"/>
        </w:rPr>
        <w:t>Заключение, краткий словарь, источники и издания</w:t>
      </w:r>
    </w:p>
    <w:p>
      <w:pPr>
        <w:pStyle w:val="Heading2"/>
        <w:keepNext/>
        <w:widowControl/>
      </w:pPr>
      <w:r>
        <w:rPr>
          <w:rFonts w:ascii="Noto Serif" w:hAnsi="Noto Serif"/>
          <w:b w:val="0"/>
          <w:i w:val="0"/>
        </w:rPr>
        <w:t>Краткое предисловие</w:t>
      </w:r>
    </w:p>
    <w:p>
      <w:pPr>
        <w:widowControl/>
      </w:pPr>
      <w:r>
        <w:rPr>
          <w:rFonts w:ascii="Noto Serif" w:hAnsi="Noto Serif"/>
          <w:b w:val="0"/>
          <w:i w:val="0"/>
        </w:rPr>
        <w:t>Самаритянское Пятикнижие — это не просто «тот же текст, но с ошибками» и не поздняя иллюстрация к истории иудаизма. Это самостоятельная древняя еврейская текстовая традиция, дошедшая до нас в средневековых рукописях и продолжающая жить в самаритянской общине. Её священный корпус состоит из пяти книг Моисея: Бытия, Исхода, Левита, Чисел и Второзакония. В центре этой традиции — Тора, Моисей, Израиль и гора Гаризим как избранное место поклонения.</w:t>
      </w:r>
    </w:p>
    <w:p>
      <w:pPr>
        <w:widowControl/>
      </w:pPr>
      <w:r>
        <w:rPr>
          <w:rFonts w:ascii="Noto Serif" w:hAnsi="Noto Serif"/>
          <w:b w:val="0"/>
          <w:i w:val="0"/>
        </w:rPr>
        <w:t>В этой книге я пересказываю тексты своими словами. Каждый такой пересказ — авторский пересказ, а не цитата из современного библейского перевода. Там, где важна формулировка, приведены книга, глава и стих; длинных цитат я избегаю, чтобы читатель видел не «готовую догму», а работу с источниками.</w:t>
      </w:r>
    </w:p>
    <w:p>
      <w:pPr>
        <w:widowControl/>
      </w:pPr>
      <w:r>
        <w:rPr>
          <w:rFonts w:ascii="Noto Serif" w:hAnsi="Noto Serif"/>
          <w:b w:val="0"/>
          <w:i w:val="0"/>
        </w:rPr>
        <w:t>Нужно различать три уровня материала. Первый — древние текстовые свидетельства: самаритянские рукописи, масоретская традиция еврейского текста, греческая Септуагинта и рукописи Мёртвого моря. Второй — история общины, святилища и рукописной передачи. Третий — современная жизнь самаритян, которых сегодня около девятисот или несколько менее тысячи, а не музейный «остаток древности». Эти уровни связаны, но не взаимозаменяемы.</w:t>
      </w:r>
    </w:p>
    <w:p>
      <w:pPr>
        <w:spacing w:after="40"/>
        <w:widowControl/>
        <w:pBdr>
          <w:bottom w:val="single" w:sz="3" w:color="D9C991"/>
        </w:pBdr>
      </w:pPr>
    </w:p>
    <w:p>
      <w:pPr>
        <w:pStyle w:val="Heading2"/>
        <w:keepNext/>
        <w:widowControl/>
      </w:pPr>
      <w:r>
        <w:rPr>
          <w:rFonts w:ascii="Noto Serif" w:hAnsi="Noto Serif"/>
          <w:b w:val="0"/>
          <w:i w:val="0"/>
        </w:rPr>
        <w:t>Глава 1. Пять книг и одна священная гора</w:t>
      </w:r>
    </w:p>
    <w:p>
      <w:pPr>
        <w:pStyle w:val="Heading3"/>
        <w:keepNext/>
        <w:widowControl/>
      </w:pPr>
      <w:r>
        <w:rPr>
          <w:rFonts w:ascii="Noto Serif" w:hAnsi="Noto Serif"/>
          <w:b w:val="0"/>
          <w:i w:val="0"/>
        </w:rPr>
        <w:t>Тора как полный канон</w:t>
      </w:r>
    </w:p>
    <w:p>
      <w:pPr>
        <w:widowControl/>
      </w:pPr>
      <w:r>
        <w:rPr>
          <w:rFonts w:ascii="Noto Serif" w:hAnsi="Noto Serif"/>
          <w:b w:val="0"/>
          <w:i w:val="0"/>
        </w:rPr>
        <w:t>Для самаритян каноническим Писанием является Пятикнижие — пять книг Торы. Это не «неполная Библия» и не случайная утрата последующих книг. Самаритянская религиозная традиция считает Моисееву Тору особым и исчерпывающим откровением: пророческий авторитет Моисея занимает в ней исключительное положение. Поэтому отсутствие в каноне самаритян Пророков и Писаний — граница корпуса, а не пробел, который обязательно нужно заполнить.</w:t>
      </w:r>
    </w:p>
    <w:p>
      <w:pPr>
        <w:widowControl/>
      </w:pPr>
      <w:r>
        <w:rPr>
          <w:rFonts w:ascii="Noto Serif" w:hAnsi="Noto Serif"/>
          <w:b w:val="0"/>
          <w:i w:val="0"/>
        </w:rPr>
        <w:t>Пять книг образуют единое движение. Бытие рассказывает о творении, праотцах, обещании земли и семье Израиля. В авторском пересказе Быт 1:1–2:4 мир возникает по упорядочивающему слову Бога; в Быт 12:1–9 Авраам получает призвание и направляется к земле обетования; Быт 15 и 22 связывают обещание с заветом и испытанием. В Быт 28 и 35 важны места откровения, а Быт 49 завершает книгу благословениями сыновей Иакова.</w:t>
      </w:r>
    </w:p>
    <w:p>
      <w:pPr>
        <w:widowControl/>
      </w:pPr>
      <w:r>
        <w:rPr>
          <w:rFonts w:ascii="Noto Serif" w:hAnsi="Noto Serif"/>
          <w:b w:val="0"/>
          <w:i w:val="0"/>
        </w:rPr>
        <w:t>Исход переводит историю семьи в историю народа. В авторском пересказе Исх 3 Моисей призван вывести Израиль из Египта; Исх 12 связывает освобождение с Пасхой; Исх 19–24 описывает Синай, завет и Декалог. Скиния в Исх 25–31 и 35–40 означает, что присутствие Бога находится среди общины, а не только в прошлом.</w:t>
      </w:r>
    </w:p>
    <w:p>
      <w:pPr>
        <w:widowControl/>
      </w:pPr>
      <w:r>
        <w:rPr>
          <w:rFonts w:ascii="Noto Serif" w:hAnsi="Noto Serif"/>
          <w:b w:val="0"/>
          <w:i w:val="0"/>
        </w:rPr>
        <w:t>Левит раскрывает порядок святости: жертвы, священство, очищение, День искупления и праздники. Числа рассказывают о движении лагеря, конфликтах, священстве, пустыне и границах земли. Второзаконие превращает память в наставление: Моисей перед входом в землю повторяет закон и требует от Израиля не просто помнить события, но жить в соответствии с заветом.</w:t>
      </w:r>
    </w:p>
    <w:p>
      <w:pPr>
        <w:pStyle w:val="Heading3"/>
        <w:keepNext/>
        <w:widowControl/>
      </w:pPr>
      <w:r>
        <w:rPr>
          <w:rFonts w:ascii="Noto Serif" w:hAnsi="Noto Serif"/>
          <w:b w:val="0"/>
          <w:i w:val="0"/>
        </w:rPr>
        <w:t>Гаризим как ось чтения</w:t>
      </w:r>
    </w:p>
    <w:p>
      <w:pPr>
        <w:widowControl/>
      </w:pPr>
      <w:r>
        <w:rPr>
          <w:rFonts w:ascii="Noto Serif" w:hAnsi="Noto Serif"/>
          <w:b w:val="0"/>
          <w:i w:val="0"/>
        </w:rPr>
        <w:t>В самаритянской традиции эти книги читаются с особым вниманием к месту избрания. Втор 11:29 описывает две горы — Гаризим для благословения и Евал для проклятия. В следующем стихе упоминается район Шехема и дубравы Море; в авторском пересказе это географическая рамка, связывающая священную церемонию с центральной горной областью страны. В Втор 12, 16, 17, 18 и 26 самаритянская форма текста особенно последовательно говорит о месте, которое Бог уже избрал, тогда как масоретская форма часто оставляет это место без названия.</w:t>
      </w:r>
    </w:p>
    <w:p>
      <w:pPr>
        <w:widowControl/>
      </w:pPr>
      <w:r>
        <w:rPr>
          <w:rFonts w:ascii="Noto Serif" w:hAnsi="Noto Serif"/>
          <w:b w:val="0"/>
          <w:i w:val="0"/>
        </w:rPr>
        <w:t>Гаризим — не только географическая отметка. Для самаритян это место памяти, священства, молитвы и коллективной жизни. Но нельзя смешивать текстовый слой с археологическим: стих не датируется автоматически по храму, а храм — по стиху. История самаритянского святилища и история формулировки Торы пересекаются, но не совпадают.</w:t>
      </w:r>
    </w:p>
    <w:p>
      <w:pPr>
        <w:pStyle w:val="Heading3"/>
        <w:keepNext/>
        <w:widowControl/>
      </w:pPr>
      <w:r>
        <w:rPr>
          <w:rFonts w:ascii="Noto Serif" w:hAnsi="Noto Serif"/>
          <w:b w:val="0"/>
          <w:i w:val="0"/>
        </w:rPr>
        <w:t>Как читать расхождения</w:t>
      </w:r>
    </w:p>
    <w:p>
      <w:pPr>
        <w:widowControl/>
      </w:pPr>
      <w:r>
        <w:rPr>
          <w:rFonts w:ascii="Noto Serif" w:hAnsi="Noto Serif"/>
          <w:b w:val="0"/>
          <w:i w:val="0"/>
        </w:rPr>
        <w:t>Сравнение с масоретским текстом (MT) показывает тысячи различий, но «различие» — не синоним «искажение». Многие варианты орфографические: более полное или краткое написание слова. Другие касаются местоимений, глагольных форм, синтаксиса и нормализации языка. Есть гармонизации: редактор или переписчик согласует два похожих рассказа. Есть крупные расширения, иногда общие с древними рукописями Кумрана или греческим переводом.</w:t>
      </w:r>
    </w:p>
    <w:p>
      <w:pPr>
        <w:widowControl/>
      </w:pPr>
      <w:r>
        <w:rPr>
          <w:rFonts w:ascii="Noto Serif" w:hAnsi="Noto Serif"/>
          <w:b w:val="0"/>
          <w:i w:val="0"/>
        </w:rPr>
        <w:t>Поэтому вопрос следует ставить не так: «Где самаритяне испортили текст?» Точнее спросить: какие формы еврейского Пятикнижия существовали в древности, какие из них сохранились в разных общинах и какие варианты приобрели особое значение для самаритянской памяти?</w:t>
      </w:r>
    </w:p>
    <w:p>
      <w:pPr>
        <w:keepLines/>
        <w:widowControl/>
        <w:spacing w:before="20" w:after="40" w:line="240" w:lineRule="auto"/>
      </w:pPr>
      <w:r>
        <w:rPr>
          <w:rFonts w:ascii="Noto Serif" w:hAnsi="Noto Serif"/>
          <w:b/>
          <w:i w:val="0"/>
          <w:color w:val="46516A"/>
          <w:sz w:val="16"/>
        </w:rPr>
        <w:t>Источники к главе:</w:t>
      </w:r>
      <w:r>
        <w:rPr>
          <w:rFonts w:ascii="Noto Serif" w:hAnsi="Noto Serif"/>
          <w:b w:val="0"/>
          <w:i w:val="0"/>
          <w:color w:val="46516A"/>
          <w:sz w:val="16"/>
        </w:rPr>
        <w:t xml:space="preserve"> Hjelm, “The Samaritan and Jewish Versions of the Pentateuch: A Survey,” </w:t>
      </w:r>
      <w:r>
        <w:rPr>
          <w:rFonts w:ascii="Noto Serif" w:hAnsi="Noto Serif"/>
          <w:b w:val="0"/>
          <w:i/>
          <w:color w:val="46516A"/>
          <w:sz w:val="16"/>
        </w:rPr>
        <w:t>Religions</w:t>
      </w:r>
      <w:r>
        <w:rPr>
          <w:rFonts w:ascii="Noto Serif" w:hAnsi="Noto Serif"/>
          <w:b w:val="0"/>
          <w:i w:val="0"/>
          <w:color w:val="46516A"/>
          <w:sz w:val="16"/>
        </w:rPr>
        <w:t xml:space="preserve"> 11/2 (2020), §§1–5, DOI 10.3390/rel11020085; Florentin and Tal, </w:t>
      </w:r>
      <w:r>
        <w:rPr>
          <w:rFonts w:ascii="Noto Serif" w:hAnsi="Noto Serif"/>
          <w:b w:val="0"/>
          <w:i/>
          <w:color w:val="46516A"/>
          <w:sz w:val="16"/>
        </w:rPr>
        <w:t>The Samaritan Pentateuch: An English Translation with a Parallel Annotated Hebrew Text</w:t>
      </w:r>
      <w:r>
        <w:rPr>
          <w:rFonts w:ascii="Noto Serif" w:hAnsi="Noto Serif"/>
          <w:b w:val="0"/>
          <w:i w:val="0"/>
          <w:color w:val="46516A"/>
          <w:sz w:val="16"/>
        </w:rPr>
        <w:t xml:space="preserve"> (Open Book Publishers, 2025), pp. 14–32, 85–896; Cambridge University Library, MS Add.1846, запись “The Samaritan Pentateuch,” </w:t>
      </w:r>
      <w:hyperlink r:id="rId12">
        <w:r>
          <w:rPr>
            <w:color w:val="087E87"/>
            <w:u w:val="single"/>
            <w:rFonts w:ascii="Noto Sans" w:hAnsi="Noto Sans"/>
          </w:rPr>
          <w:t>https://cudl.lib.cam.ac.uk/view/MS-ADD-01846/8</w:t>
        </w:r>
      </w:hyperlink>
      <w:r>
        <w:rPr>
          <w:rFonts w:ascii="Noto Serif" w:hAnsi="Noto Serif"/>
          <w:b w:val="0"/>
          <w:i w:val="0"/>
          <w:color w:val="46516A"/>
          <w:sz w:val="16"/>
        </w:rPr>
        <w:t>.</w:t>
      </w:r>
    </w:p>
    <w:p>
      <w:pPr>
        <w:spacing w:after="40"/>
        <w:widowControl/>
        <w:pBdr>
          <w:bottom w:val="single" w:sz="3" w:color="D9C991"/>
        </w:pBdr>
      </w:pPr>
    </w:p>
    <w:p>
      <w:pPr>
        <w:pStyle w:val="Heading2"/>
        <w:keepNext/>
        <w:widowControl/>
      </w:pPr>
      <w:r>
        <w:rPr>
          <w:rFonts w:ascii="Noto Serif" w:hAnsi="Noto Serif"/>
          <w:b w:val="0"/>
          <w:i w:val="0"/>
        </w:rPr>
        <w:t>Глава 2. От древнего текста к средневековой рукописи</w:t>
      </w:r>
    </w:p>
    <w:p>
      <w:pPr>
        <w:widowControl/>
      </w:pPr>
    </w:p>
    <w:p>
      <w:pPr>
        <w:widowControl/>
        <w:spacing w:before="120" w:after="60"/>
        <w:jc w:val="center"/>
      </w:pPr>
      <w:r>
        <w:rPr>
          <w:rFonts w:ascii="Noto Serif" w:hAnsi="Noto Serif"/>
        </w:rPr>
        <w:drawing>
          <wp:inline xmlns:a="http://schemas.openxmlformats.org/drawingml/2006/main" xmlns:pic="http://schemas.openxmlformats.org/drawingml/2006/picture">
            <wp:extent cx="3977639" cy="2651759"/>
            <wp:docPr id="2" name="Picture 2"/>
            <wp:cNvGraphicFramePr>
              <a:graphicFrameLocks noChangeAspect="1"/>
            </wp:cNvGraphicFramePr>
            <a:graphic>
              <a:graphicData uri="http://schemas.openxmlformats.org/drawingml/2006/picture">
                <pic:pic>
                  <pic:nvPicPr>
                    <pic:cNvPr id="0" name="02-manuscript.jpg"/>
                    <pic:cNvPicPr/>
                  </pic:nvPicPr>
                  <pic:blipFill>
                    <a:blip r:embed="rId13"/>
                    <a:stretch>
                      <a:fillRect/>
                    </a:stretch>
                  </pic:blipFill>
                  <pic:spPr>
                    <a:xfrm>
                      <a:off x="0" y="0"/>
                      <a:ext cx="3977639" cy="2651759"/>
                    </a:xfrm>
                    <a:prstGeom prst="rect"/>
                  </pic:spPr>
                </pic:pic>
              </a:graphicData>
            </a:graphic>
          </wp:inline>
        </w:drawing>
      </w:r>
    </w:p>
    <w:p>
      <w:pPr>
        <w:widowControl/>
        <w:spacing w:after="140"/>
        <w:jc w:val="center"/>
      </w:pPr>
      <w:r>
        <w:rPr>
          <w:rFonts w:ascii="Noto Serif" w:hAnsi="Noto Serif"/>
          <w:i/>
          <w:color w:val="5C6475"/>
          <w:sz w:val="16"/>
        </w:rPr>
        <w:t>Средневековый кодекс на пюпитре; страницы оставлены без надписей</w:t>
      </w:r>
    </w:p>
    <w:p>
      <w:pPr>
        <w:pStyle w:val="Heading3"/>
        <w:keepNext/>
        <w:widowControl/>
      </w:pPr>
      <w:r>
        <w:rPr>
          <w:rFonts w:ascii="Noto Serif" w:hAnsi="Noto Serif"/>
          <w:b w:val="0"/>
          <w:i w:val="0"/>
        </w:rPr>
        <w:t>Почему древняя традиция дошла в поздних списках</w:t>
      </w:r>
    </w:p>
    <w:p>
      <w:pPr>
        <w:widowControl/>
      </w:pPr>
      <w:r>
        <w:rPr>
          <w:rFonts w:ascii="Noto Serif" w:hAnsi="Noto Serif"/>
          <w:b w:val="0"/>
          <w:i w:val="0"/>
        </w:rPr>
        <w:t>Самаритянская Тора древнее сохранившихся самаритянских кодексов. Это простое, но принципиальное различие. Ни один средневековый пергаменный список не является автографом Моисея или прямым материальным продолжением эпохи Второго Храма. Рукопись — свидетель цепи передачи, а не сама цепь целиком.</w:t>
      </w:r>
    </w:p>
    <w:p>
      <w:pPr>
        <w:widowControl/>
      </w:pPr>
      <w:r>
        <w:rPr>
          <w:rFonts w:ascii="Noto Serif" w:hAnsi="Noto Serif"/>
          <w:b w:val="0"/>
          <w:i w:val="0"/>
        </w:rPr>
        <w:t>Cambridge Add.1846, известный также как Burnt Codex или Codex Zurbil, — пергаменный кодекс из Наблуса, около 1100 года и не позднее 1149–1150 годов. В каталоге Cambridge University Library он описан как, вероятно, древнейшая сохранившаяся рукопись Самаритянского Пятикнижия. В нём 227 листов, текст переписан пятью руками. Начало Бытия и конец Второзакония утрачены: сохранившийся текст начинается не с Быт 1:1, а примерно с Быт 1:29, а конец книги Второзакония повреждён после Втор 33:1. Дата 1149–1150 подтверждается записью на листе 103 recto, а не легендой о седой древности.</w:t>
      </w:r>
    </w:p>
    <w:p>
      <w:pPr>
        <w:widowControl/>
      </w:pPr>
      <w:r>
        <w:rPr>
          <w:rFonts w:ascii="Noto Serif" w:hAnsi="Noto Serif"/>
          <w:b w:val="0"/>
          <w:i w:val="0"/>
        </w:rPr>
        <w:t>Материальная история Add.1846 особенно поучительна. На листе 137 verso есть рассказ о спасении кодекса из пожара 1201 года; на листе 188 verso — поздняя и исторически ненадёжная легенда, связывающая рукопись с Навуходоносором и Зоровавелем. Эти записи важны как история почитания рукописи, но не как датировка пергамена.</w:t>
      </w:r>
    </w:p>
    <w:p>
      <w:pPr>
        <w:pStyle w:val="Heading3"/>
        <w:keepNext/>
        <w:widowControl/>
      </w:pPr>
      <w:r>
        <w:rPr>
          <w:rFonts w:ascii="Noto Serif" w:hAnsi="Noto Serif"/>
          <w:b w:val="0"/>
          <w:i w:val="0"/>
        </w:rPr>
        <w:t>Другие контрольные точки</w:t>
      </w:r>
    </w:p>
    <w:p>
      <w:pPr>
        <w:widowControl/>
      </w:pPr>
      <w:r>
        <w:rPr>
          <w:rFonts w:ascii="Noto Serif" w:hAnsi="Noto Serif"/>
          <w:b w:val="0"/>
          <w:i w:val="0"/>
        </w:rPr>
        <w:t>Manchester Samaritan MS 1 — полный кодекс Пятикнижия, датированный 607 годом хиджры, то есть 1211 годом н. э. Каталог John Rylands Research Institute and Library называет его древнейшим датированным полным самаритянским Пятикнижием вне Наблуса. Это иной критерий, чем у Add.1846: Cambridge-кодекс старше, но неполон и не имеет простой единой даты; Manchester-кодекс моложе, зато полный и датированный.</w:t>
      </w:r>
    </w:p>
    <w:p>
      <w:pPr>
        <w:widowControl/>
      </w:pPr>
      <w:r>
        <w:rPr>
          <w:rFonts w:ascii="Noto Serif" w:hAnsi="Noto Serif"/>
          <w:b w:val="0"/>
          <w:i w:val="0"/>
        </w:rPr>
        <w:t>Кодекс New York Public Library P (Ms. Heb. 228), прежде Hebrew-Samaritan Ms. 1, — полный пергаменный список 1232 года, 549 страниц, написанный самаритянским/палеоеврейским письмом. Каталог связывает его с писцом Abraham ben Israel ha-Nasi. Вертикальный колофон на листах Второзакония говорит, что это была его 74-я Тора, и сопоставляет исламскую и самаритянскую хронологии. Это свидетельство работы писца и общинной памяти, не абсолютная шкала возраста текста.</w:t>
      </w:r>
    </w:p>
    <w:p>
      <w:pPr>
        <w:widowControl/>
      </w:pPr>
      <w:r>
        <w:rPr>
          <w:rFonts w:ascii="Noto Serif" w:hAnsi="Noto Serif"/>
          <w:b w:val="0"/>
          <w:i w:val="0"/>
        </w:rPr>
        <w:t xml:space="preserve">Dublin Chester Beatty MS 751, переписанный Abi Barakata в 1225 году, почти полный, стал базовым свидетелем для </w:t>
      </w:r>
      <w:r>
        <w:rPr>
          <w:rFonts w:ascii="Noto Serif" w:hAnsi="Noto Serif"/>
          <w:b w:val="0"/>
          <w:i/>
        </w:rPr>
        <w:t>The Samaritan Pentateuch: A Critical Editio Maior</w:t>
      </w:r>
      <w:r>
        <w:rPr>
          <w:rFonts w:ascii="Noto Serif" w:hAnsi="Noto Serif"/>
          <w:b w:val="0"/>
          <w:i w:val="0"/>
        </w:rPr>
        <w:t xml:space="preserve">, vol. 3: </w:t>
      </w:r>
      <w:r>
        <w:rPr>
          <w:rFonts w:ascii="Noto Serif" w:hAnsi="Noto Serif"/>
          <w:b w:val="0"/>
          <w:i/>
        </w:rPr>
        <w:t>Leviticus</w:t>
      </w:r>
      <w:r>
        <w:rPr>
          <w:rFonts w:ascii="Noto Serif" w:hAnsi="Noto Serif"/>
          <w:b w:val="0"/>
          <w:i w:val="0"/>
        </w:rPr>
        <w:t xml:space="preserve"> (Stefan Schorch, De Gruyter, 2018). В нём недостающие семь листов конца Второзакония дополняются другим старым свидетелем. Выбор базового кодекса не означает, что он «единственный оригинал»: это редакционное решение, позволяющее последовательно показать варианты.</w:t>
      </w:r>
    </w:p>
    <w:p>
      <w:pPr>
        <w:pStyle w:val="Heading3"/>
        <w:keepNext/>
        <w:widowControl/>
      </w:pPr>
      <w:r>
        <w:rPr>
          <w:rFonts w:ascii="Noto Serif" w:hAnsi="Noto Serif"/>
          <w:b w:val="0"/>
          <w:i w:val="0"/>
        </w:rPr>
        <w:t>Свиток Абиши и колофон</w:t>
      </w:r>
    </w:p>
    <w:p>
      <w:pPr>
        <w:widowControl/>
      </w:pPr>
      <w:r>
        <w:rPr>
          <w:rFonts w:ascii="Noto Serif" w:hAnsi="Noto Serif"/>
          <w:b w:val="0"/>
          <w:i w:val="0"/>
        </w:rPr>
        <w:t>Особое место занимает Свиток Абиши из Наблуса. Колофон, начинающийся у Втор 6:4, приписывает письмо Абише, правнуку Аарона, и датирует его тринадцатым годом после входа Израиля в Ханаан. Это важнейшее свидетельство самаритянской самопрезентации: рукопись помещается в непосредственную линию Аарона и раннего Израиля. Но такая дата не является надёжной абсолютной датировкой сохранившегося пергамена.</w:t>
      </w:r>
    </w:p>
    <w:p>
      <w:pPr>
        <w:widowControl/>
      </w:pPr>
      <w:r>
        <w:rPr>
          <w:rFonts w:ascii="Noto Serif" w:hAnsi="Noto Serif"/>
          <w:b w:val="0"/>
          <w:i w:val="0"/>
        </w:rPr>
        <w:t>I. Hjelm сообщает о писцовой дате 1065 года и о научной датировке около середины XII века, приблизительно 1149 годом, с поздними заплатами и дополнениями. Emanuel Tov осторожнее говорит о вероятном XIII веке. Gaster высказывал мнение о первоначальном свитке V–IV веков до н. э., но это не установленный возраст нынешнего предмета. Правильный вывод: Абиша — сложный, повреждённый и дополнявшийся объект; его легендарный колофон нельзя превращать в паспорт каждого фрагмента.</w:t>
      </w:r>
    </w:p>
    <w:p>
      <w:pPr>
        <w:keepLines/>
        <w:widowControl/>
        <w:spacing w:before="20" w:after="40" w:line="240" w:lineRule="auto"/>
      </w:pPr>
      <w:r>
        <w:rPr>
          <w:rFonts w:ascii="Noto Serif" w:hAnsi="Noto Serif"/>
          <w:b/>
          <w:i w:val="0"/>
          <w:color w:val="46516A"/>
          <w:sz w:val="16"/>
        </w:rPr>
        <w:t>Источники к главе:</w:t>
      </w:r>
      <w:r>
        <w:rPr>
          <w:rFonts w:ascii="Noto Serif" w:hAnsi="Noto Serif"/>
          <w:b w:val="0"/>
          <w:i w:val="0"/>
          <w:color w:val="46516A"/>
          <w:sz w:val="16"/>
        </w:rPr>
        <w:t xml:space="preserve"> Cambridge University Library, MS Add.1846, fols. 103r, 137v, 188v; John Rylands Research Institute and Library, “Samaritan Manuscripts,” </w:t>
      </w:r>
      <w:hyperlink r:id="rId14">
        <w:r>
          <w:rPr>
            <w:color w:val="087E87"/>
            <w:u w:val="single"/>
            <w:rFonts w:ascii="Noto Sans" w:hAnsi="Noto Sans"/>
          </w:rPr>
          <w:t>https://www.digitalcollections.manchester.ac.uk/collections/samaritan</w:t>
        </w:r>
      </w:hyperlink>
      <w:r>
        <w:rPr>
          <w:rFonts w:ascii="Noto Serif" w:hAnsi="Noto Serif"/>
          <w:b w:val="0"/>
          <w:i w:val="0"/>
          <w:color w:val="46516A"/>
          <w:sz w:val="16"/>
        </w:rPr>
        <w:t xml:space="preserve">; New York Public Library, P (Ms. Heb. 228), </w:t>
      </w:r>
      <w:hyperlink r:id="rId15">
        <w:r>
          <w:rPr>
            <w:color w:val="087E87"/>
            <w:u w:val="single"/>
            <w:rFonts w:ascii="Noto Sans" w:hAnsi="Noto Sans"/>
          </w:rPr>
          <w:t>https://catalog.nypl.org/record=b16307591~S1</w:t>
        </w:r>
      </w:hyperlink>
      <w:r>
        <w:rPr>
          <w:rFonts w:ascii="Noto Serif" w:hAnsi="Noto Serif"/>
          <w:b w:val="0"/>
          <w:i w:val="0"/>
          <w:color w:val="46516A"/>
          <w:sz w:val="16"/>
        </w:rPr>
        <w:t xml:space="preserve">; Hjelm, 2020, §6.1; Tov, “Proto-Samaritan Texts and the Samaritan Pentateuch,” раздел “Editions and Translations,” </w:t>
      </w:r>
      <w:hyperlink r:id="rId16">
        <w:r>
          <w:rPr>
            <w:color w:val="087E87"/>
            <w:u w:val="single"/>
            <w:rFonts w:ascii="Noto Sans" w:hAnsi="Noto Sans"/>
          </w:rPr>
          <w:t>http://www.emanueltov.info/docs/varia/67.Proto-SamaritanTexts.2.pdf?v=1.0</w:t>
        </w:r>
      </w:hyperlink>
      <w:r>
        <w:rPr>
          <w:rFonts w:ascii="Noto Serif" w:hAnsi="Noto Serif"/>
          <w:b w:val="0"/>
          <w:i w:val="0"/>
          <w:color w:val="46516A"/>
          <w:sz w:val="16"/>
        </w:rPr>
        <w:t xml:space="preserve">; Pérez Castro, </w:t>
      </w:r>
      <w:r>
        <w:rPr>
          <w:rFonts w:ascii="Noto Serif" w:hAnsi="Noto Serif"/>
          <w:b w:val="0"/>
          <w:i/>
          <w:color w:val="46516A"/>
          <w:sz w:val="16"/>
        </w:rPr>
        <w:t>Séfer Abisa</w:t>
      </w:r>
      <w:r>
        <w:rPr>
          <w:rFonts w:ascii="Noto Serif" w:hAnsi="Noto Serif"/>
          <w:b w:val="0"/>
          <w:i w:val="0"/>
          <w:color w:val="46516A"/>
          <w:sz w:val="16"/>
        </w:rPr>
        <w:t xml:space="preserve"> (Madrid, 1959); Schorch, </w:t>
      </w:r>
      <w:r>
        <w:rPr>
          <w:rFonts w:ascii="Noto Serif" w:hAnsi="Noto Serif"/>
          <w:b w:val="0"/>
          <w:i/>
          <w:color w:val="46516A"/>
          <w:sz w:val="16"/>
        </w:rPr>
        <w:t>Critical Editio Maior</w:t>
      </w:r>
      <w:r>
        <w:rPr>
          <w:rFonts w:ascii="Noto Serif" w:hAnsi="Noto Serif"/>
          <w:b w:val="0"/>
          <w:i w:val="0"/>
          <w:color w:val="46516A"/>
          <w:sz w:val="16"/>
        </w:rPr>
        <w:t>, vol. 3 (2018).</w:t>
      </w:r>
    </w:p>
    <w:p>
      <w:pPr>
        <w:spacing w:after="40"/>
        <w:widowControl/>
        <w:pBdr>
          <w:bottom w:val="single" w:sz="3" w:color="D9C991"/>
        </w:pBdr>
      </w:pPr>
    </w:p>
    <w:p>
      <w:pPr>
        <w:pStyle w:val="Heading2"/>
        <w:keepNext/>
        <w:widowControl/>
      </w:pPr>
      <w:r>
        <w:rPr>
          <w:rFonts w:ascii="Noto Serif" w:hAnsi="Noto Serif"/>
          <w:b w:val="0"/>
          <w:i w:val="0"/>
        </w:rPr>
        <w:t>Глава 3. Самаритянская буква и редакторская работа</w:t>
      </w:r>
    </w:p>
    <w:p>
      <w:pPr>
        <w:pStyle w:val="Heading3"/>
        <w:keepNext/>
        <w:widowControl/>
      </w:pPr>
      <w:r>
        <w:rPr>
          <w:rFonts w:ascii="Noto Serif" w:hAnsi="Noto Serif"/>
          <w:b w:val="0"/>
          <w:i w:val="0"/>
        </w:rPr>
        <w:t>Письмо не равно возрасту</w:t>
      </w:r>
    </w:p>
    <w:p>
      <w:pPr>
        <w:widowControl/>
      </w:pPr>
      <w:r>
        <w:rPr>
          <w:rFonts w:ascii="Noto Serif" w:hAnsi="Noto Serif"/>
          <w:b w:val="0"/>
          <w:i w:val="0"/>
        </w:rPr>
        <w:t>Самаритянское письмо развилось из палеоеврейского, но это не значит, что каждая рукопись в нём непосредственно сохраняет графику эпохи царств. Cambridge описывает письмо Add.1846 как Samaritan bookhand, а Tov подчёркивает более позднюю историческую эволюцию формы, связанную с хасмонейской и последующими эпохами. Называть шрифт «неизменным древним израильским письмом» слишком просто.</w:t>
      </w:r>
    </w:p>
    <w:p>
      <w:pPr>
        <w:widowControl/>
      </w:pPr>
      <w:r>
        <w:rPr>
          <w:rFonts w:ascii="Noto Serif" w:hAnsi="Noto Serif"/>
          <w:b w:val="0"/>
          <w:i w:val="0"/>
        </w:rPr>
        <w:t>Сходным образом нельзя выводить дату текста из одного написания буквы. Писец мог копировать древнюю формулу современным почерком; поздняя рукопись могла сохранять более раннее чтение; новая орфография могла сопровождать старую редакторскую форму.</w:t>
      </w:r>
    </w:p>
    <w:p>
      <w:pPr>
        <w:pStyle w:val="Heading3"/>
        <w:keepNext/>
        <w:widowControl/>
      </w:pPr>
      <w:r>
        <w:rPr>
          <w:rFonts w:ascii="Noto Serif" w:hAnsi="Noto Serif"/>
          <w:b w:val="0"/>
          <w:i w:val="0"/>
        </w:rPr>
        <w:t>Как работают издания</w:t>
      </w:r>
    </w:p>
    <w:p>
      <w:pPr>
        <w:widowControl/>
      </w:pPr>
      <w:r>
        <w:rPr>
          <w:rFonts w:ascii="Noto Serif" w:hAnsi="Noto Serif"/>
          <w:b w:val="0"/>
          <w:i w:val="0"/>
        </w:rPr>
        <w:t xml:space="preserve">A. von Gall, </w:t>
      </w:r>
      <w:r>
        <w:rPr>
          <w:rFonts w:ascii="Noto Serif" w:hAnsi="Noto Serif"/>
          <w:b w:val="0"/>
          <w:i/>
        </w:rPr>
        <w:t>Der hebräische Pentateuch der Samaritaner</w:t>
      </w:r>
      <w:r>
        <w:rPr>
          <w:rFonts w:ascii="Noto Serif" w:hAnsi="Noto Serif"/>
          <w:b w:val="0"/>
          <w:i w:val="0"/>
        </w:rPr>
        <w:t>, I–IV (Giessen, 1914–1918; переизд. Berlin, 1966), долго оставался наиболее развитым старым изданием. Но это эклектический текст: редактор выбирал чтения из ограниченного числа рукописей и не всегда печатал чтение большинства. Показателен Быт 2:11: von Gall предпочёл форму h-s-b-b, близкую MT, хотя большинство самаритянских рукописей дают h-s-w-b-b. Поэтому книгу von Gall нельзя цитировать как фотографию одного кодекса или нейтральную репродукцию «оригинала».</w:t>
      </w:r>
    </w:p>
    <w:p>
      <w:pPr>
        <w:widowControl/>
      </w:pPr>
      <w:r>
        <w:rPr>
          <w:rFonts w:ascii="Noto Serif" w:hAnsi="Noto Serif"/>
          <w:b w:val="0"/>
          <w:i w:val="0"/>
        </w:rPr>
        <w:t xml:space="preserve">A. и R. Sadaqah, </w:t>
      </w:r>
      <w:r>
        <w:rPr>
          <w:rFonts w:ascii="Noto Serif" w:hAnsi="Noto Serif"/>
          <w:b w:val="0"/>
          <w:i/>
        </w:rPr>
        <w:t>Jewish and Samaritan Version of the Pentateuch</w:t>
      </w:r>
      <w:r>
        <w:rPr>
          <w:rFonts w:ascii="Noto Serif" w:hAnsi="Noto Serif"/>
          <w:b w:val="0"/>
          <w:i w:val="0"/>
        </w:rPr>
        <w:t xml:space="preserve"> (Jerusalem, 1965), печатают самаритянский и масоретский тексты параллельно и используют Абишу и другие старые свидетели. Это удобное сравнительное издание, но параллельная страница сама по себе не решает вопрос генеалогии вариантов.</w:t>
      </w:r>
    </w:p>
    <w:p>
      <w:pPr>
        <w:widowControl/>
      </w:pPr>
      <w:r>
        <w:rPr>
          <w:rFonts w:ascii="Noto Serif" w:hAnsi="Noto Serif"/>
          <w:b w:val="0"/>
          <w:i w:val="0"/>
        </w:rPr>
        <w:t xml:space="preserve">L. F. Girón-Blanc, </w:t>
      </w:r>
      <w:r>
        <w:rPr>
          <w:rFonts w:ascii="Noto Serif" w:hAnsi="Noto Serif"/>
          <w:b w:val="0"/>
          <w:i/>
        </w:rPr>
        <w:t>Pentateuco hebreo-samaritano: Génesis: edición crítica sobre la base de manuscritos inéditos</w:t>
      </w:r>
      <w:r>
        <w:rPr>
          <w:rFonts w:ascii="Noto Serif" w:hAnsi="Noto Serif"/>
          <w:b w:val="0"/>
          <w:i w:val="0"/>
        </w:rPr>
        <w:t xml:space="preserve"> (Madrid, 1976), основан на Add.1846 и сопоставляет варианты ещё четырнадцати источников. Здесь особенно заметно, что «самаритянский текст» существует как рукописная совокупность, а не как один средневековый экземпляр.</w:t>
      </w:r>
    </w:p>
    <w:p>
      <w:pPr>
        <w:widowControl/>
      </w:pPr>
      <w:r>
        <w:rPr>
          <w:rFonts w:ascii="Noto Serif" w:hAnsi="Noto Serif"/>
          <w:b w:val="0"/>
          <w:i w:val="0"/>
        </w:rPr>
        <w:t xml:space="preserve">Современный проект Schorch строится как дипломатическая </w:t>
      </w:r>
      <w:r>
        <w:rPr>
          <w:rFonts w:ascii="Noto Serif" w:hAnsi="Noto Serif"/>
          <w:b w:val="0"/>
          <w:i/>
        </w:rPr>
        <w:t>Editio Maior</w:t>
      </w:r>
      <w:r>
        <w:rPr>
          <w:rFonts w:ascii="Noto Serif" w:hAnsi="Noto Serif"/>
          <w:b w:val="0"/>
          <w:i w:val="0"/>
        </w:rPr>
        <w:t>. Пять аппаратов показывают: варианты рукописей, самаритянские переводные свидетельства, дополнительные знаки и вокализацию, параллели с Кумраном, LXX и Пешиттой, а также пунктуацию. Основной текст может быть набран квадратным еврейским письмом для доступности, тогда как самаритянские знаки сохраняются специальным шрифтом. Типографская форма издания не должна быть принята за вид оригинального списка.</w:t>
      </w:r>
    </w:p>
    <w:p>
      <w:pPr>
        <w:pStyle w:val="Heading3"/>
        <w:keepNext/>
        <w:widowControl/>
      </w:pPr>
      <w:r>
        <w:rPr>
          <w:rFonts w:ascii="Noto Serif" w:hAnsi="Noto Serif"/>
          <w:b w:val="0"/>
          <w:i w:val="0"/>
        </w:rPr>
        <w:t>Перевод и устное произношение</w:t>
      </w:r>
    </w:p>
    <w:p>
      <w:pPr>
        <w:widowControl/>
      </w:pPr>
      <w:r>
        <w:rPr>
          <w:rFonts w:ascii="Noto Serif" w:hAnsi="Noto Serif"/>
          <w:b w:val="0"/>
          <w:i w:val="0"/>
        </w:rPr>
        <w:t xml:space="preserve">Florentin и Tal, </w:t>
      </w:r>
      <w:r>
        <w:rPr>
          <w:rFonts w:ascii="Noto Serif" w:hAnsi="Noto Serif"/>
          <w:b w:val="0"/>
          <w:i/>
        </w:rPr>
        <w:t>The Samaritan Pentateuch: An English Translation with a Parallel Annotated Hebrew Text</w:t>
      </w:r>
      <w:r>
        <w:rPr>
          <w:rFonts w:ascii="Noto Serif" w:hAnsi="Noto Serif"/>
          <w:b w:val="0"/>
          <w:i w:val="0"/>
        </w:rPr>
        <w:t xml:space="preserve"> (2025), используют как представляющий свидетель Nablus 6, переписанный в 1204 году. Это не утверждение, что весь текст возник в 1204 году. Перевод опирается на грамматический разбор каждого слова, устное самаритянское произношение, а также самаритянские арамейские и арабские переводы. Иными словами, письменный согласный корпус и живая интерпретация чтения работают вместе.</w:t>
      </w:r>
    </w:p>
    <w:p>
      <w:pPr>
        <w:widowControl/>
      </w:pPr>
      <w:r>
        <w:rPr>
          <w:rFonts w:ascii="Noto Serif" w:hAnsi="Noto Serif"/>
          <w:b w:val="0"/>
          <w:i w:val="0"/>
        </w:rPr>
        <w:t>Компьютерный корпус DT-UCPH/sp полезен для исследователя, но требует осторожности: одинаковые согласные могут иметь иное самаритянское спряжение, чем ожидает масоретская модель. Автоматический разбор — помощник, а не замена филологическому чтению.</w:t>
      </w:r>
    </w:p>
    <w:p>
      <w:pPr>
        <w:keepLines/>
        <w:widowControl/>
        <w:spacing w:before="20" w:after="40" w:line="240" w:lineRule="auto"/>
      </w:pPr>
      <w:r>
        <w:rPr>
          <w:rFonts w:ascii="Noto Serif" w:hAnsi="Noto Serif"/>
          <w:b/>
          <w:i w:val="0"/>
          <w:color w:val="46516A"/>
          <w:sz w:val="16"/>
        </w:rPr>
        <w:t>Источники к главе:</w:t>
      </w:r>
      <w:r>
        <w:rPr>
          <w:rFonts w:ascii="Noto Serif" w:hAnsi="Noto Serif"/>
          <w:b w:val="0"/>
          <w:i w:val="0"/>
          <w:color w:val="46516A"/>
          <w:sz w:val="16"/>
        </w:rPr>
        <w:t xml:space="preserve"> von Gall, </w:t>
      </w:r>
      <w:r>
        <w:rPr>
          <w:rFonts w:ascii="Noto Serif" w:hAnsi="Noto Serif"/>
          <w:b w:val="0"/>
          <w:i/>
          <w:color w:val="46516A"/>
          <w:sz w:val="16"/>
        </w:rPr>
        <w:t>Der hebräische Pentateuch der Samaritaner</w:t>
      </w:r>
      <w:r>
        <w:rPr>
          <w:rFonts w:ascii="Noto Serif" w:hAnsi="Noto Serif"/>
          <w:b w:val="0"/>
          <w:i w:val="0"/>
          <w:color w:val="46516A"/>
          <w:sz w:val="16"/>
        </w:rPr>
        <w:t xml:space="preserve">, I–IV; Sadaqah, </w:t>
      </w:r>
      <w:r>
        <w:rPr>
          <w:rFonts w:ascii="Noto Serif" w:hAnsi="Noto Serif"/>
          <w:b w:val="0"/>
          <w:i/>
          <w:color w:val="46516A"/>
          <w:sz w:val="16"/>
        </w:rPr>
        <w:t>Jewish and Samaritan Version of the Pentateuch</w:t>
      </w:r>
      <w:r>
        <w:rPr>
          <w:rFonts w:ascii="Noto Serif" w:hAnsi="Noto Serif"/>
          <w:b w:val="0"/>
          <w:i w:val="0"/>
          <w:color w:val="46516A"/>
          <w:sz w:val="16"/>
        </w:rPr>
        <w:t xml:space="preserve"> (1965); Girón-Blanc, </w:t>
      </w:r>
      <w:r>
        <w:rPr>
          <w:rFonts w:ascii="Noto Serif" w:hAnsi="Noto Serif"/>
          <w:b w:val="0"/>
          <w:i/>
          <w:color w:val="46516A"/>
          <w:sz w:val="16"/>
        </w:rPr>
        <w:t>Pentateuco hebreo-samaritano: Génesis</w:t>
      </w:r>
      <w:r>
        <w:rPr>
          <w:rFonts w:ascii="Noto Serif" w:hAnsi="Noto Serif"/>
          <w:b w:val="0"/>
          <w:i w:val="0"/>
          <w:color w:val="46516A"/>
          <w:sz w:val="16"/>
        </w:rPr>
        <w:t xml:space="preserve"> (1976); Schorch, </w:t>
      </w:r>
      <w:r>
        <w:rPr>
          <w:rFonts w:ascii="Noto Serif" w:hAnsi="Noto Serif"/>
          <w:b w:val="0"/>
          <w:i/>
          <w:color w:val="46516A"/>
          <w:sz w:val="16"/>
        </w:rPr>
        <w:t>The Samaritan Pentateuch: A Critical Editio Maior</w:t>
      </w:r>
      <w:r>
        <w:rPr>
          <w:rFonts w:ascii="Noto Serif" w:hAnsi="Noto Serif"/>
          <w:b w:val="0"/>
          <w:i w:val="0"/>
          <w:color w:val="46516A"/>
          <w:sz w:val="16"/>
        </w:rPr>
        <w:t xml:space="preserve">, vol. 3 (2018); Stephen Campbell, review of Schorch, </w:t>
      </w:r>
      <w:hyperlink r:id="rId17">
        <w:r>
          <w:rPr>
            <w:color w:val="087E87"/>
            <w:u w:val="single"/>
            <w:rFonts w:ascii="Noto Sans" w:hAnsi="Noto Sans"/>
          </w:rPr>
          <w:t>https://www.textualcriticism.org/post/review-of-the-samaritan-pentateuch-a-critical-editio-maior</w:t>
        </w:r>
      </w:hyperlink>
      <w:r>
        <w:rPr>
          <w:rFonts w:ascii="Noto Serif" w:hAnsi="Noto Serif"/>
          <w:b w:val="0"/>
          <w:i w:val="0"/>
          <w:color w:val="46516A"/>
          <w:sz w:val="16"/>
        </w:rPr>
        <w:t xml:space="preserve">; Florentin and Tal (2025), pp. 14–32, 71–84, 85–896; Naaijer et al., “Text-Fabric Dataset of the Samaritan Pentateuch,” </w:t>
      </w:r>
      <w:r>
        <w:rPr>
          <w:rFonts w:ascii="Noto Serif" w:hAnsi="Noto Serif"/>
          <w:b w:val="0"/>
          <w:i/>
          <w:color w:val="46516A"/>
          <w:sz w:val="16"/>
        </w:rPr>
        <w:t>Research Data Journal</w:t>
      </w:r>
      <w:r>
        <w:rPr>
          <w:rFonts w:ascii="Noto Serif" w:hAnsi="Noto Serif"/>
          <w:b w:val="0"/>
          <w:i w:val="0"/>
          <w:color w:val="46516A"/>
          <w:sz w:val="16"/>
        </w:rPr>
        <w:t xml:space="preserve"> 9/1 (2024), pp. 1–13, DOI 10.1163/24523666-bja10051.</w:t>
      </w:r>
    </w:p>
    <w:p>
      <w:pPr>
        <w:spacing w:after="40"/>
        <w:widowControl/>
        <w:pBdr>
          <w:bottom w:val="single" w:sz="3" w:color="D9C991"/>
        </w:pBdr>
      </w:pPr>
    </w:p>
    <w:p>
      <w:pPr>
        <w:pStyle w:val="Heading2"/>
        <w:keepNext/>
        <w:widowControl/>
      </w:pPr>
      <w:r>
        <w:rPr>
          <w:rFonts w:ascii="Noto Serif" w:hAnsi="Noto Serif"/>
          <w:b w:val="0"/>
          <w:i w:val="0"/>
        </w:rPr>
        <w:t>Глава 4. Три текста, а не одна лестница</w:t>
      </w:r>
    </w:p>
    <w:p>
      <w:pPr>
        <w:widowControl/>
      </w:pPr>
    </w:p>
    <w:p>
      <w:pPr>
        <w:widowControl/>
        <w:spacing w:before="120" w:after="60"/>
        <w:jc w:val="center"/>
      </w:pPr>
      <w:r>
        <w:rPr>
          <w:rFonts w:ascii="Noto Serif" w:hAnsi="Noto Serif"/>
        </w:rPr>
        <w:drawing>
          <wp:inline xmlns:a="http://schemas.openxmlformats.org/drawingml/2006/main" xmlns:pic="http://schemas.openxmlformats.org/drawingml/2006/picture">
            <wp:extent cx="3977639" cy="2651759"/>
            <wp:docPr id="3" name="Picture 3"/>
            <wp:cNvGraphicFramePr>
              <a:graphicFrameLocks noChangeAspect="1"/>
            </wp:cNvGraphicFramePr>
            <a:graphic>
              <a:graphicData uri="http://schemas.openxmlformats.org/drawingml/2006/picture">
                <pic:pic>
                  <pic:nvPicPr>
                    <pic:cNvPr id="0" name="03-textual-witnesses.jpg"/>
                    <pic:cNvPicPr/>
                  </pic:nvPicPr>
                  <pic:blipFill>
                    <a:blip r:embed="rId18"/>
                    <a:stretch>
                      <a:fillRect/>
                    </a:stretch>
                  </pic:blipFill>
                  <pic:spPr>
                    <a:xfrm>
                      <a:off x="0" y="0"/>
                      <a:ext cx="3977639" cy="2651759"/>
                    </a:xfrm>
                    <a:prstGeom prst="rect"/>
                  </pic:spPr>
                </pic:pic>
              </a:graphicData>
            </a:graphic>
          </wp:inline>
        </w:drawing>
      </w:r>
    </w:p>
    <w:p>
      <w:pPr>
        <w:widowControl/>
        <w:spacing w:after="140"/>
        <w:jc w:val="center"/>
      </w:pPr>
      <w:r>
        <w:rPr>
          <w:rFonts w:ascii="Noto Serif" w:hAnsi="Noto Serif"/>
          <w:i/>
          <w:color w:val="5C6475"/>
          <w:sz w:val="16"/>
        </w:rPr>
        <w:t>Несколько рукописных свидетелей на архивном столе</w:t>
      </w:r>
    </w:p>
    <w:p>
      <w:pPr>
        <w:pStyle w:val="Heading3"/>
        <w:keepNext/>
        <w:widowControl/>
      </w:pPr>
      <w:r>
        <w:rPr>
          <w:rFonts w:ascii="Noto Serif" w:hAnsi="Noto Serif"/>
          <w:b w:val="0"/>
          <w:i w:val="0"/>
        </w:rPr>
        <w:t>MT, LXX и SP</w:t>
      </w:r>
    </w:p>
    <w:p>
      <w:pPr>
        <w:widowControl/>
      </w:pPr>
      <w:r>
        <w:rPr>
          <w:rFonts w:ascii="Noto Serif" w:hAnsi="Noto Serif"/>
          <w:b w:val="0"/>
          <w:i w:val="0"/>
        </w:rPr>
        <w:t>Масоретский текст — поздняя стандартизированная форма еврейского текста, известная через средневековую рукописную традицию. Септуагинта — древний греческий перевод, созданный по еврейским исходным текстам, которые могли отличаться от позднейшего MT. Самаритянское Пятикнижие — самостоятельная еврейская традиция, засвидетельствованная в полном виде средневековыми рукописями, но включающая варианты, существовавшие значительно раньше.</w:t>
      </w:r>
    </w:p>
    <w:p>
      <w:pPr>
        <w:widowControl/>
      </w:pPr>
      <w:r>
        <w:rPr>
          <w:rFonts w:ascii="Noto Serif" w:hAnsi="Noto Serif"/>
          <w:b w:val="0"/>
          <w:i w:val="0"/>
        </w:rPr>
        <w:t>Отношения между ними нельзя представить как лестницу: сначала «оригинал», затем MT, затем SP или наоборот. В древности циркулировало несколько текстовых форм. Некоторые были близки MT, другие LXX, третьи — SP, а четвёртые не совпадали полностью ни с одной из них.</w:t>
      </w:r>
    </w:p>
    <w:p>
      <w:pPr>
        <w:pStyle w:val="Heading3"/>
        <w:keepNext/>
        <w:widowControl/>
      </w:pPr>
      <w:r>
        <w:rPr>
          <w:rFonts w:ascii="Noto Serif" w:hAnsi="Noto Serif"/>
          <w:b w:val="0"/>
          <w:i w:val="0"/>
        </w:rPr>
        <w:t>Четыре типа различий</w:t>
      </w:r>
    </w:p>
    <w:p>
      <w:pPr>
        <w:widowControl/>
      </w:pPr>
      <w:r>
        <w:rPr>
          <w:rFonts w:ascii="Noto Serif" w:hAnsi="Noto Serif"/>
          <w:b w:val="0"/>
          <w:i w:val="0"/>
        </w:rPr>
        <w:t>Первый тип — орфография и грамматика. Это plene/defective написание, различия местоимений, глагольных форм, синтаксическое выравнивание и особенности самаритянского еврейского. Такой вариант может менять звучание, но не обязательно содержание.</w:t>
      </w:r>
    </w:p>
    <w:p>
      <w:pPr>
        <w:widowControl/>
      </w:pPr>
      <w:r>
        <w:rPr>
          <w:rFonts w:ascii="Noto Serif" w:hAnsi="Noto Serif"/>
          <w:b w:val="0"/>
          <w:i w:val="0"/>
        </w:rPr>
        <w:t>Второй тип — гармонизация. В СП Втор 10:6–7 краткий маршрут MT переработан так, чтобы согласоваться с маршрутом Чис 33:31–38. В СП Чис 20:13 добавлены материалы, напоминающие Втор 3:24–28 и 2:2–6; Чис 21:21–23 также расширен. Это редакторская работа по сведению параллельных рассказов, а не механическая случайная приписка.</w:t>
      </w:r>
    </w:p>
    <w:p>
      <w:pPr>
        <w:widowControl/>
      </w:pPr>
      <w:r>
        <w:rPr>
          <w:rFonts w:ascii="Noto Serif" w:hAnsi="Noto Serif"/>
          <w:b w:val="0"/>
          <w:i w:val="0"/>
        </w:rPr>
        <w:t>Третий тип — расширение. В Чис 4:14 появляется инструкция покрыть умывальник и его подставки; сходное чтение есть в LXX, поэтому нельзя без доказательства объявлять его поздней самаритянской вставкой. В Быт 5 и 11 самаритянские хронологические формы сближаются с LXX; такое совпадение может отражать древний общий текст, а не заимствование из греческого.</w:t>
      </w:r>
    </w:p>
    <w:p>
      <w:pPr>
        <w:widowControl/>
      </w:pPr>
      <w:r>
        <w:rPr>
          <w:rFonts w:ascii="Noto Serif" w:hAnsi="Noto Serif"/>
          <w:b w:val="0"/>
          <w:i w:val="0"/>
        </w:rPr>
        <w:t>Четвёртый тип — культовая локализация. Здесь особенно важны Гаризим, избранное место и самаритянское десятое слово. Но слово «идеологический» описывает функцию чтения, не обязательно его дату и происхождение. Даже явно важная для самаритян идентичность редакция могла использовать древний материал, а не создавать его из ничего.</w:t>
      </w:r>
    </w:p>
    <w:p>
      <w:pPr>
        <w:pStyle w:val="Heading3"/>
        <w:keepNext/>
        <w:widowControl/>
      </w:pPr>
      <w:r>
        <w:rPr>
          <w:rFonts w:ascii="Noto Serif" w:hAnsi="Noto Serif"/>
          <w:b w:val="0"/>
          <w:i w:val="0"/>
        </w:rPr>
        <w:t>Почему совпадение с LXX не доказывает зависимость</w:t>
      </w:r>
    </w:p>
    <w:p>
      <w:pPr>
        <w:widowControl/>
      </w:pPr>
      <w:r>
        <w:rPr>
          <w:rFonts w:ascii="Noto Serif" w:hAnsi="Noto Serif"/>
          <w:b w:val="0"/>
          <w:i w:val="0"/>
        </w:rPr>
        <w:t>Если SP и LXX расходятся с MT одинаково, возможны несколько объяснений: обе традиции сохранили древнее еврейское чтение; одна из них независимо гармонизировала текст; греческий переводчик использовал еврейскую Vorlage, близкую к самаритянской. Требуется реконструировать конкретную Vorlage LXX и проверить распределение вариантов.</w:t>
      </w:r>
    </w:p>
    <w:p>
      <w:pPr>
        <w:widowControl/>
      </w:pPr>
      <w:r>
        <w:rPr>
          <w:rFonts w:ascii="Noto Serif" w:hAnsi="Noto Serif"/>
          <w:b w:val="0"/>
          <w:i w:val="0"/>
        </w:rPr>
        <w:t>То же относится к Кумрану. Совпадение SP с 4Q22 или 4Q27 показывает древность конкретного чтения, но не означает, что кумранский свиток был самаритянским или что средневековая рукопись переписана с него напрямую.</w:t>
      </w:r>
    </w:p>
    <w:p>
      <w:pPr>
        <w:keepLines/>
        <w:widowControl/>
        <w:spacing w:before="20" w:after="40" w:line="240" w:lineRule="auto"/>
      </w:pPr>
      <w:r>
        <w:rPr>
          <w:rFonts w:ascii="Noto Serif" w:hAnsi="Noto Serif"/>
          <w:b/>
          <w:i w:val="0"/>
          <w:color w:val="46516A"/>
          <w:sz w:val="16"/>
        </w:rPr>
        <w:t>Источники к главе:</w:t>
      </w:r>
      <w:r>
        <w:rPr>
          <w:rFonts w:ascii="Noto Serif" w:hAnsi="Noto Serif"/>
          <w:b w:val="0"/>
          <w:i w:val="0"/>
          <w:color w:val="46516A"/>
          <w:sz w:val="16"/>
        </w:rPr>
        <w:t xml:space="preserve"> Hjelm, 2020, art. 85; Emanuel Tov, “Proto-Samaritan Texts and the Samaritan Pentateuch”; Eugene Ulrich, “The Samaritan and Masoretic Pentateuch,” in </w:t>
      </w:r>
      <w:r>
        <w:rPr>
          <w:rFonts w:ascii="Noto Serif" w:hAnsi="Noto Serif"/>
          <w:b w:val="0"/>
          <w:i/>
          <w:color w:val="46516A"/>
          <w:sz w:val="16"/>
        </w:rPr>
        <w:t>Sibyls, Scriptures, and Scrolls</w:t>
      </w:r>
      <w:r>
        <w:rPr>
          <w:rFonts w:ascii="Noto Serif" w:hAnsi="Noto Serif"/>
          <w:b w:val="0"/>
          <w:i w:val="0"/>
          <w:color w:val="46516A"/>
          <w:sz w:val="16"/>
        </w:rPr>
        <w:t xml:space="preserve"> (Leiden: Brill, 2017), pp. 1314–1329; Tov and Sidnie White, “4Q364. Reworked Pentateuch b,” </w:t>
      </w:r>
      <w:r>
        <w:rPr>
          <w:rFonts w:ascii="Noto Serif" w:hAnsi="Noto Serif"/>
          <w:b w:val="0"/>
          <w:i/>
          <w:color w:val="46516A"/>
          <w:sz w:val="16"/>
        </w:rPr>
        <w:t>DJD</w:t>
      </w:r>
      <w:r>
        <w:rPr>
          <w:rFonts w:ascii="Noto Serif" w:hAnsi="Noto Serif"/>
          <w:b w:val="0"/>
          <w:i w:val="0"/>
          <w:color w:val="46516A"/>
          <w:sz w:val="16"/>
        </w:rPr>
        <w:t xml:space="preserve"> XIII (1994), pp. 197–254; Tov, “Biblical Texts and Interpretations in the Dead Sea Scrolls,” </w:t>
      </w:r>
      <w:r>
        <w:rPr>
          <w:rFonts w:ascii="Noto Serif" w:hAnsi="Noto Serif"/>
          <w:b w:val="0"/>
          <w:i/>
          <w:color w:val="46516A"/>
          <w:sz w:val="16"/>
        </w:rPr>
        <w:t>Oxford Research Encyclopedia of Religion</w:t>
      </w:r>
      <w:r>
        <w:rPr>
          <w:rFonts w:ascii="Noto Serif" w:hAnsi="Noto Serif"/>
          <w:b w:val="0"/>
          <w:i w:val="0"/>
          <w:color w:val="46516A"/>
          <w:sz w:val="16"/>
        </w:rPr>
        <w:t xml:space="preserve"> (2025).</w:t>
      </w:r>
    </w:p>
    <w:p>
      <w:pPr>
        <w:spacing w:after="40"/>
        <w:widowControl/>
        <w:pBdr>
          <w:bottom w:val="single" w:sz="3" w:color="D9C991"/>
        </w:pBdr>
      </w:pPr>
    </w:p>
    <w:p>
      <w:pPr>
        <w:pStyle w:val="Heading2"/>
        <w:keepNext/>
        <w:widowControl/>
      </w:pPr>
      <w:r>
        <w:rPr>
          <w:rFonts w:ascii="Noto Serif" w:hAnsi="Noto Serif"/>
          <w:b w:val="0"/>
          <w:i w:val="0"/>
        </w:rPr>
        <w:t>Глава 5. Кумранские родственники, но не копия</w:t>
      </w:r>
    </w:p>
    <w:p>
      <w:pPr>
        <w:pStyle w:val="Heading3"/>
        <w:keepNext/>
        <w:widowControl/>
      </w:pPr>
      <w:r>
        <w:rPr>
          <w:rFonts w:ascii="Noto Serif" w:hAnsi="Noto Serif"/>
          <w:b w:val="0"/>
          <w:i w:val="0"/>
        </w:rPr>
        <w:t>Что означает «протосамаритянский»</w:t>
      </w:r>
    </w:p>
    <w:p>
      <w:pPr>
        <w:widowControl/>
      </w:pPr>
      <w:r>
        <w:rPr>
          <w:rFonts w:ascii="Noto Serif" w:hAnsi="Noto Serif"/>
          <w:b w:val="0"/>
          <w:i w:val="0"/>
        </w:rPr>
        <w:t>В исследованиях употребляется термин «протосамаритянские тексты». Это текстологическое, а не этническое обозначение. Оно не говорит, что конкретный писец был самаритянином или исповедовал позднейшую самаритянскую религию. Речь идёт о группе древних еврейских текстов Второго Храма, в которых видны формы расширения, гармонизации и орфографии, позднее особенно заметные в СП.</w:t>
      </w:r>
    </w:p>
    <w:p>
      <w:pPr>
        <w:widowControl/>
      </w:pPr>
      <w:r>
        <w:rPr>
          <w:rFonts w:ascii="Noto Serif" w:hAnsi="Noto Serif"/>
          <w:b w:val="0"/>
          <w:i w:val="0"/>
        </w:rPr>
        <w:t>К близким свидетелям относят 4Q17, 4Q22 (4QpaleoExodm), 4Q27 (4QNumb), а также переработанные Пятикнижия 4Q158 и 4Q364–4Q367. Они фрагментарны, датируются эпохой Второго Храма и показывают, что текстовое многообразие возникло задолго до средневековых кодексов.</w:t>
      </w:r>
    </w:p>
    <w:p>
      <w:pPr>
        <w:pStyle w:val="Heading3"/>
        <w:keepNext/>
        <w:widowControl/>
      </w:pPr>
      <w:r>
        <w:rPr>
          <w:rFonts w:ascii="Noto Serif" w:hAnsi="Noto Serif"/>
          <w:b w:val="0"/>
          <w:i w:val="0"/>
        </w:rPr>
        <w:t>4Q22 и Гаризимская композиция</w:t>
      </w:r>
    </w:p>
    <w:p>
      <w:pPr>
        <w:widowControl/>
      </w:pPr>
      <w:r>
        <w:rPr>
          <w:rFonts w:ascii="Noto Serif" w:hAnsi="Noto Serif"/>
          <w:b w:val="0"/>
          <w:i w:val="0"/>
        </w:rPr>
        <w:t>Особое значение имеет 4Q22. Hila Dayfani в статье “4QpaleoExodm and the Gerizim Composition” (</w:t>
      </w:r>
      <w:r>
        <w:rPr>
          <w:rFonts w:ascii="Noto Serif" w:hAnsi="Noto Serif"/>
          <w:b w:val="0"/>
          <w:i/>
        </w:rPr>
        <w:t>Journal of Biblical Literature</w:t>
      </w:r>
      <w:r>
        <w:rPr>
          <w:rFonts w:ascii="Noto Serif" w:hAnsi="Noto Serif"/>
          <w:b w:val="0"/>
          <w:i w:val="0"/>
        </w:rPr>
        <w:t xml:space="preserve"> 141/4, 2022, pp. 673–698) аргументирует, что геризимская композиция была включена в этот длинный предсамаритянский свиток. Это пересматривает более раннее мнение, будто соответствующего блока в нём нет.</w:t>
      </w:r>
    </w:p>
    <w:p>
      <w:pPr>
        <w:widowControl/>
      </w:pPr>
      <w:r>
        <w:rPr>
          <w:rFonts w:ascii="Noto Serif" w:hAnsi="Noto Serif"/>
          <w:b w:val="0"/>
          <w:i w:val="0"/>
        </w:rPr>
        <w:t>Но даже если реконструкция Dayfani верна, 4Q22 не становится «самаритянским Пятикнижием в готовом виде». Он остаётся древним фрагментарным свидетелем, а SP — поздним полным текстовым корпусом. Между ними были этапы копирования, отбора и редакторской стабилизации.</w:t>
      </w:r>
    </w:p>
    <w:p>
      <w:pPr>
        <w:pStyle w:val="Heading3"/>
        <w:keepNext/>
        <w:widowControl/>
      </w:pPr>
      <w:r>
        <w:rPr>
          <w:rFonts w:ascii="Noto Serif" w:hAnsi="Noto Serif"/>
          <w:b w:val="0"/>
          <w:i w:val="0"/>
        </w:rPr>
        <w:t>Почему нельзя строить прямую генеалогию</w:t>
      </w:r>
    </w:p>
    <w:p>
      <w:pPr>
        <w:widowControl/>
      </w:pPr>
      <w:r>
        <w:rPr>
          <w:rFonts w:ascii="Noto Serif" w:hAnsi="Noto Serif"/>
          <w:b w:val="0"/>
          <w:i w:val="0"/>
        </w:rPr>
        <w:t>Во-первых, совпадения неполны. Некоторые расширения есть в кумранских свитках, но отсутствуют в СП; некоторые чтения СП отсутствуют в соответствующем фрагменте. Во-вторых, отдельные кумранские тексты имеют собственные переработки. 4Q41 расширяет заповедь субботы во Втор 5 материалом Исх 20, но это расширение не вошло в СП. 4Q158, фрагменты 6–7, имеет собственную форму расширения синайского эпизода. В Чис 25:4 СП предлагает редакционную формулировку, которой нет в 4Q27.</w:t>
      </w:r>
    </w:p>
    <w:p>
      <w:pPr>
        <w:widowControl/>
      </w:pPr>
      <w:r>
        <w:rPr>
          <w:rFonts w:ascii="Noto Serif" w:hAnsi="Noto Serif"/>
          <w:b w:val="0"/>
          <w:i w:val="0"/>
        </w:rPr>
        <w:t>В-третьих, «протосамаритянский» — кластер, а не имя одного предка. Он помогает понять древность типа текста, но не даёт нам единственной линии: «кумранский свиток — готовая самаритянская редакция — средневековый кодекс».</w:t>
      </w:r>
    </w:p>
    <w:p>
      <w:pPr>
        <w:pStyle w:val="Heading3"/>
        <w:keepNext/>
        <w:widowControl/>
      </w:pPr>
      <w:r>
        <w:rPr>
          <w:rFonts w:ascii="Noto Serif" w:hAnsi="Noto Serif"/>
          <w:b w:val="0"/>
          <w:i w:val="0"/>
        </w:rPr>
        <w:t>Установленное и реконструируемое</w:t>
      </w:r>
    </w:p>
    <w:p>
      <w:pPr>
        <w:widowControl/>
      </w:pPr>
      <w:r>
        <w:rPr>
          <w:rFonts w:ascii="Noto Serif" w:hAnsi="Noto Serif"/>
          <w:b w:val="0"/>
          <w:i w:val="0"/>
        </w:rPr>
        <w:t>Установлено, что ряд чтений СП имеет древние параллели; что крупные гармонизации существовали в эпоху Второго Храма; что в Кумране были тексты, близкие к MT, LXX, SP и не совпадающие ни с одной из этих форм. Реконструируется, но не доказано одной рукописью, сколько редакционных слоёв стоит за СП, был ли геризимский блок результатом одного акта и какое древнее свидетельство непосредственно предшествовало средневековой самаритянской традиции.</w:t>
      </w:r>
    </w:p>
    <w:p>
      <w:pPr>
        <w:keepLines/>
        <w:widowControl/>
        <w:spacing w:before="20" w:after="40" w:line="240" w:lineRule="auto"/>
      </w:pPr>
      <w:r>
        <w:rPr>
          <w:rFonts w:ascii="Noto Serif" w:hAnsi="Noto Serif"/>
          <w:b/>
          <w:i w:val="0"/>
          <w:color w:val="46516A"/>
          <w:sz w:val="16"/>
        </w:rPr>
        <w:t>Источники к главе:</w:t>
      </w:r>
      <w:r>
        <w:rPr>
          <w:rFonts w:ascii="Noto Serif" w:hAnsi="Noto Serif"/>
          <w:b w:val="0"/>
          <w:i w:val="0"/>
          <w:color w:val="46516A"/>
          <w:sz w:val="16"/>
        </w:rPr>
        <w:t xml:space="preserve"> Dayfani, “4QpaleoExodm and the Gerizim Composition,” </w:t>
      </w:r>
      <w:r>
        <w:rPr>
          <w:rFonts w:ascii="Noto Serif" w:hAnsi="Noto Serif"/>
          <w:b w:val="0"/>
          <w:i/>
          <w:color w:val="46516A"/>
          <w:sz w:val="16"/>
        </w:rPr>
        <w:t>JBL</w:t>
      </w:r>
      <w:r>
        <w:rPr>
          <w:rFonts w:ascii="Noto Serif" w:hAnsi="Noto Serif"/>
          <w:b w:val="0"/>
          <w:i w:val="0"/>
          <w:color w:val="46516A"/>
          <w:sz w:val="16"/>
        </w:rPr>
        <w:t xml:space="preserve"> 141/4 (2022), pp. 673–698, DOI 10.15699/jbl.1414.2022.5; Dayfani, “The Major Additions in the Samaritan Pentateuch Tradition,” </w:t>
      </w:r>
      <w:r>
        <w:rPr>
          <w:rFonts w:ascii="Noto Serif" w:hAnsi="Noto Serif"/>
          <w:b w:val="0"/>
          <w:i/>
          <w:color w:val="46516A"/>
          <w:sz w:val="16"/>
        </w:rPr>
        <w:t>Vetus Testamentum</w:t>
      </w:r>
      <w:r>
        <w:rPr>
          <w:rFonts w:ascii="Noto Serif" w:hAnsi="Noto Serif"/>
          <w:b w:val="0"/>
          <w:i w:val="0"/>
          <w:color w:val="46516A"/>
          <w:sz w:val="16"/>
        </w:rPr>
        <w:t xml:space="preserve"> 75/3 (2025), pp. 335–359; Tov and White, </w:t>
      </w:r>
      <w:r>
        <w:rPr>
          <w:rFonts w:ascii="Noto Serif" w:hAnsi="Noto Serif"/>
          <w:b w:val="0"/>
          <w:i/>
          <w:color w:val="46516A"/>
          <w:sz w:val="16"/>
        </w:rPr>
        <w:t>DJD</w:t>
      </w:r>
      <w:r>
        <w:rPr>
          <w:rFonts w:ascii="Noto Serif" w:hAnsi="Noto Serif"/>
          <w:b w:val="0"/>
          <w:i w:val="0"/>
          <w:color w:val="46516A"/>
          <w:sz w:val="16"/>
        </w:rPr>
        <w:t xml:space="preserve"> XIII (1994), pp. 197–254; Hjelm, 2020; Israel Antiquities Authority, Dead Sea Scrolls Digital Library, 4Q38 (4QDeut k), </w:t>
      </w:r>
      <w:hyperlink r:id="rId19">
        <w:r>
          <w:rPr>
            <w:color w:val="087E87"/>
            <w:u w:val="single"/>
            <w:rFonts w:ascii="Noto Sans" w:hAnsi="Noto Sans"/>
          </w:rPr>
          <w:t>https://www.deadseascrolls.org.il/explore-the-archive/manuscript/4Q38-1?locale=en_US</w:t>
        </w:r>
      </w:hyperlink>
      <w:r>
        <w:rPr>
          <w:rFonts w:ascii="Noto Serif" w:hAnsi="Noto Serif"/>
          <w:b w:val="0"/>
          <w:i w:val="0"/>
          <w:color w:val="46516A"/>
          <w:sz w:val="16"/>
        </w:rPr>
        <w:t>.</w:t>
      </w:r>
    </w:p>
    <w:p>
      <w:pPr>
        <w:spacing w:after="40"/>
        <w:widowControl/>
        <w:pBdr>
          <w:bottom w:val="single" w:sz="3" w:color="D9C991"/>
        </w:pBdr>
      </w:pPr>
    </w:p>
    <w:p>
      <w:pPr>
        <w:pStyle w:val="Heading2"/>
        <w:keepNext/>
        <w:widowControl/>
      </w:pPr>
      <w:r>
        <w:rPr>
          <w:rFonts w:ascii="Noto Serif" w:hAnsi="Noto Serif"/>
          <w:b w:val="0"/>
          <w:i w:val="0"/>
        </w:rPr>
        <w:t>Глава 6. Евал или Гаризим? Второзаконие 27:4</w:t>
      </w:r>
    </w:p>
    <w:p>
      <w:pPr>
        <w:widowControl/>
      </w:pPr>
    </w:p>
    <w:p>
      <w:pPr>
        <w:widowControl/>
        <w:spacing w:before="120" w:after="60"/>
        <w:jc w:val="center"/>
      </w:pPr>
      <w:r>
        <w:rPr>
          <w:rFonts w:ascii="Noto Serif" w:hAnsi="Noto Serif"/>
        </w:rPr>
        <w:drawing>
          <wp:inline xmlns:a="http://schemas.openxmlformats.org/drawingml/2006/main" xmlns:pic="http://schemas.openxmlformats.org/drawingml/2006/picture">
            <wp:extent cx="3977639" cy="2983229"/>
            <wp:docPr id="4" name="Picture 4"/>
            <wp:cNvGraphicFramePr>
              <a:graphicFrameLocks noChangeAspect="1"/>
            </wp:cNvGraphicFramePr>
            <a:graphic>
              <a:graphicData uri="http://schemas.openxmlformats.org/drawingml/2006/picture">
                <pic:pic>
                  <pic:nvPicPr>
                    <pic:cNvPr id="0" name="04-mount-gerizim.jpg"/>
                    <pic:cNvPicPr/>
                  </pic:nvPicPr>
                  <pic:blipFill>
                    <a:blip r:embed="rId20"/>
                    <a:stretch>
                      <a:fillRect/>
                    </a:stretch>
                  </pic:blipFill>
                  <pic:spPr>
                    <a:xfrm>
                      <a:off x="0" y="0"/>
                      <a:ext cx="3977639" cy="2983229"/>
                    </a:xfrm>
                    <a:prstGeom prst="rect"/>
                  </pic:spPr>
                </pic:pic>
              </a:graphicData>
            </a:graphic>
          </wp:inline>
        </w:drawing>
      </w:r>
    </w:p>
    <w:p>
      <w:pPr>
        <w:widowControl/>
        <w:spacing w:after="140"/>
        <w:jc w:val="center"/>
      </w:pPr>
      <w:r>
        <w:rPr>
          <w:rFonts w:ascii="Noto Serif" w:hAnsi="Noto Serif"/>
          <w:i/>
          <w:color w:val="5C6475"/>
          <w:sz w:val="16"/>
        </w:rPr>
        <w:t>Холмы и оливковые террасы горы Гаризим</w:t>
      </w:r>
    </w:p>
    <w:p>
      <w:pPr>
        <w:pStyle w:val="Heading3"/>
        <w:keepNext/>
        <w:widowControl/>
      </w:pPr>
      <w:r>
        <w:rPr>
          <w:rFonts w:ascii="Noto Serif" w:hAnsi="Noto Serif"/>
          <w:b w:val="0"/>
          <w:i w:val="0"/>
        </w:rPr>
        <w:t>Что говорит MT</w:t>
      </w:r>
    </w:p>
    <w:p>
      <w:pPr>
        <w:widowControl/>
      </w:pPr>
      <w:r>
        <w:rPr>
          <w:rFonts w:ascii="Noto Serif" w:hAnsi="Noto Serif"/>
          <w:b w:val="0"/>
          <w:i w:val="0"/>
        </w:rPr>
        <w:t>Втор 27:1–7 описывает церемонию после перехода Иордана. В авторском пересказе Моисей и старейшины велят поставить большие камни, покрыть их известью, написать на них слова Торы, воздвигнуть алтарь из необработанных камней и совершить мирные жертвы. В MT место камней и алтаря в ст. 4 названо «горой Евал»; в ст. 5–7 продолжается описание алтаря и трапезы перед Богом.</w:t>
      </w:r>
    </w:p>
    <w:p>
      <w:pPr>
        <w:widowControl/>
      </w:pPr>
      <w:r>
        <w:rPr>
          <w:rFonts w:ascii="Noto Serif" w:hAnsi="Noto Serif"/>
          <w:b w:val="0"/>
          <w:i w:val="0"/>
        </w:rPr>
        <w:t>Втор 11:29 задаёт пару гор: Гаризим — гора благословения, Евал — гора проклятия. Ст. 30 связывает эту сцену с дорогой за Иорданом, районом дубравы Море и окрестностями Шехема. Поэтому уже в MT существует напряжение: благословение локализовано на Гаризиме, а алтарь в 27:4 — на Евале.</w:t>
      </w:r>
    </w:p>
    <w:p>
      <w:pPr>
        <w:pStyle w:val="Heading3"/>
        <w:keepNext/>
        <w:widowControl/>
      </w:pPr>
      <w:r>
        <w:rPr>
          <w:rFonts w:ascii="Noto Serif" w:hAnsi="Noto Serif"/>
          <w:b w:val="0"/>
          <w:i w:val="0"/>
        </w:rPr>
        <w:t>Что читает SP</w:t>
      </w:r>
    </w:p>
    <w:p>
      <w:pPr>
        <w:widowControl/>
      </w:pPr>
      <w:r>
        <w:rPr>
          <w:rFonts w:ascii="Noto Serif" w:hAnsi="Noto Serif"/>
          <w:b w:val="0"/>
          <w:i w:val="0"/>
        </w:rPr>
        <w:t>Самаритянское Пятикнижие в Втор 27:4 читает «гора Гаризим» вместо «гора Евал». В авторском пересказе получается последовательная сцена: там, где Израиль должен записать Тору, поставить камни и построить алтарь, находится Гаризим — гора благословения и избранного святилища. В конце Втор 11:30 SP добавляет локализацию «напротив Шехема», делая географическую логику ещё явнее.</w:t>
      </w:r>
    </w:p>
    <w:p>
      <w:pPr>
        <w:widowControl/>
      </w:pPr>
      <w:r>
        <w:rPr>
          <w:rFonts w:ascii="Noto Serif" w:hAnsi="Noto Serif"/>
          <w:b w:val="0"/>
          <w:i w:val="0"/>
        </w:rPr>
        <w:t>Старое объяснение считало Гаризим тенденциозной самаритянской заменой Евала. Такое объяснение действительно учитывает функцию чтения: оно поддерживает самаритянскую сакральную географию и устраняет напряжение между 11:29 и 27:4. Но оно не закрывает вопрос о происхождении чтения.</w:t>
      </w:r>
    </w:p>
    <w:p>
      <w:pPr>
        <w:pStyle w:val="Heading3"/>
        <w:keepNext/>
        <w:widowControl/>
      </w:pPr>
      <w:r>
        <w:rPr>
          <w:rFonts w:ascii="Noto Serif" w:hAnsi="Noto Serif"/>
          <w:b w:val="0"/>
          <w:i w:val="0"/>
        </w:rPr>
        <w:t>Аргументы в пользу древности Гаризима</w:t>
      </w:r>
    </w:p>
    <w:p>
      <w:pPr>
        <w:widowControl/>
      </w:pPr>
      <w:r>
        <w:rPr>
          <w:rFonts w:ascii="Noto Serif" w:hAnsi="Noto Serif"/>
          <w:b w:val="0"/>
          <w:i w:val="0"/>
        </w:rPr>
        <w:t>Древнегреческая традиция требует различать слои. Обычный печатный текст LXX в Втор 27:12–13 сохраняет пару Гаризим–Евал: первая гора — гора благословения, вторая — гора проклятия. Это не значит, что вся LXX в ст. 4 единогласно читает Гаризим. В рукописи P. Giessen 13, 19, 22, 26 сообщается чтение «Гаризим» именно в 27:4. Но спорят, что это за свидетель: Rahlfs и Glaue связывали его с Самарейтиконом, тогда как Tov считал ревизией LXX. Поэтому корректно говорить о древнем греческом свидетельстве, а не безоговорочно о «единогласной LXX».</w:t>
      </w:r>
    </w:p>
    <w:p>
      <w:pPr>
        <w:widowControl/>
      </w:pPr>
      <w:r>
        <w:rPr>
          <w:rFonts w:ascii="Noto Serif" w:hAnsi="Noto Serif"/>
          <w:b w:val="0"/>
          <w:i w:val="0"/>
        </w:rPr>
        <w:t>Обсуждаются также древние фрагменты Второзакония и кумранские свидетельства. Однако фрагменты, которые иногда называют 4QDeut-frag. и связывают с чтением Гаризима, остаются спорными: их подлинность, классификация и реконструкция обсуждались. Официальная запись 4Q38 подтверждает существование рукописи геродианского периода, но сама по себе не утверждает чтение Гаризима в 27:4.</w:t>
      </w:r>
    </w:p>
    <w:p>
      <w:pPr>
        <w:pStyle w:val="Heading3"/>
        <w:keepNext/>
        <w:widowControl/>
      </w:pPr>
      <w:r>
        <w:rPr>
          <w:rFonts w:ascii="Noto Serif" w:hAnsi="Noto Serif"/>
          <w:b w:val="0"/>
          <w:i w:val="0"/>
        </w:rPr>
        <w:t>Две конкурирующие модели</w:t>
      </w:r>
    </w:p>
    <w:p>
      <w:pPr>
        <w:widowControl/>
      </w:pPr>
      <w:r>
        <w:rPr>
          <w:rFonts w:ascii="Noto Serif" w:hAnsi="Noto Serif"/>
          <w:b w:val="0"/>
          <w:i w:val="0"/>
        </w:rPr>
        <w:t>Первая модель: MT сохраняет более раннее чтение Евала, а SP заменяет его Гаризимом ради самаритянской культовой полемики. В пользу модели говорит прозрачная связь с действующим святилищем Гаризима и с редакторскими усилениями места избрания.</w:t>
      </w:r>
    </w:p>
    <w:p>
      <w:pPr>
        <w:widowControl/>
      </w:pPr>
      <w:r>
        <w:rPr>
          <w:rFonts w:ascii="Noto Serif" w:hAnsi="Noto Serif"/>
          <w:b w:val="0"/>
          <w:i w:val="0"/>
        </w:rPr>
        <w:t>Вторая модель: Гаризим — древнее чтение, а Евал возник в иудейской текстовой линии как замена или как форма, лучше согласующаяся с собственной иерусалимской картиной культа. В пользу модели приводят древние греческие и кумранские параллели, а также то, что самаритянская форма не обязательно была создана в поздней средневековой общине.</w:t>
      </w:r>
    </w:p>
    <w:p>
      <w:pPr>
        <w:widowControl/>
      </w:pPr>
      <w:r>
        <w:rPr>
          <w:rFonts w:ascii="Noto Serif" w:hAnsi="Noto Serif"/>
          <w:b w:val="0"/>
          <w:i w:val="0"/>
        </w:rPr>
        <w:t>Ни одна модель не доказана окончательно. Археологический алтарь на Евале не решает вопрос: даже если его датировка и функция обсуждаемы, нельзя автоматически отождествить раскопанное сооружение с алтарём Втор 27. Текст и археологический объект требуют независимой аргументации.</w:t>
      </w:r>
    </w:p>
    <w:p>
      <w:pPr>
        <w:widowControl/>
      </w:pPr>
      <w:r>
        <w:rPr>
          <w:rFonts w:ascii="Noto Serif" w:hAnsi="Noto Serif"/>
          <w:b w:val="0"/>
          <w:i w:val="0"/>
        </w:rPr>
        <w:t>Самый осторожный вывод таков: MT-Евал и SP-Гаризим — конкурирующие древние формы текста; чтение Гаризим имеет древние параллели, но его первоначальность не доказана. Называть SP просто «искажением» — слишком грубо; называть Гаризим бесспорно первоначальным — тоже выходит за пределы свидетельств.</w:t>
      </w:r>
    </w:p>
    <w:p>
      <w:pPr>
        <w:keepLines/>
        <w:widowControl/>
        <w:spacing w:before="20" w:after="40" w:line="240" w:lineRule="auto"/>
      </w:pPr>
      <w:r>
        <w:rPr>
          <w:rFonts w:ascii="Noto Serif" w:hAnsi="Noto Serif"/>
          <w:b/>
          <w:i w:val="0"/>
          <w:color w:val="46516A"/>
          <w:sz w:val="16"/>
        </w:rPr>
        <w:t>Источники к главе:</w:t>
      </w:r>
      <w:r>
        <w:rPr>
          <w:rFonts w:ascii="Noto Serif" w:hAnsi="Noto Serif"/>
          <w:b w:val="0"/>
          <w:i w:val="0"/>
          <w:color w:val="46516A"/>
          <w:sz w:val="16"/>
        </w:rPr>
        <w:t xml:space="preserve"> MT, Втор 11:29–30; 27:1–13; Brenton Septuagint, Втор 27:12–13, </w:t>
      </w:r>
      <w:hyperlink r:id="rId21">
        <w:r>
          <w:rPr>
            <w:color w:val="087E87"/>
            <w:u w:val="single"/>
            <w:rFonts w:ascii="Noto Sans" w:hAnsi="Noto Sans"/>
          </w:rPr>
          <w:t>https://thehistoricfaith.com/audio-bible/listen/septuagint/deuteronomy/27</w:t>
        </w:r>
      </w:hyperlink>
      <w:r>
        <w:rPr>
          <w:rFonts w:ascii="Noto Serif" w:hAnsi="Noto Serif"/>
          <w:b w:val="0"/>
          <w:i w:val="0"/>
          <w:color w:val="46516A"/>
          <w:sz w:val="16"/>
        </w:rPr>
        <w:t xml:space="preserve">; Samaritan Pentateuch, Втор 27:4–7, </w:t>
      </w:r>
      <w:hyperlink r:id="rId22">
        <w:r>
          <w:rPr>
            <w:color w:val="087E87"/>
            <w:u w:val="single"/>
            <w:rFonts w:ascii="Noto Sans" w:hAnsi="Noto Sans"/>
          </w:rPr>
          <w:t>https://intertextual.bible/text/deuteronomy-27.4/samaritan-deuteronomy-27.4</w:t>
        </w:r>
      </w:hyperlink>
      <w:r>
        <w:rPr>
          <w:rFonts w:ascii="Noto Serif" w:hAnsi="Noto Serif"/>
          <w:b w:val="0"/>
          <w:i w:val="0"/>
          <w:color w:val="46516A"/>
          <w:sz w:val="16"/>
        </w:rPr>
        <w:t xml:space="preserve">; Joosten, исследование P. Giessen, Oxford Research Archive, </w:t>
      </w:r>
      <w:hyperlink r:id="rId23">
        <w:r>
          <w:rPr>
            <w:color w:val="087E87"/>
            <w:u w:val="single"/>
            <w:rFonts w:ascii="Noto Sans" w:hAnsi="Noto Sans"/>
          </w:rPr>
          <w:t>https://ora.ox.ac.uk/objects/uuid:c9091a7b-e005-42f3-8334-0180e0393c45/files/md5f4060ba05c9008ded523cc04d9ef87</w:t>
        </w:r>
      </w:hyperlink>
      <w:r>
        <w:rPr>
          <w:rFonts w:ascii="Noto Serif" w:hAnsi="Noto Serif"/>
          <w:b w:val="0"/>
          <w:i w:val="0"/>
          <w:color w:val="46516A"/>
          <w:sz w:val="16"/>
        </w:rPr>
        <w:t xml:space="preserve">; Ben-Dov, “An Altar on Mt Ebal or Mt Gerizim?” </w:t>
      </w:r>
      <w:hyperlink r:id="rId24">
        <w:r>
          <w:rPr>
            <w:color w:val="087E87"/>
            <w:u w:val="single"/>
            <w:rFonts w:ascii="Noto Sans" w:hAnsi="Noto Sans"/>
          </w:rPr>
          <w:t>https://www.thetorah.com/article/an-altar-on-mt-ebal-or-mt-gerizim-the-torah-in-the-sectarian-debate</w:t>
        </w:r>
      </w:hyperlink>
      <w:r>
        <w:rPr>
          <w:rFonts w:ascii="Noto Serif" w:hAnsi="Noto Serif"/>
          <w:b w:val="0"/>
          <w:i w:val="0"/>
          <w:color w:val="46516A"/>
          <w:sz w:val="16"/>
        </w:rPr>
        <w:t xml:space="preserve">; Revell, “Cult Centralization in the Samaritan Pentateuch and the Origin of Deuteronomy,” </w:t>
      </w:r>
      <w:r>
        <w:rPr>
          <w:rFonts w:ascii="Noto Serif" w:hAnsi="Noto Serif"/>
          <w:b w:val="0"/>
          <w:i/>
          <w:color w:val="46516A"/>
          <w:sz w:val="16"/>
        </w:rPr>
        <w:t>JSOT</w:t>
      </w:r>
      <w:r>
        <w:rPr>
          <w:rFonts w:ascii="Noto Serif" w:hAnsi="Noto Serif"/>
          <w:b w:val="0"/>
          <w:i w:val="0"/>
          <w:color w:val="46516A"/>
          <w:sz w:val="16"/>
        </w:rPr>
        <w:t xml:space="preserve"> (2014); Hjelm, 2020, §“The Cult Place”.</w:t>
      </w:r>
    </w:p>
    <w:p>
      <w:pPr>
        <w:spacing w:after="40"/>
        <w:widowControl/>
        <w:pBdr>
          <w:bottom w:val="single" w:sz="3" w:color="D9C991"/>
        </w:pBdr>
      </w:pPr>
    </w:p>
    <w:p>
      <w:pPr>
        <w:pStyle w:val="Heading2"/>
        <w:keepNext/>
        <w:widowControl/>
      </w:pPr>
      <w:r>
        <w:rPr>
          <w:rFonts w:ascii="Noto Serif" w:hAnsi="Noto Serif"/>
          <w:b w:val="0"/>
          <w:i w:val="0"/>
        </w:rPr>
        <w:t>Глава 7. Самаритянское десятое слово</w:t>
      </w:r>
    </w:p>
    <w:p>
      <w:pPr>
        <w:pStyle w:val="Heading3"/>
        <w:keepNext/>
        <w:widowControl/>
      </w:pPr>
      <w:r>
        <w:rPr>
          <w:rFonts w:ascii="Noto Serif" w:hAnsi="Noto Serif"/>
          <w:b w:val="0"/>
          <w:i w:val="0"/>
        </w:rPr>
        <w:t>Что именно является «десятым»</w:t>
      </w:r>
    </w:p>
    <w:p>
      <w:pPr>
        <w:widowControl/>
      </w:pPr>
      <w:r>
        <w:rPr>
          <w:rFonts w:ascii="Noto Serif" w:hAnsi="Noto Serif"/>
          <w:b w:val="0"/>
          <w:i w:val="0"/>
        </w:rPr>
        <w:t>В самаритянской традиции Декалог включает композицию, которой нет в обычном MT-порядке. После запрета пожелания имущества ближнего — Исх 20:17 и Втор 5:21 в масоретской нумерации — самаритянский текст помещает материал о месте, где Израиль должен установить камни, написать Тору и построить алтарь.</w:t>
      </w:r>
    </w:p>
    <w:p>
      <w:pPr>
        <w:widowControl/>
      </w:pPr>
      <w:r>
        <w:rPr>
          <w:rFonts w:ascii="Noto Serif" w:hAnsi="Noto Serif"/>
          <w:b w:val="0"/>
          <w:i w:val="0"/>
        </w:rPr>
        <w:t>Это не короткая новая заповедь вроде «почитай Гаризим». Это литературно оформленный блок, составленный из Втор 11:29–30 и 27:2–7. В авторском пересказе SP говорит: когда Бог приведёт Израиль в землю, после перехода Иордана нужно поставить большие камни, записать слова закона, направиться к Гаризиму, соорудить алтарь из цельных камней, принести мирные жертвы, есть и радоваться перед Богом; место находится напротив Шехема, у дубравы Море. Этот блок появляется в SP-Исх 20:17 и SP-Втор 5:21.</w:t>
      </w:r>
    </w:p>
    <w:p>
      <w:pPr>
        <w:pStyle w:val="Heading3"/>
        <w:keepNext/>
        <w:widowControl/>
      </w:pPr>
      <w:r>
        <w:rPr>
          <w:rFonts w:ascii="Noto Serif" w:hAnsi="Noto Serif"/>
          <w:b w:val="0"/>
          <w:i w:val="0"/>
        </w:rPr>
        <w:t>Почему композиция важна</w:t>
      </w:r>
    </w:p>
    <w:p>
      <w:pPr>
        <w:widowControl/>
      </w:pPr>
      <w:r>
        <w:rPr>
          <w:rFonts w:ascii="Noto Serif" w:hAnsi="Noto Serif"/>
          <w:b w:val="0"/>
          <w:i w:val="0"/>
        </w:rPr>
        <w:t>Она превращает географию в часть структуры Декалога. Для самаритянина Гаризим — не поздний комментарий после десяти слов, а содержание самого заветного наставления. Место избрания входит в перечень фундаментальных обязанностей Израиля.</w:t>
      </w:r>
    </w:p>
    <w:p>
      <w:pPr>
        <w:widowControl/>
      </w:pPr>
      <w:r>
        <w:rPr>
          <w:rFonts w:ascii="Noto Serif" w:hAnsi="Noto Serif"/>
          <w:b w:val="0"/>
          <w:i w:val="0"/>
        </w:rPr>
        <w:t>Литературно блок связывает начало и конец закона: Декалог в Исходе и Второзаконии получает рамку, ведущую к церемонии в земле. Культовая локализация становится не отдельной сноской, а способом прочесть завет как единство верности Богу, памяти о Моисее и правильного места поклонения.</w:t>
      </w:r>
    </w:p>
    <w:p>
      <w:pPr>
        <w:pStyle w:val="Heading3"/>
        <w:keepNext/>
        <w:widowControl/>
      </w:pPr>
      <w:r>
        <w:rPr>
          <w:rFonts w:ascii="Noto Serif" w:hAnsi="Noto Serif"/>
          <w:b w:val="0"/>
          <w:i w:val="0"/>
        </w:rPr>
        <w:t>Дата и пределы вывода</w:t>
      </w:r>
    </w:p>
    <w:p>
      <w:pPr>
        <w:widowControl/>
      </w:pPr>
      <w:r>
        <w:rPr>
          <w:rFonts w:ascii="Noto Serif" w:hAnsi="Noto Serif"/>
          <w:b w:val="0"/>
          <w:i w:val="0"/>
        </w:rPr>
        <w:t>Самаритянская композиция явно присутствует в средневековой рукописной традиции. Но датировка конкретных средневековых списков не равна датировке всех её слоёв. Древние параллели геризимской композиции в 4Q22 показывают, что определённые материалы существовали в эпоху Второго Храма. Они не доказывают, что современная форма десятого слова уже тогда была полностью сформирована.</w:t>
      </w:r>
    </w:p>
    <w:p>
      <w:pPr>
        <w:widowControl/>
      </w:pPr>
      <w:r>
        <w:rPr>
          <w:rFonts w:ascii="Noto Serif" w:hAnsi="Noto Serif"/>
          <w:b w:val="0"/>
          <w:i w:val="0"/>
        </w:rPr>
        <w:t>Здесь полезно различать три утверждения. Первое: SP включает десятое слово — установлено. Второе: его составные материалы древнее средневековых рукописей — вероятно и в отдельных частях засвидетельствовано. Третье: единый редактор в определённую дату создал всю композицию — не доказано.</w:t>
      </w:r>
    </w:p>
    <w:p>
      <w:pPr>
        <w:widowControl/>
      </w:pPr>
      <w:r>
        <w:rPr>
          <w:rFonts w:ascii="Noto Serif" w:hAnsi="Noto Serif"/>
          <w:b w:val="0"/>
          <w:i w:val="0"/>
        </w:rPr>
        <w:t>Нельзя также говорить, что самаритянское десятое слово — обязательно поздняя «вставка» в узком смысле. В древнем Пятикнижии существовали расширенные и гармонизированные формы. Но нельзя и переносить позднюю редакционную форму целиком в эпоху Моисея без текстовых оснований.</w:t>
      </w:r>
    </w:p>
    <w:p>
      <w:pPr>
        <w:pStyle w:val="Heading3"/>
        <w:keepNext/>
        <w:widowControl/>
      </w:pPr>
      <w:r>
        <w:rPr>
          <w:rFonts w:ascii="Noto Serif" w:hAnsi="Noto Serif"/>
          <w:b w:val="0"/>
          <w:i w:val="0"/>
        </w:rPr>
        <w:t>Текст и живая практика</w:t>
      </w:r>
    </w:p>
    <w:p>
      <w:pPr>
        <w:widowControl/>
      </w:pPr>
      <w:r>
        <w:rPr>
          <w:rFonts w:ascii="Noto Serif" w:hAnsi="Noto Serif"/>
          <w:b w:val="0"/>
          <w:i w:val="0"/>
        </w:rPr>
        <w:t>Для современной общины эта композиция связана с Гаризимом как с действующим священным центром. Однако текстологическая история и современное богослужение — разные виды свидетельства. Ритуал Пасхи, молитвы и календарь показывают, как традиция живёт сегодня; они не являются рукописью, которая автоматически датирует десятословную композицию.</w:t>
      </w:r>
    </w:p>
    <w:p>
      <w:pPr>
        <w:keepLines/>
        <w:widowControl/>
        <w:spacing w:before="20" w:after="40" w:line="240" w:lineRule="auto"/>
      </w:pPr>
      <w:r>
        <w:rPr>
          <w:rFonts w:ascii="Noto Serif" w:hAnsi="Noto Serif"/>
          <w:b/>
          <w:i w:val="0"/>
          <w:color w:val="46516A"/>
          <w:sz w:val="16"/>
        </w:rPr>
        <w:t>Источники к главе:</w:t>
      </w:r>
      <w:r>
        <w:rPr>
          <w:rFonts w:ascii="Noto Serif" w:hAnsi="Noto Serif"/>
          <w:b w:val="0"/>
          <w:i w:val="0"/>
          <w:color w:val="46516A"/>
          <w:sz w:val="16"/>
        </w:rPr>
        <w:t xml:space="preserve"> Samaritan Pentateuch, Исх 20:17 и Втор 5:21, </w:t>
      </w:r>
      <w:hyperlink r:id="rId25">
        <w:r>
          <w:rPr>
            <w:color w:val="087E87"/>
            <w:u w:val="single"/>
            <w:rFonts w:ascii="Noto Sans" w:hAnsi="Noto Sans"/>
          </w:rPr>
          <w:t>https://intertextual.bible/text/deuteronomy-5.21/samaritan-deuteronomy-5.21</w:t>
        </w:r>
      </w:hyperlink>
      <w:r>
        <w:rPr>
          <w:rFonts w:ascii="Noto Serif" w:hAnsi="Noto Serif"/>
          <w:b w:val="0"/>
          <w:i w:val="0"/>
          <w:color w:val="46516A"/>
          <w:sz w:val="16"/>
        </w:rPr>
        <w:t xml:space="preserve">; MT, Исх 20:17; Втор 5:21; Втор 11:29–30; 27:2–7; Hjelm, 2020, §5; Dayfani, 2022, pp. 673–698; Gary N. Knoppers, “Altared States,” pp. 110–111; Gallagher, “Is the Samaritan Pentateuch a Sectarian Text?”, </w:t>
      </w:r>
      <w:r>
        <w:rPr>
          <w:rFonts w:ascii="Noto Serif" w:hAnsi="Noto Serif"/>
          <w:b w:val="0"/>
          <w:i/>
          <w:color w:val="46516A"/>
          <w:sz w:val="16"/>
        </w:rPr>
        <w:t>ZAW</w:t>
      </w:r>
      <w:r>
        <w:rPr>
          <w:rFonts w:ascii="Noto Serif" w:hAnsi="Noto Serif"/>
          <w:b w:val="0"/>
          <w:i w:val="0"/>
          <w:color w:val="46516A"/>
          <w:sz w:val="16"/>
        </w:rPr>
        <w:t xml:space="preserve"> 127 (2015), DOI 10.1515/zaw-2015-0007; Ben-Dov, указанная статья.</w:t>
      </w:r>
    </w:p>
    <w:p>
      <w:pPr>
        <w:spacing w:after="40"/>
        <w:widowControl/>
        <w:pBdr>
          <w:bottom w:val="single" w:sz="3" w:color="D9C991"/>
        </w:pBdr>
      </w:pPr>
    </w:p>
    <w:p>
      <w:pPr>
        <w:pStyle w:val="Heading2"/>
        <w:keepNext/>
        <w:widowControl/>
      </w:pPr>
      <w:r>
        <w:rPr>
          <w:rFonts w:ascii="Noto Serif" w:hAnsi="Noto Serif"/>
          <w:b w:val="0"/>
          <w:i w:val="0"/>
        </w:rPr>
        <w:t>Глава 8. От Самарии к общине Гаризима</w:t>
      </w:r>
    </w:p>
    <w:p>
      <w:pPr>
        <w:pStyle w:val="Heading3"/>
        <w:keepNext/>
        <w:widowControl/>
      </w:pPr>
      <w:r>
        <w:rPr>
          <w:rFonts w:ascii="Noto Serif" w:hAnsi="Noto Serif"/>
          <w:b w:val="0"/>
          <w:i w:val="0"/>
        </w:rPr>
        <w:t>Не один момент происхождения</w:t>
      </w:r>
    </w:p>
    <w:p>
      <w:pPr>
        <w:widowControl/>
      </w:pPr>
      <w:r>
        <w:rPr>
          <w:rFonts w:ascii="Noto Serif" w:hAnsi="Noto Serif"/>
          <w:b w:val="0"/>
          <w:i w:val="0"/>
        </w:rPr>
        <w:t>Историю самаритян нельзя свести к простой схеме: ассирийцы переселили чужеземцев, а они стали самаритянами. 2 Цар 17:24–41 содержит рассказ о переселениях из Куты и других мест, но это литературный и полемический текст, а не нейтральная перепись населения. После падения Северного царства действительно происходили депортации, переселения и административные перестройки, однако население Самарии не исчезло целиком.</w:t>
      </w:r>
    </w:p>
    <w:p>
      <w:pPr>
        <w:widowControl/>
      </w:pPr>
      <w:r>
        <w:rPr>
          <w:rFonts w:ascii="Noto Serif" w:hAnsi="Noto Serif"/>
          <w:b w:val="0"/>
          <w:i w:val="0"/>
        </w:rPr>
        <w:t>Современные модели чаще говорят о смешанном процессе: местная североизраильская преемственность, новые переселенцы, контакты с Иудеей и соседними областями, а затем постепенное формирование особой общинной идентичности. Одни исследователи связывают её заметное оформление с персидской эпохой и святилищем Гаризима; другие — с эллинистическими конфликтами II–I веков до н. э. Надписи показывают развитое самосознание уже в первой половине II века до н. э., но не доказывают, что именно тогда община возникла из ничего.</w:t>
      </w:r>
    </w:p>
    <w:p>
      <w:pPr>
        <w:widowControl/>
      </w:pPr>
      <w:r>
        <w:rPr>
          <w:rFonts w:ascii="Noto Serif" w:hAnsi="Noto Serif"/>
          <w:b w:val="0"/>
          <w:i w:val="0"/>
        </w:rPr>
        <w:t xml:space="preserve">Иосиф Флавий предлагает несовместимые истории. В </w:t>
      </w:r>
      <w:r>
        <w:rPr>
          <w:rFonts w:ascii="Noto Serif" w:hAnsi="Noto Serif"/>
          <w:b w:val="0"/>
          <w:i/>
        </w:rPr>
        <w:t>Иудейских древностях</w:t>
      </w:r>
      <w:r>
        <w:rPr>
          <w:rFonts w:ascii="Noto Serif" w:hAnsi="Noto Serif"/>
          <w:b w:val="0"/>
          <w:i w:val="0"/>
        </w:rPr>
        <w:t xml:space="preserve"> 9.288–291 он рассказывает о кутеях, переселённых из Персии, но признаёт их почитание Яхве. В 11.340–347 он рассказывает о шехемитах и передаёт их претензию на происхождение от Ефрема и Манассии. Это полезные внешние свидетельства о спорах идентичности, но не прозрачная стенограмма самаритянского самопонимания.</w:t>
      </w:r>
    </w:p>
    <w:p>
      <w:pPr>
        <w:pStyle w:val="Heading3"/>
        <w:keepNext/>
        <w:widowControl/>
      </w:pPr>
      <w:r>
        <w:rPr>
          <w:rFonts w:ascii="Noto Serif" w:hAnsi="Noto Serif"/>
          <w:b w:val="0"/>
          <w:i w:val="0"/>
        </w:rPr>
        <w:t>Святилище на Гаризиме</w:t>
      </w:r>
    </w:p>
    <w:p>
      <w:pPr>
        <w:widowControl/>
      </w:pPr>
      <w:r>
        <w:rPr>
          <w:rFonts w:ascii="Noto Serif" w:hAnsi="Noto Serif"/>
          <w:b w:val="0"/>
          <w:i w:val="0"/>
        </w:rPr>
        <w:t>Археологически на Гаризиме засвидетельствован крупный священный комплекс, позднее город и храмовая территория. Наиболее влиятельная реконструкция, связанная с раскопками Ицхака Магена, помещает первоначальный комплекс в середину V века до н. э., в персидскую эпоху. Персидская керамика, монеты, архитектурные остатки, вотивные надписи и следы жертвоприношений поддерживают древность комплекса. Но точная датировка первой храмовой фазы остаётся дискуссионной; осторожнее говорить о святилище и его ранних слоях, чем превращать каждую археологическую фазу в прямой комментарий к Пятикнижию.</w:t>
      </w:r>
    </w:p>
    <w:p>
      <w:pPr>
        <w:widowControl/>
      </w:pPr>
      <w:r>
        <w:rPr>
          <w:rFonts w:ascii="Noto Serif" w:hAnsi="Noto Serif"/>
          <w:b w:val="0"/>
          <w:i w:val="0"/>
        </w:rPr>
        <w:t>Храм был разрушен войсками Иоанна Гиркана примерно в 112/111 или 111/110 году до н. э. Jérôme Bourgel предлагает видеть в этом не только религиозную вражду, но и хасмонейскую территориальную политику: подчинение Самарии государству и иерусалимскому центру. В античности конфликт храмов, политическая интеграция и религиозная конкуренция могли действовать одновременно.</w:t>
      </w:r>
    </w:p>
    <w:p>
      <w:pPr>
        <w:pStyle w:val="Heading3"/>
        <w:keepNext/>
        <w:widowControl/>
      </w:pPr>
      <w:r>
        <w:rPr>
          <w:rFonts w:ascii="Noto Serif" w:hAnsi="Noto Serif"/>
          <w:b w:val="0"/>
          <w:i w:val="0"/>
        </w:rPr>
        <w:t>Родство и конкуренция</w:t>
      </w:r>
    </w:p>
    <w:p>
      <w:pPr>
        <w:widowControl/>
      </w:pPr>
      <w:r>
        <w:rPr>
          <w:rFonts w:ascii="Noto Serif" w:hAnsi="Noto Serif"/>
          <w:b w:val="0"/>
          <w:i w:val="0"/>
        </w:rPr>
        <w:t>Иудеи и самаритяне разделяли многие традиции: культ Яхве, Пятикнижие, священство, жертвы и рассказы об Израиле. Различия концентрировались вокруг легитимности священства, границ общины и места поклонения — Иерусалима или Гаризима. Поэтому «вечная вражда» — плохая модель. Были конфликты и полемика, но также соседство, контакты, политические связи и взаимное знание.</w:t>
      </w:r>
    </w:p>
    <w:p>
      <w:pPr>
        <w:widowControl/>
      </w:pPr>
      <w:r>
        <w:rPr>
          <w:rFonts w:ascii="Noto Serif" w:hAnsi="Noto Serif"/>
          <w:b w:val="0"/>
          <w:i w:val="0"/>
        </w:rPr>
        <w:t>Самаритянское имя и самоназвание требуют осторожности. Внешнее «самаритяне» связано с Самарией; позднейшее самаритянское объяснение Shomrim как «хранителей» выражает самоидентификацию, но не автоматически решает этимологию ранних названий. Безопаснее говорить о развитии самоназвания и идентичности, а не переносить позднюю терминологию в каждый древний документ.</w:t>
      </w:r>
    </w:p>
    <w:p>
      <w:pPr>
        <w:keepLines/>
        <w:widowControl/>
        <w:spacing w:before="20" w:after="40" w:line="240" w:lineRule="auto"/>
      </w:pPr>
      <w:r>
        <w:rPr>
          <w:rFonts w:ascii="Noto Serif" w:hAnsi="Noto Serif"/>
          <w:b/>
          <w:i w:val="0"/>
          <w:color w:val="46516A"/>
          <w:sz w:val="16"/>
        </w:rPr>
        <w:t>Источники к главе:</w:t>
      </w:r>
      <w:r>
        <w:rPr>
          <w:rFonts w:ascii="Noto Serif" w:hAnsi="Noto Serif"/>
          <w:b w:val="0"/>
          <w:i w:val="0"/>
          <w:color w:val="46516A"/>
          <w:sz w:val="16"/>
        </w:rPr>
        <w:t xml:space="preserve"> Kartveit, “Theories of the Origin of the Samaritans—Then and Now,” </w:t>
      </w:r>
      <w:r>
        <w:rPr>
          <w:rFonts w:ascii="Noto Serif" w:hAnsi="Noto Serif"/>
          <w:b w:val="0"/>
          <w:i/>
          <w:color w:val="46516A"/>
          <w:sz w:val="16"/>
        </w:rPr>
        <w:t>Religions</w:t>
      </w:r>
      <w:r>
        <w:rPr>
          <w:rFonts w:ascii="Noto Serif" w:hAnsi="Noto Serif"/>
          <w:b w:val="0"/>
          <w:i w:val="0"/>
          <w:color w:val="46516A"/>
          <w:sz w:val="16"/>
        </w:rPr>
        <w:t xml:space="preserve"> 10/12 (2019), art. 661; Knoppers, </w:t>
      </w:r>
      <w:r>
        <w:rPr>
          <w:rFonts w:ascii="Noto Serif" w:hAnsi="Noto Serif"/>
          <w:b w:val="0"/>
          <w:i/>
          <w:color w:val="46516A"/>
          <w:sz w:val="16"/>
        </w:rPr>
        <w:t>Jews and Samaritans</w:t>
      </w:r>
      <w:r>
        <w:rPr>
          <w:rFonts w:ascii="Noto Serif" w:hAnsi="Noto Serif"/>
          <w:b w:val="0"/>
          <w:i w:val="0"/>
          <w:color w:val="46516A"/>
          <w:sz w:val="16"/>
        </w:rPr>
        <w:t xml:space="preserve"> (Oxford University Press, 2013), pp. 1–20, 61–62, 199–220; Kartveit, “Samaritan Self-Consciousness…,” </w:t>
      </w:r>
      <w:r>
        <w:rPr>
          <w:rFonts w:ascii="Noto Serif" w:hAnsi="Noto Serif"/>
          <w:b w:val="0"/>
          <w:i/>
          <w:color w:val="46516A"/>
          <w:sz w:val="16"/>
        </w:rPr>
        <w:t>JSJ</w:t>
      </w:r>
      <w:r>
        <w:rPr>
          <w:rFonts w:ascii="Noto Serif" w:hAnsi="Noto Serif"/>
          <w:b w:val="0"/>
          <w:i w:val="0"/>
          <w:color w:val="46516A"/>
          <w:sz w:val="16"/>
        </w:rPr>
        <w:t xml:space="preserve"> 45 (2014), pp. 449–470; Economou, “The Aramaic Inscriptions from Mount Gerizim,” </w:t>
      </w:r>
      <w:r>
        <w:rPr>
          <w:rFonts w:ascii="Noto Serif" w:hAnsi="Noto Serif"/>
          <w:b w:val="0"/>
          <w:i/>
          <w:color w:val="46516A"/>
          <w:sz w:val="16"/>
        </w:rPr>
        <w:t>Journal of Ancient Judaism</w:t>
      </w:r>
      <w:r>
        <w:rPr>
          <w:rFonts w:ascii="Noto Serif" w:hAnsi="Noto Serif"/>
          <w:b w:val="0"/>
          <w:i w:val="0"/>
          <w:color w:val="46516A"/>
          <w:sz w:val="16"/>
        </w:rPr>
        <w:t xml:space="preserve"> 15/1 (2023), pp. 154–181; Minnick, “A Samaritan Temple to Rival Jerusalem on Mount Gerizim,” </w:t>
      </w:r>
      <w:r>
        <w:rPr>
          <w:rFonts w:ascii="Noto Serif" w:hAnsi="Noto Serif"/>
          <w:b w:val="0"/>
          <w:i/>
          <w:color w:val="46516A"/>
          <w:sz w:val="16"/>
        </w:rPr>
        <w:t>Studia Antiqua</w:t>
      </w:r>
      <w:r>
        <w:rPr>
          <w:rFonts w:ascii="Noto Serif" w:hAnsi="Noto Serif"/>
          <w:b w:val="0"/>
          <w:i w:val="0"/>
          <w:color w:val="46516A"/>
          <w:sz w:val="16"/>
        </w:rPr>
        <w:t xml:space="preserve"> 16/1 (2017), pp. 1–28; Bourgel, “The Destruction of the Samaritan Temple by John Hyrcanus,” </w:t>
      </w:r>
      <w:r>
        <w:rPr>
          <w:rFonts w:ascii="Noto Serif" w:hAnsi="Noto Serif"/>
          <w:b w:val="0"/>
          <w:i/>
          <w:color w:val="46516A"/>
          <w:sz w:val="16"/>
        </w:rPr>
        <w:t>JBL</w:t>
      </w:r>
      <w:r>
        <w:rPr>
          <w:rFonts w:ascii="Noto Serif" w:hAnsi="Noto Serif"/>
          <w:b w:val="0"/>
          <w:i w:val="0"/>
          <w:color w:val="46516A"/>
          <w:sz w:val="16"/>
        </w:rPr>
        <w:t xml:space="preserve"> 135/3 (2016), pp. 505–523; Josephus, </w:t>
      </w:r>
      <w:r>
        <w:rPr>
          <w:rFonts w:ascii="Noto Serif" w:hAnsi="Noto Serif"/>
          <w:b w:val="0"/>
          <w:i/>
          <w:color w:val="46516A"/>
          <w:sz w:val="16"/>
        </w:rPr>
        <w:t>Antiquitates</w:t>
      </w:r>
      <w:r>
        <w:rPr>
          <w:rFonts w:ascii="Noto Serif" w:hAnsi="Noto Serif"/>
          <w:b w:val="0"/>
          <w:i w:val="0"/>
          <w:color w:val="46516A"/>
          <w:sz w:val="16"/>
        </w:rPr>
        <w:t xml:space="preserve"> 9.288–291; 11.302–347; 12.257–261.</w:t>
      </w:r>
    </w:p>
    <w:p>
      <w:pPr>
        <w:spacing w:after="40"/>
        <w:widowControl/>
        <w:pBdr>
          <w:bottom w:val="single" w:sz="3" w:color="D9C991"/>
        </w:pBdr>
      </w:pPr>
    </w:p>
    <w:p>
      <w:pPr>
        <w:pStyle w:val="Heading2"/>
        <w:keepNext/>
        <w:widowControl/>
      </w:pPr>
      <w:r>
        <w:rPr>
          <w:rFonts w:ascii="Noto Serif" w:hAnsi="Noto Serif"/>
          <w:b w:val="0"/>
          <w:i w:val="0"/>
        </w:rPr>
        <w:t>Глава 9. Живая община у двух домов</w:t>
      </w:r>
    </w:p>
    <w:p>
      <w:pPr>
        <w:widowControl/>
      </w:pPr>
    </w:p>
    <w:p>
      <w:pPr>
        <w:widowControl/>
        <w:spacing w:before="120" w:after="60"/>
        <w:jc w:val="center"/>
      </w:pPr>
      <w:r>
        <w:rPr>
          <w:rFonts w:ascii="Noto Serif" w:hAnsi="Noto Serif"/>
        </w:rPr>
        <w:drawing>
          <wp:inline xmlns:a="http://schemas.openxmlformats.org/drawingml/2006/main" xmlns:pic="http://schemas.openxmlformats.org/drawingml/2006/picture">
            <wp:extent cx="3977639" cy="2651759"/>
            <wp:docPr id="5" name="Picture 5"/>
            <wp:cNvGraphicFramePr>
              <a:graphicFrameLocks noChangeAspect="1"/>
            </wp:cNvGraphicFramePr>
            <a:graphic>
              <a:graphicData uri="http://schemas.openxmlformats.org/drawingml/2006/picture">
                <pic:pic>
                  <pic:nvPicPr>
                    <pic:cNvPr id="0" name="05-living-community-landscape.jpg"/>
                    <pic:cNvPicPr/>
                  </pic:nvPicPr>
                  <pic:blipFill>
                    <a:blip r:embed="rId26"/>
                    <a:stretch>
                      <a:fillRect/>
                    </a:stretch>
                  </pic:blipFill>
                  <pic:spPr>
                    <a:xfrm>
                      <a:off x="0" y="0"/>
                      <a:ext cx="3977639" cy="2651759"/>
                    </a:xfrm>
                    <a:prstGeom prst="rect"/>
                  </pic:spPr>
                </pic:pic>
              </a:graphicData>
            </a:graphic>
          </wp:inline>
        </w:drawing>
      </w:r>
    </w:p>
    <w:p>
      <w:pPr>
        <w:widowControl/>
        <w:spacing w:after="140"/>
        <w:jc w:val="center"/>
      </w:pPr>
      <w:r>
        <w:rPr>
          <w:rFonts w:ascii="Noto Serif" w:hAnsi="Noto Serif"/>
          <w:i/>
          <w:color w:val="5C6475"/>
          <w:sz w:val="16"/>
        </w:rPr>
        <w:t>Современное поселение в холмистом ландшафте, без привязки к конкретному обряду</w:t>
      </w:r>
    </w:p>
    <w:p>
      <w:pPr>
        <w:pStyle w:val="Heading3"/>
        <w:keepNext/>
        <w:widowControl/>
      </w:pPr>
      <w:r>
        <w:rPr>
          <w:rFonts w:ascii="Noto Serif" w:hAnsi="Noto Serif"/>
          <w:b w:val="0"/>
          <w:i w:val="0"/>
        </w:rPr>
        <w:t>Холон и Кирьят-Луза</w:t>
      </w:r>
    </w:p>
    <w:p>
      <w:pPr>
        <w:widowControl/>
      </w:pPr>
      <w:r>
        <w:rPr>
          <w:rFonts w:ascii="Noto Serif" w:hAnsi="Noto Serif"/>
          <w:b w:val="0"/>
          <w:i w:val="0"/>
        </w:rPr>
        <w:t>Сегодня самаритяне живут прежде всего в двух центрах: в районе Неве-Пинхас в Холоне, в Израиле, и в Кирьят-Лузе на горе Гаризим над Наблусом, на Западном берегу. Это не две «филиальные экспозиции» одного музея. В Холоне община встроена в израильскую городскую жизнь; жители работают, учатся и участвуют в обычных гражданских практиках. В Кирьят-Лузе самаритяне живут в палестинском социальном и административном окружении, используют арабский и иврит и имеют сложные сочетания документов и гражданских принадлежностей.</w:t>
      </w:r>
    </w:p>
    <w:p>
      <w:pPr>
        <w:widowControl/>
      </w:pPr>
      <w:r>
        <w:rPr>
          <w:rFonts w:ascii="Noto Serif" w:hAnsi="Noto Serif"/>
          <w:b w:val="0"/>
          <w:i w:val="0"/>
        </w:rPr>
        <w:t>Численность нужно датировать. Gil Zohar в 2021 году приводил 814 человек; материалы Times of Israel в 2022 году — 862; выставка Museum of the Bible округляла оценку до 850. Публикации 2026 года говорят о менее чем 900 или менее чем 1000. Разница может объясняться датой, округлением и методикой подсчёта. Корректная формула: примерно 900 человек, возможно немного менее 1000 по публичным оценкам 2026 года.</w:t>
      </w:r>
    </w:p>
    <w:p>
      <w:pPr>
        <w:pStyle w:val="Heading3"/>
        <w:keepNext/>
        <w:widowControl/>
      </w:pPr>
      <w:r>
        <w:rPr>
          <w:rFonts w:ascii="Noto Serif" w:hAnsi="Noto Serif"/>
          <w:b w:val="0"/>
          <w:i w:val="0"/>
        </w:rPr>
        <w:t>Религия и календарь</w:t>
      </w:r>
    </w:p>
    <w:p>
      <w:pPr>
        <w:widowControl/>
      </w:pPr>
      <w:r>
        <w:rPr>
          <w:rFonts w:ascii="Noto Serif" w:hAnsi="Noto Serif"/>
          <w:b w:val="0"/>
          <w:i w:val="0"/>
        </w:rPr>
        <w:t>У самаритян нет раввинов; религиозное руководство принадлежит священникам, во главе с первосвященником на Гаризиме. Нельзя предполагать, что публичный представитель говорит от имени каждого члена общины: духовенство, учёные, экскурсоводы и миряне могут по-разному описывать границы традиции.</w:t>
      </w:r>
    </w:p>
    <w:p>
      <w:pPr>
        <w:widowControl/>
      </w:pPr>
      <w:r>
        <w:rPr>
          <w:rFonts w:ascii="Noto Serif" w:hAnsi="Noto Serif"/>
          <w:b w:val="0"/>
          <w:i w:val="0"/>
        </w:rPr>
        <w:t>Календарь основан на Пятикнижии, а не на раввинской календарной системе. Священники вычисляют високосные годы, поэтому праздники могут отставать от еврейских почти на месяц. В 2026 году, согласно репортажу JNS, Йом-Киппур пришёлся на 20 октября, а Суккот начался 25 октября. На Пасху община поднимается на Гаризим, совершает жертвенный ритуал с овцами и козами, затем готовит и ест мясо. Это действующее богослужение, а не реконструкция для туристов.</w:t>
      </w:r>
    </w:p>
    <w:p>
      <w:pPr>
        <w:pStyle w:val="Heading3"/>
        <w:keepNext/>
        <w:widowControl/>
      </w:pPr>
      <w:r>
        <w:rPr>
          <w:rFonts w:ascii="Noto Serif" w:hAnsi="Noto Serif"/>
          <w:b w:val="0"/>
          <w:i w:val="0"/>
        </w:rPr>
        <w:t>Язык, семьи и разнообразие</w:t>
      </w:r>
    </w:p>
    <w:p>
      <w:pPr>
        <w:widowControl/>
      </w:pPr>
      <w:r>
        <w:rPr>
          <w:rFonts w:ascii="Noto Serif" w:hAnsi="Noto Serif"/>
          <w:b w:val="0"/>
          <w:i w:val="0"/>
        </w:rPr>
        <w:t>Самаритянский иврит сохраняется прежде всего в молитве, чтении Торы и мелодике; повседневная речь зависит от центра и семьи, часто включает современный иврит и арабский. Дети начинают учиться у священника или наставника в раннем возрасте; чтение Пятикнижия осваивается постепенно, без простого копирования раввинской модели бар- или бат-мицвы.</w:t>
      </w:r>
    </w:p>
    <w:p>
      <w:pPr>
        <w:widowControl/>
      </w:pPr>
      <w:r>
        <w:rPr>
          <w:rFonts w:ascii="Noto Serif" w:hAnsi="Noto Serif"/>
          <w:b w:val="0"/>
          <w:i w:val="0"/>
        </w:rPr>
        <w:t>Браки внутри общины остаются важной нормой и демографической заботой, но позиции различаются. Документальные и журналистские проекты описывают браки самаритянских мужчин с женщинами извне, включая украинских жён, и спор о том, как расширять генофонд, не разрушая общинную преемственность. Нельзя приписывать всем одну позицию по смешанным бракам или обращению.</w:t>
      </w:r>
    </w:p>
    <w:p>
      <w:pPr>
        <w:widowControl/>
      </w:pPr>
      <w:r>
        <w:rPr>
          <w:rFonts w:ascii="Noto Serif" w:hAnsi="Noto Serif"/>
          <w:b w:val="0"/>
          <w:i w:val="0"/>
        </w:rPr>
        <w:t>Политическая самоидентификация также неоднородна. Один человек может одновременно говорить о самаритянской принадлежности, палестинском окружении и израильской гражданской реальности; другой подчёркивает только один из этих аспектов. Формула «мост между израильтянами и палестинцами» встречается в журналистике, но не должна превращаться в универсальное описание каждого самаритянина.</w:t>
      </w:r>
    </w:p>
    <w:p>
      <w:pPr>
        <w:pStyle w:val="Heading3"/>
        <w:keepNext/>
        <w:widowControl/>
      </w:pPr>
      <w:r>
        <w:rPr>
          <w:rFonts w:ascii="Noto Serif" w:hAnsi="Noto Serif"/>
          <w:b w:val="0"/>
          <w:i w:val="0"/>
        </w:rPr>
        <w:t>Гаризим сегодня</w:t>
      </w:r>
    </w:p>
    <w:p>
      <w:pPr>
        <w:widowControl/>
      </w:pPr>
      <w:r>
        <w:rPr>
          <w:rFonts w:ascii="Noto Serif" w:hAnsi="Noto Serif"/>
          <w:b w:val="0"/>
          <w:i w:val="0"/>
        </w:rPr>
        <w:t>Живой центр Гаризима включает молитвенную жизнь, кладбище, музей, жилой квартал и ежегодные праздники. Общинные экскурсии проходят на иврите, арабском или английском. Важно видеть за рукописями людей: самаритянская Тора — не только объект истории текста, но и книга, которую читают, целуют, произносят и включают в семейную жизнь.</w:t>
      </w:r>
    </w:p>
    <w:p>
      <w:pPr>
        <w:keepLines/>
        <w:widowControl/>
        <w:spacing w:before="20" w:after="40" w:line="240" w:lineRule="auto"/>
      </w:pPr>
      <w:r>
        <w:rPr>
          <w:rFonts w:ascii="Noto Serif" w:hAnsi="Noto Serif"/>
          <w:b/>
          <w:i w:val="0"/>
          <w:color w:val="46516A"/>
          <w:sz w:val="16"/>
        </w:rPr>
        <w:t>Источники к главе:</w:t>
      </w:r>
      <w:r>
        <w:rPr>
          <w:rFonts w:ascii="Noto Serif" w:hAnsi="Noto Serif"/>
          <w:b w:val="0"/>
          <w:i w:val="0"/>
          <w:color w:val="46516A"/>
          <w:sz w:val="16"/>
        </w:rPr>
        <w:t xml:space="preserve"> Zohar, “Samaritans Number Less Than 1,000…,” </w:t>
      </w:r>
      <w:r>
        <w:rPr>
          <w:rFonts w:ascii="Noto Serif" w:hAnsi="Noto Serif"/>
          <w:b w:val="0"/>
          <w:i/>
          <w:color w:val="46516A"/>
          <w:sz w:val="16"/>
        </w:rPr>
        <w:t>Religion Unplugged</w:t>
      </w:r>
      <w:r>
        <w:rPr>
          <w:rFonts w:ascii="Noto Serif" w:hAnsi="Noto Serif"/>
          <w:b w:val="0"/>
          <w:i w:val="0"/>
          <w:color w:val="46516A"/>
          <w:sz w:val="16"/>
        </w:rPr>
        <w:t xml:space="preserve">, 26.10.2021; Times of Israel, “Film projects spotlight…,” 10.11.2022; Museum of the Bible, “The Samaritans: A Biblical People,” выставка 16.09.2022–16.04.2023; Tahan, “The Samaritans: A living bridge…,” </w:t>
      </w:r>
      <w:r>
        <w:rPr>
          <w:rFonts w:ascii="Noto Serif" w:hAnsi="Noto Serif"/>
          <w:b w:val="0"/>
          <w:i/>
          <w:color w:val="46516A"/>
          <w:sz w:val="16"/>
        </w:rPr>
        <w:t>The New Arab</w:t>
      </w:r>
      <w:r>
        <w:rPr>
          <w:rFonts w:ascii="Noto Serif" w:hAnsi="Noto Serif"/>
          <w:b w:val="0"/>
          <w:i w:val="0"/>
          <w:color w:val="46516A"/>
          <w:sz w:val="16"/>
        </w:rPr>
        <w:t xml:space="preserve">, 12.02.2026; JNS, “Ancient faith, modern lives…,” 22.09.2026; Yeshiva University Center for Israel Studies, “The Samaritans: A Biblical People,” 2022, </w:t>
      </w:r>
      <w:hyperlink r:id="rId27">
        <w:r>
          <w:rPr>
            <w:color w:val="087E87"/>
            <w:u w:val="single"/>
            <w:rFonts w:ascii="Noto Sans" w:hAnsi="Noto Sans"/>
          </w:rPr>
          <w:t>https://www.yu.edu/cis/samaritans-project</w:t>
        </w:r>
      </w:hyperlink>
      <w:r>
        <w:rPr>
          <w:rFonts w:ascii="Noto Serif" w:hAnsi="Noto Serif"/>
          <w:b w:val="0"/>
          <w:i w:val="0"/>
          <w:color w:val="46516A"/>
          <w:sz w:val="16"/>
        </w:rPr>
        <w:t xml:space="preserve">; Israelite Samaritan Information Institute, “Tours to Samaritan centres…,” </w:t>
      </w:r>
      <w:hyperlink r:id="rId28">
        <w:r>
          <w:rPr>
            <w:color w:val="087E87"/>
            <w:u w:val="single"/>
            <w:rFonts w:ascii="Noto Sans" w:hAnsi="Noto Sans"/>
          </w:rPr>
          <w:t>https://www.israelite-samaritans.com/tours/</w:t>
        </w:r>
      </w:hyperlink>
      <w:r>
        <w:rPr>
          <w:rFonts w:ascii="Noto Serif" w:hAnsi="Noto Serif"/>
          <w:b w:val="0"/>
          <w:i w:val="0"/>
          <w:color w:val="46516A"/>
          <w:sz w:val="16"/>
        </w:rPr>
        <w:t xml:space="preserve">; Hunt, “Samaritan Israelites and Jews under the Shadow of Rome,” </w:t>
      </w:r>
      <w:r>
        <w:rPr>
          <w:rFonts w:ascii="Noto Serif" w:hAnsi="Noto Serif"/>
          <w:b w:val="0"/>
          <w:i/>
          <w:color w:val="46516A"/>
          <w:sz w:val="16"/>
        </w:rPr>
        <w:t>Religions</w:t>
      </w:r>
      <w:r>
        <w:rPr>
          <w:rFonts w:ascii="Noto Serif" w:hAnsi="Noto Serif"/>
          <w:b w:val="0"/>
          <w:i w:val="0"/>
          <w:color w:val="46516A"/>
          <w:sz w:val="16"/>
        </w:rPr>
        <w:t xml:space="preserve"> 14/9 (2023), art. 1149.</w:t>
      </w:r>
    </w:p>
    <w:p>
      <w:pPr>
        <w:spacing w:after="40"/>
        <w:widowControl/>
        <w:pBdr>
          <w:bottom w:val="single" w:sz="3" w:color="D9C991"/>
        </w:pBdr>
      </w:pPr>
    </w:p>
    <w:p>
      <w:pPr>
        <w:widowControl/>
      </w:pPr>
      <w:r>
        <w:rPr>
          <w:rFonts w:ascii="Noto Serif" w:hAnsi="Noto Serif"/>
        </w:rPr>
        <w:br w:type="page"/>
      </w:r>
    </w:p>
    <w:p>
      <w:pPr>
        <w:pStyle w:val="Heading2"/>
        <w:keepNext/>
        <w:widowControl/>
      </w:pPr>
      <w:r>
        <w:rPr>
          <w:rFonts w:ascii="Noto Serif" w:hAnsi="Noto Serif"/>
          <w:b w:val="0"/>
          <w:i w:val="0"/>
        </w:rPr>
        <w:t>Заключение. Читать у горы, не стирая различий</w:t>
      </w:r>
    </w:p>
    <w:p>
      <w:pPr>
        <w:widowControl/>
      </w:pPr>
      <w:r>
        <w:rPr>
          <w:rFonts w:ascii="Noto Serif" w:hAnsi="Noto Serif"/>
          <w:b w:val="0"/>
          <w:i w:val="0"/>
        </w:rPr>
        <w:t>Самаритянское Пятикнижие открывает не одну простую историю, а несколько наложенных друг на друга историй. Есть древняя еврейская текстовая вариативность Второго Храма; есть самаритянская редакторская традиция, подчёркивающая Гаризим; есть средневековая рукописная передача; есть современные издания, которые по-разному выбирают базовый текст; есть живая община, продолжающая читать Тору и подниматься на гору.</w:t>
      </w:r>
    </w:p>
    <w:p>
      <w:pPr>
        <w:widowControl/>
      </w:pPr>
      <w:r>
        <w:rPr>
          <w:rFonts w:ascii="Noto Serif" w:hAnsi="Noto Serif"/>
          <w:b w:val="0"/>
          <w:i w:val="0"/>
        </w:rPr>
        <w:t>MT и SP не следует превращать в моральную пару «оригинал — порча». LXX не является третьим равноправным еврейским кодексом, а греческим переводом с собственной сложной историей. Совпадение SP и LXX может говорить об общем древнем еврейском чтении, а не о заимствовании. Кумранские «протосамаритянские» рукописи показывают древность некоторых типов вариантов, но не являются готовым средневековым SP и не обязательно имеют самаритянское происхождение.</w:t>
      </w:r>
    </w:p>
    <w:p>
      <w:pPr>
        <w:widowControl/>
      </w:pPr>
      <w:r>
        <w:rPr>
          <w:rFonts w:ascii="Noto Serif" w:hAnsi="Noto Serif"/>
          <w:b w:val="0"/>
          <w:i w:val="0"/>
        </w:rPr>
        <w:t>Втор 27:4 — особенно яркий пример. MT даёт Евал, SP — Гаризим. Древние греческие и кумранские свидетельства делают вопрос открытым, но не позволяют безоговорочно объявить одну форму первоначальной. Самаритянское десятое слово явно связывает Декалог с Гаризимом, однако поздняя форма рукописи не должна автоматически переноситься в каждую эпоху.</w:t>
      </w:r>
    </w:p>
    <w:p>
      <w:pPr>
        <w:widowControl/>
      </w:pPr>
      <w:r>
        <w:rPr>
          <w:rFonts w:ascii="Noto Serif" w:hAnsi="Noto Serif"/>
          <w:b w:val="0"/>
          <w:i w:val="0"/>
        </w:rPr>
        <w:t>И, наконец, самаритяне — не только предмет реконструкции. Их традиция пережила разрушение храма, смену империй, уменьшение численности и современные политические границы. Серьёзное чтение требует одновременно точности к тексту и уважения к людям, для которых этот текст остаётся откровением, календарём, молитвой и домом.</w:t>
      </w:r>
    </w:p>
    <w:p>
      <w:pPr>
        <w:spacing w:after="40"/>
        <w:widowControl/>
        <w:pBdr>
          <w:bottom w:val="single" w:sz="3" w:color="D9C991"/>
        </w:pBdr>
      </w:pPr>
    </w:p>
    <w:p>
      <w:pPr>
        <w:pStyle w:val="Heading2"/>
        <w:keepNext/>
        <w:widowControl/>
      </w:pPr>
      <w:r>
        <w:rPr>
          <w:rFonts w:ascii="Noto Serif" w:hAnsi="Noto Serif"/>
          <w:b w:val="0"/>
          <w:i w:val="0"/>
        </w:rPr>
        <w:t>Краткий словарь</w:t>
      </w:r>
    </w:p>
    <w:p>
      <w:pPr>
        <w:widowControl/>
      </w:pPr>
      <w:r>
        <w:rPr>
          <w:rFonts w:ascii="Noto Serif" w:hAnsi="Noto Serif"/>
          <w:b/>
          <w:i w:val="0"/>
        </w:rPr>
        <w:t>MT, масоретский текст</w:t>
      </w:r>
      <w:r>
        <w:rPr>
          <w:rFonts w:ascii="Noto Serif" w:hAnsi="Noto Serif"/>
          <w:b w:val="0"/>
          <w:i w:val="0"/>
        </w:rPr>
        <w:t xml:space="preserve"> — поздняя стандартизированная еврейская текстовая форма, известная главным образом по средневековой масоретской рукописной традиции.</w:t>
      </w:r>
    </w:p>
    <w:p>
      <w:pPr>
        <w:widowControl/>
      </w:pPr>
      <w:r>
        <w:rPr>
          <w:rFonts w:ascii="Noto Serif" w:hAnsi="Noto Serif"/>
          <w:b/>
          <w:i w:val="0"/>
        </w:rPr>
        <w:t>SP, Самаритянское Пятикнижие</w:t>
      </w:r>
      <w:r>
        <w:rPr>
          <w:rFonts w:ascii="Noto Serif" w:hAnsi="Noto Serif"/>
          <w:b w:val="0"/>
          <w:i w:val="0"/>
        </w:rPr>
        <w:t xml:space="preserve"> — самаритянская еврейская текстовая традиция пяти книг Моисея.</w:t>
      </w:r>
    </w:p>
    <w:p>
      <w:pPr>
        <w:widowControl/>
      </w:pPr>
      <w:r>
        <w:rPr>
          <w:rFonts w:ascii="Noto Serif" w:hAnsi="Noto Serif"/>
          <w:b/>
          <w:i w:val="0"/>
        </w:rPr>
        <w:t>LXX, Септуагинта</w:t>
      </w:r>
      <w:r>
        <w:rPr>
          <w:rFonts w:ascii="Noto Serif" w:hAnsi="Noto Serif"/>
          <w:b w:val="0"/>
          <w:i w:val="0"/>
        </w:rPr>
        <w:t xml:space="preserve"> — древний греческий перевод еврейских Писаний; для каждого варианта нужно учитывать конкретную греческую рукопись и предполагаемую еврейскую Vorlage.</w:t>
      </w:r>
    </w:p>
    <w:p>
      <w:pPr>
        <w:widowControl/>
      </w:pPr>
      <w:r>
        <w:rPr>
          <w:rFonts w:ascii="Noto Serif" w:hAnsi="Noto Serif"/>
          <w:b/>
          <w:i w:val="0"/>
        </w:rPr>
        <w:t>Протосамаритянский</w:t>
      </w:r>
      <w:r>
        <w:rPr>
          <w:rFonts w:ascii="Noto Serif" w:hAnsi="Noto Serif"/>
          <w:b w:val="0"/>
          <w:i w:val="0"/>
        </w:rPr>
        <w:t xml:space="preserve"> — условное текстологическое обозначение древних еврейских рукописей, близких по ряду форм к позднейшему SP; не утверждение об этнической принадлежности писца.</w:t>
      </w:r>
    </w:p>
    <w:p>
      <w:pPr>
        <w:widowControl/>
      </w:pPr>
      <w:r>
        <w:rPr>
          <w:rFonts w:ascii="Noto Serif" w:hAnsi="Noto Serif"/>
          <w:b/>
          <w:i w:val="0"/>
        </w:rPr>
        <w:t>Гаризим</w:t>
      </w:r>
      <w:r>
        <w:rPr>
          <w:rFonts w:ascii="Noto Serif" w:hAnsi="Noto Serif"/>
          <w:b w:val="0"/>
          <w:i w:val="0"/>
        </w:rPr>
        <w:t xml:space="preserve"> — гора и священный центр самаритянской традиции, связанный с благословением, избранным местом и современной общинной жизнью.</w:t>
      </w:r>
    </w:p>
    <w:p>
      <w:pPr>
        <w:widowControl/>
      </w:pPr>
      <w:r>
        <w:rPr>
          <w:rFonts w:ascii="Noto Serif" w:hAnsi="Noto Serif"/>
          <w:b/>
          <w:i w:val="0"/>
        </w:rPr>
        <w:t>Евал</w:t>
      </w:r>
      <w:r>
        <w:rPr>
          <w:rFonts w:ascii="Noto Serif" w:hAnsi="Noto Serif"/>
          <w:b w:val="0"/>
          <w:i w:val="0"/>
        </w:rPr>
        <w:t xml:space="preserve"> — гора, названная в MT Втор 27:4 местом камней и алтаря; в SP этот стих читает Гаризим.</w:t>
      </w:r>
    </w:p>
    <w:p>
      <w:pPr>
        <w:widowControl/>
      </w:pPr>
      <w:r>
        <w:rPr>
          <w:rFonts w:ascii="Noto Serif" w:hAnsi="Noto Serif"/>
          <w:b/>
          <w:i w:val="0"/>
        </w:rPr>
        <w:t>Геризимская композиция</w:t>
      </w:r>
      <w:r>
        <w:rPr>
          <w:rFonts w:ascii="Noto Serif" w:hAnsi="Noto Serif"/>
          <w:b w:val="0"/>
          <w:i w:val="0"/>
        </w:rPr>
        <w:t xml:space="preserve"> — совокупность материалов о Гаризиме, камнях, записи Торы и алтаре, связанная в SP с Декалогом и Втор 11; в самаритянской нумерации образует «десятое слово».</w:t>
      </w:r>
    </w:p>
    <w:p>
      <w:pPr>
        <w:widowControl/>
      </w:pPr>
      <w:r>
        <w:rPr>
          <w:rFonts w:ascii="Noto Serif" w:hAnsi="Noto Serif"/>
          <w:b/>
          <w:i w:val="0"/>
        </w:rPr>
        <w:t>Колофон</w:t>
      </w:r>
      <w:r>
        <w:rPr>
          <w:rFonts w:ascii="Noto Serif" w:hAnsi="Noto Serif"/>
          <w:b w:val="0"/>
          <w:i w:val="0"/>
        </w:rPr>
        <w:t xml:space="preserve"> — запись в рукописи о писце, владельце, дате или происхождении; колофон Абиши важен как самаритянская традиция, но не даёт автоматически абсолютную датировку материала.</w:t>
      </w:r>
    </w:p>
    <w:p>
      <w:pPr>
        <w:widowControl/>
      </w:pPr>
      <w:r>
        <w:rPr>
          <w:rFonts w:ascii="Noto Serif" w:hAnsi="Noto Serif"/>
          <w:b/>
          <w:i w:val="0"/>
        </w:rPr>
        <w:t>Дипломатическое издание</w:t>
      </w:r>
      <w:r>
        <w:rPr>
          <w:rFonts w:ascii="Noto Serif" w:hAnsi="Noto Serif"/>
          <w:b w:val="0"/>
          <w:i w:val="0"/>
        </w:rPr>
        <w:t xml:space="preserve"> — издание, старающееся сохранить особенности конкретного основного свидетеля, одновременно показывая варианты в аппарате.</w:t>
      </w:r>
    </w:p>
    <w:p>
      <w:pPr>
        <w:widowControl/>
      </w:pPr>
      <w:r>
        <w:rPr>
          <w:rFonts w:ascii="Noto Serif" w:hAnsi="Noto Serif"/>
          <w:b/>
          <w:i w:val="0"/>
        </w:rPr>
        <w:t>Эклектическое издание</w:t>
      </w:r>
      <w:r>
        <w:rPr>
          <w:rFonts w:ascii="Noto Serif" w:hAnsi="Noto Serif"/>
          <w:b w:val="0"/>
          <w:i w:val="0"/>
        </w:rPr>
        <w:t xml:space="preserve"> — текст, составленный редактором из разных рукописей по оценке вариантов, а не буквальная копия одного списка.</w:t>
      </w:r>
    </w:p>
    <w:p>
      <w:pPr>
        <w:widowControl/>
      </w:pPr>
      <w:r>
        <w:rPr>
          <w:rFonts w:ascii="Noto Serif" w:hAnsi="Noto Serif"/>
          <w:b/>
          <w:i w:val="0"/>
        </w:rPr>
        <w:t>Vorlage</w:t>
      </w:r>
      <w:r>
        <w:rPr>
          <w:rFonts w:ascii="Noto Serif" w:hAnsi="Noto Serif"/>
          <w:b w:val="0"/>
          <w:i w:val="0"/>
        </w:rPr>
        <w:t xml:space="preserve"> — предполагаемый исходный текст, лежащий за переводом, например за греческой LXX.</w:t>
      </w:r>
    </w:p>
    <w:p>
      <w:pPr>
        <w:spacing w:after="40"/>
        <w:widowControl/>
        <w:pBdr>
          <w:bottom w:val="single" w:sz="3" w:color="D9C991"/>
        </w:pBdr>
      </w:pPr>
    </w:p>
    <w:p>
      <w:pPr>
        <w:widowControl/>
      </w:pPr>
      <w:r>
        <w:rPr>
          <w:rFonts w:ascii="Noto Serif" w:hAnsi="Noto Serif"/>
        </w:rPr>
        <w:br w:type="page"/>
      </w:r>
    </w:p>
    <w:p>
      <w:pPr>
        <w:pStyle w:val="Heading2"/>
        <w:keepNext/>
        <w:widowControl/>
      </w:pPr>
      <w:r>
        <w:rPr>
          <w:rFonts w:ascii="Noto Serif" w:hAnsi="Noto Serif"/>
          <w:b w:val="0"/>
          <w:i w:val="0"/>
        </w:rPr>
        <w:t>Источники и издания</w:t>
      </w:r>
    </w:p>
    <w:p>
      <w:pPr>
        <w:widowControl/>
      </w:pPr>
      <w:r>
        <w:rPr>
          <w:rFonts w:ascii="Noto Serif" w:hAnsi="Noto Serif"/>
          <w:b w:val="0"/>
          <w:i/>
        </w:rPr>
        <w:t>Редакционная оговорка:</w:t>
      </w:r>
      <w:r>
        <w:rPr>
          <w:rFonts w:ascii="Noto Serif" w:hAnsi="Noto Serif"/>
          <w:b w:val="0"/>
          <w:i w:val="0"/>
        </w:rPr>
        <w:t xml:space="preserve"> номера страниц и шифры приведены по указанным в исследовательском корпусе изданиям и каталогам. Даты современных журналистских материалов относятся к публикациям, а не к единой переписи населения. Все пересказы библейских мест в основном тексте являются авторскими пересказами.</w:t>
      </w:r>
    </w:p>
    <w:p>
      <w:pPr>
        <w:pStyle w:val="Heading3"/>
        <w:keepNext/>
        <w:widowControl/>
      </w:pPr>
      <w:r>
        <w:rPr>
          <w:rFonts w:ascii="Noto Serif" w:hAnsi="Noto Serif"/>
          <w:b w:val="0"/>
          <w:i w:val="0"/>
        </w:rPr>
        <w:t>Первичные текстовые и рукописные источники</w:t>
      </w:r>
    </w:p>
    <w:p>
      <w:pPr>
        <w:pStyle w:val="ListBullet"/>
        <w:keepLines/>
        <w:widowControl/>
        <w:spacing w:after="60"/>
      </w:pPr>
      <w:r>
        <w:rPr>
          <w:rFonts w:ascii="Noto Serif" w:hAnsi="Noto Serif"/>
          <w:b/>
          <w:i w:val="0"/>
        </w:rPr>
        <w:t>Cambridge University Library.</w:t>
      </w:r>
      <w:r>
        <w:rPr>
          <w:rFonts w:ascii="Noto Serif" w:hAnsi="Noto Serif"/>
          <w:b w:val="0"/>
          <w:i w:val="0"/>
        </w:rPr>
        <w:t xml:space="preserve"> MS Add.1846, </w:t>
      </w:r>
      <w:r>
        <w:rPr>
          <w:rFonts w:ascii="Noto Serif" w:hAnsi="Noto Serif"/>
          <w:b w:val="0"/>
          <w:i/>
        </w:rPr>
        <w:t>The Samaritan Pentateuch</w:t>
      </w:r>
      <w:r>
        <w:rPr>
          <w:rFonts w:ascii="Noto Serif" w:hAnsi="Noto Serif"/>
          <w:b w:val="0"/>
          <w:i w:val="0"/>
        </w:rPr>
        <w:t xml:space="preserve"> (Codex Zurbil/Burnt Codex), цифровой каталог и изображения: </w:t>
      </w:r>
      <w:hyperlink r:id="rId12">
        <w:r>
          <w:rPr>
            <w:color w:val="087E87"/>
            <w:u w:val="single"/>
            <w:rFonts w:ascii="Noto Sans" w:hAnsi="Noto Sans"/>
          </w:rPr>
          <w:t>https://cudl.lib.cam.ac.uk/view/MS-ADD-01846/8</w:t>
        </w:r>
      </w:hyperlink>
      <w:r>
        <w:rPr>
          <w:rFonts w:ascii="Noto Serif" w:hAnsi="Noto Serif"/>
          <w:b w:val="0"/>
          <w:i w:val="0"/>
        </w:rPr>
        <w:t>.</w:t>
      </w:r>
    </w:p>
    <w:p>
      <w:pPr>
        <w:pStyle w:val="ListBullet"/>
        <w:keepLines/>
        <w:widowControl/>
        <w:spacing w:after="60"/>
      </w:pPr>
      <w:r>
        <w:rPr>
          <w:rFonts w:ascii="Noto Serif" w:hAnsi="Noto Serif"/>
          <w:b/>
          <w:i w:val="0"/>
        </w:rPr>
        <w:t>John Rylands Research Institute and Library, University of Manchester.</w:t>
      </w:r>
      <w:r>
        <w:rPr>
          <w:rFonts w:ascii="Noto Serif" w:hAnsi="Noto Serif"/>
          <w:b w:val="0"/>
          <w:i w:val="0"/>
        </w:rPr>
        <w:t xml:space="preserve"> “Samaritan Manuscripts”: </w:t>
      </w:r>
      <w:hyperlink r:id="rId14">
        <w:r>
          <w:rPr>
            <w:color w:val="087E87"/>
            <w:u w:val="single"/>
            <w:rFonts w:ascii="Noto Sans" w:hAnsi="Noto Sans"/>
          </w:rPr>
          <w:t>https://www.digitalcollections.manchester.ac.uk/collections/samaritan</w:t>
        </w:r>
      </w:hyperlink>
      <w:r>
        <w:rPr>
          <w:rFonts w:ascii="Noto Serif" w:hAnsi="Noto Serif"/>
          <w:b w:val="0"/>
          <w:i w:val="0"/>
        </w:rPr>
        <w:t>.</w:t>
      </w:r>
    </w:p>
    <w:p>
      <w:pPr>
        <w:pStyle w:val="ListBullet"/>
        <w:keepLines/>
        <w:widowControl/>
        <w:spacing w:after="60"/>
      </w:pPr>
      <w:r>
        <w:rPr>
          <w:rFonts w:ascii="Noto Serif" w:hAnsi="Noto Serif"/>
          <w:b/>
          <w:i w:val="0"/>
        </w:rPr>
        <w:t>New York Public Library, Dorot Jewish Division.</w:t>
      </w:r>
      <w:r>
        <w:rPr>
          <w:rFonts w:ascii="Noto Serif" w:hAnsi="Noto Serif"/>
          <w:b w:val="0"/>
          <w:i w:val="0"/>
        </w:rPr>
        <w:t xml:space="preserve"> P (Ms. Heb. 228), “[Samaritan Bible]”: </w:t>
      </w:r>
      <w:hyperlink r:id="rId15">
        <w:r>
          <w:rPr>
            <w:color w:val="087E87"/>
            <w:u w:val="single"/>
            <w:rFonts w:ascii="Noto Sans" w:hAnsi="Noto Sans"/>
          </w:rPr>
          <w:t>https://catalog.nypl.org/record=b16307591~S1</w:t>
        </w:r>
      </w:hyperlink>
      <w:r>
        <w:rPr>
          <w:rFonts w:ascii="Noto Serif" w:hAnsi="Noto Serif"/>
          <w:b w:val="0"/>
          <w:i w:val="0"/>
        </w:rPr>
        <w:t>.</w:t>
      </w:r>
    </w:p>
    <w:p>
      <w:pPr>
        <w:pStyle w:val="ListBullet"/>
        <w:keepLines/>
        <w:widowControl/>
        <w:spacing w:after="60"/>
      </w:pPr>
      <w:r>
        <w:rPr>
          <w:rFonts w:ascii="Noto Serif" w:hAnsi="Noto Serif"/>
          <w:b/>
          <w:i w:val="0"/>
        </w:rPr>
        <w:t>Samaritan Pentateuch.</w:t>
      </w:r>
      <w:r>
        <w:rPr>
          <w:rFonts w:ascii="Noto Serif" w:hAnsi="Noto Serif"/>
          <w:b w:val="0"/>
          <w:i w:val="0"/>
        </w:rPr>
        <w:t xml:space="preserve"> Параллельные публикации Втор 27:4 и Втор 5:21: </w:t>
      </w:r>
      <w:hyperlink r:id="rId22">
        <w:r>
          <w:rPr>
            <w:color w:val="087E87"/>
            <w:u w:val="single"/>
            <w:rFonts w:ascii="Noto Sans" w:hAnsi="Noto Sans"/>
          </w:rPr>
          <w:t>https://intertextual.bible/text/deuteronomy-27.4/samaritan-deuteronomy-27.4</w:t>
        </w:r>
      </w:hyperlink>
      <w:r>
        <w:rPr>
          <w:rFonts w:ascii="Noto Serif" w:hAnsi="Noto Serif"/>
          <w:b w:val="0"/>
          <w:i w:val="0"/>
        </w:rPr>
        <w:t xml:space="preserve">; </w:t>
      </w:r>
      <w:hyperlink r:id="rId25">
        <w:r>
          <w:rPr>
            <w:color w:val="087E87"/>
            <w:u w:val="single"/>
            <w:rFonts w:ascii="Noto Sans" w:hAnsi="Noto Sans"/>
          </w:rPr>
          <w:t>https://intertextual.bible/text/deuteronomy-5.21/samaritan-deuteronomy-5.21</w:t>
        </w:r>
      </w:hyperlink>
      <w:r>
        <w:rPr>
          <w:rFonts w:ascii="Noto Serif" w:hAnsi="Noto Serif"/>
          <w:b w:val="0"/>
          <w:i w:val="0"/>
        </w:rPr>
        <w:t>.</w:t>
      </w:r>
    </w:p>
    <w:p>
      <w:pPr>
        <w:pStyle w:val="ListBullet"/>
        <w:keepLines/>
        <w:widowControl/>
        <w:spacing w:after="60"/>
      </w:pPr>
      <w:r>
        <w:rPr>
          <w:rFonts w:ascii="Noto Serif" w:hAnsi="Noto Serif"/>
          <w:b/>
          <w:i w:val="0"/>
        </w:rPr>
        <w:t>Sefaria.</w:t>
      </w:r>
      <w:r>
        <w:rPr>
          <w:rFonts w:ascii="Noto Serif" w:hAnsi="Noto Serif"/>
          <w:b w:val="0"/>
          <w:i w:val="0"/>
        </w:rPr>
        <w:t xml:space="preserve"> MT, Втор 27:4: </w:t>
      </w:r>
      <w:hyperlink r:id="rId29">
        <w:r>
          <w:rPr>
            <w:color w:val="087E87"/>
            <w:u w:val="single"/>
            <w:rFonts w:ascii="Noto Sans" w:hAnsi="Noto Sans"/>
          </w:rPr>
          <w:t>https://www.sefaria.org/Deuteronomy.27.4?lang=bi</w:t>
        </w:r>
      </w:hyperlink>
      <w:r>
        <w:rPr>
          <w:rFonts w:ascii="Noto Serif" w:hAnsi="Noto Serif"/>
          <w:b w:val="0"/>
          <w:i w:val="0"/>
        </w:rPr>
        <w:t>.</w:t>
      </w:r>
    </w:p>
    <w:p>
      <w:pPr>
        <w:pStyle w:val="ListBullet"/>
        <w:keepLines/>
        <w:widowControl/>
        <w:spacing w:after="60"/>
      </w:pPr>
      <w:r>
        <w:rPr>
          <w:rFonts w:ascii="Noto Serif" w:hAnsi="Noto Serif"/>
          <w:b/>
          <w:i w:val="0"/>
        </w:rPr>
        <w:t>Brenton Septuagint.</w:t>
      </w:r>
      <w:r>
        <w:rPr>
          <w:rFonts w:ascii="Noto Serif" w:hAnsi="Noto Serif"/>
          <w:b w:val="0"/>
          <w:i w:val="0"/>
        </w:rPr>
        <w:t xml:space="preserve"> Втор 27:12–13: </w:t>
      </w:r>
      <w:hyperlink r:id="rId21">
        <w:r>
          <w:rPr>
            <w:color w:val="087E87"/>
            <w:u w:val="single"/>
            <w:rFonts w:ascii="Noto Sans" w:hAnsi="Noto Sans"/>
          </w:rPr>
          <w:t>https://thehistoricfaith.com/audio-bible/listen/septuagint/deuteronomy/27</w:t>
        </w:r>
      </w:hyperlink>
      <w:r>
        <w:rPr>
          <w:rFonts w:ascii="Noto Serif" w:hAnsi="Noto Serif"/>
          <w:b w:val="0"/>
          <w:i w:val="0"/>
        </w:rPr>
        <w:t>.</w:t>
      </w:r>
    </w:p>
    <w:p>
      <w:pPr>
        <w:pStyle w:val="ListBullet"/>
        <w:keepLines/>
        <w:widowControl/>
        <w:spacing w:after="60"/>
      </w:pPr>
      <w:r>
        <w:rPr>
          <w:rFonts w:ascii="Noto Serif" w:hAnsi="Noto Serif"/>
          <w:b/>
          <w:i w:val="0"/>
        </w:rPr>
        <w:t>Israel Antiquities Authority.</w:t>
      </w:r>
      <w:r>
        <w:rPr>
          <w:rFonts w:ascii="Noto Serif" w:hAnsi="Noto Serif"/>
          <w:b w:val="0"/>
          <w:i w:val="0"/>
        </w:rPr>
        <w:t xml:space="preserve"> 4Q38 (4QDeut k), Dead Sea Scrolls Digital Library: </w:t>
      </w:r>
      <w:hyperlink r:id="rId19">
        <w:r>
          <w:rPr>
            <w:color w:val="087E87"/>
            <w:u w:val="single"/>
            <w:rFonts w:ascii="Noto Sans" w:hAnsi="Noto Sans"/>
          </w:rPr>
          <w:t>https://www.deadseascrolls.org.il/explore-the-archive/manuscript/4Q38-1?locale=en_US</w:t>
        </w:r>
      </w:hyperlink>
      <w:r>
        <w:rPr>
          <w:rFonts w:ascii="Noto Serif" w:hAnsi="Noto Serif"/>
          <w:b w:val="0"/>
          <w:i w:val="0"/>
        </w:rPr>
        <w:t>.</w:t>
      </w:r>
    </w:p>
    <w:p>
      <w:pPr>
        <w:pStyle w:val="ListBullet"/>
        <w:keepLines/>
        <w:widowControl/>
        <w:spacing w:after="60"/>
      </w:pPr>
      <w:r>
        <w:rPr>
          <w:rFonts w:ascii="Noto Serif" w:hAnsi="Noto Serif"/>
          <w:b/>
          <w:i w:val="0"/>
        </w:rPr>
        <w:t>Flavius Josephus.</w:t>
      </w:r>
      <w:r>
        <w:rPr>
          <w:rFonts w:ascii="Noto Serif" w:hAnsi="Noto Serif"/>
          <w:b w:val="0"/>
          <w:i w:val="0"/>
        </w:rPr>
        <w:t xml:space="preserve"> </w:t>
      </w:r>
      <w:r>
        <w:rPr>
          <w:rFonts w:ascii="Noto Serif" w:hAnsi="Noto Serif"/>
          <w:b w:val="0"/>
          <w:i/>
        </w:rPr>
        <w:t>Antiquitates Judaicae</w:t>
      </w:r>
      <w:r>
        <w:rPr>
          <w:rFonts w:ascii="Noto Serif" w:hAnsi="Noto Serif"/>
          <w:b w:val="0"/>
          <w:i w:val="0"/>
        </w:rPr>
        <w:t xml:space="preserve"> 9.288–291; 11.302–347; 12.257–261, электронная публикация University of Chicago: </w:t>
      </w:r>
      <w:hyperlink r:id="rId30">
        <w:r>
          <w:rPr>
            <w:color w:val="087E87"/>
            <w:u w:val="single"/>
            <w:rFonts w:ascii="Noto Sans" w:hAnsi="Noto Sans"/>
          </w:rPr>
          <w:t>https://penelope.uchicago.edu/josephus/ant-11.html</w:t>
        </w:r>
      </w:hyperlink>
      <w:r>
        <w:rPr>
          <w:rFonts w:ascii="Noto Serif" w:hAnsi="Noto Serif"/>
          <w:b w:val="0"/>
          <w:i w:val="0"/>
        </w:rPr>
        <w:t>.</w:t>
      </w:r>
    </w:p>
    <w:p>
      <w:pPr>
        <w:pStyle w:val="Heading3"/>
        <w:keepNext/>
        <w:widowControl/>
      </w:pPr>
      <w:r>
        <w:rPr>
          <w:rFonts w:ascii="Noto Serif" w:hAnsi="Noto Serif"/>
          <w:b w:val="0"/>
          <w:i w:val="0"/>
        </w:rPr>
        <w:t>Научные издания и исследования текста</w:t>
      </w:r>
    </w:p>
    <w:p>
      <w:pPr>
        <w:pStyle w:val="ListBullet"/>
        <w:keepLines/>
        <w:widowControl/>
        <w:spacing w:after="60"/>
      </w:pPr>
      <w:r>
        <w:rPr>
          <w:rFonts w:ascii="Noto Serif" w:hAnsi="Noto Serif"/>
          <w:b w:val="0"/>
          <w:i w:val="0"/>
        </w:rPr>
        <w:t xml:space="preserve">Dayfani, Hila. “4QpaleoExodm and the Gerizim Composition.” </w:t>
      </w:r>
      <w:r>
        <w:rPr>
          <w:rFonts w:ascii="Noto Serif" w:hAnsi="Noto Serif"/>
          <w:b w:val="0"/>
          <w:i/>
        </w:rPr>
        <w:t>Journal of Biblical Literature</w:t>
      </w:r>
      <w:r>
        <w:rPr>
          <w:rFonts w:ascii="Noto Serif" w:hAnsi="Noto Serif"/>
          <w:b w:val="0"/>
          <w:i w:val="0"/>
        </w:rPr>
        <w:t xml:space="preserve"> 141, no. 4 (2022): 673–698. DOI: 10.15699/jbl.1414.2022.5.</w:t>
      </w:r>
    </w:p>
    <w:p>
      <w:pPr>
        <w:pStyle w:val="ListBullet"/>
        <w:keepLines/>
        <w:widowControl/>
        <w:spacing w:after="60"/>
      </w:pPr>
      <w:r>
        <w:rPr>
          <w:rFonts w:ascii="Noto Serif" w:hAnsi="Noto Serif"/>
          <w:b w:val="0"/>
          <w:i w:val="0"/>
        </w:rPr>
        <w:t xml:space="preserve">Dayfani, Hila. “The Major Additions in the Samaritan Pentateuch Tradition.” </w:t>
      </w:r>
      <w:r>
        <w:rPr>
          <w:rFonts w:ascii="Noto Serif" w:hAnsi="Noto Serif"/>
          <w:b w:val="0"/>
          <w:i/>
        </w:rPr>
        <w:t>Vetus Testamentum</w:t>
      </w:r>
      <w:r>
        <w:rPr>
          <w:rFonts w:ascii="Noto Serif" w:hAnsi="Noto Serif"/>
          <w:b w:val="0"/>
          <w:i w:val="0"/>
        </w:rPr>
        <w:t xml:space="preserve"> 75, no. 3 (2025): 335–359.</w:t>
      </w:r>
    </w:p>
    <w:p>
      <w:pPr>
        <w:pStyle w:val="ListBullet"/>
        <w:keepLines/>
        <w:widowControl/>
        <w:spacing w:after="60"/>
      </w:pPr>
      <w:r>
        <w:rPr>
          <w:rFonts w:ascii="Noto Serif" w:hAnsi="Noto Serif"/>
          <w:b w:val="0"/>
          <w:i w:val="0"/>
        </w:rPr>
        <w:t xml:space="preserve">Florentin, Moshe, and Abraham Tal. </w:t>
      </w:r>
      <w:r>
        <w:rPr>
          <w:rFonts w:ascii="Noto Serif" w:hAnsi="Noto Serif"/>
          <w:b w:val="0"/>
          <w:i/>
        </w:rPr>
        <w:t>The Samaritan Pentateuch: An English Translation with a Parallel Annotated Hebrew Text</w:t>
      </w:r>
      <w:r>
        <w:rPr>
          <w:rFonts w:ascii="Noto Serif" w:hAnsi="Noto Serif"/>
          <w:b w:val="0"/>
          <w:i w:val="0"/>
        </w:rPr>
        <w:t xml:space="preserve">. Cambridge: Open Book Publishers, 2025, pp. 14–32, 71–84, 85–896, 897–1032, 1033–1107. </w:t>
      </w:r>
      <w:hyperlink r:id="rId31">
        <w:r>
          <w:rPr>
            <w:color w:val="087E87"/>
            <w:u w:val="single"/>
            <w:rFonts w:ascii="Noto Sans" w:hAnsi="Noto Sans"/>
          </w:rPr>
          <w:t>https://www.openbookpublishers.com/books/10.11647/OBP.0415</w:t>
        </w:r>
      </w:hyperlink>
      <w:r>
        <w:rPr>
          <w:rFonts w:ascii="Noto Serif" w:hAnsi="Noto Serif"/>
          <w:b w:val="0"/>
          <w:i w:val="0"/>
        </w:rPr>
        <w:t>.</w:t>
      </w:r>
    </w:p>
    <w:p>
      <w:pPr>
        <w:pStyle w:val="ListBullet"/>
        <w:keepLines/>
        <w:widowControl/>
        <w:spacing w:after="60"/>
      </w:pPr>
      <w:r>
        <w:rPr>
          <w:rFonts w:ascii="Noto Serif" w:hAnsi="Noto Serif"/>
          <w:b w:val="0"/>
          <w:i w:val="0"/>
        </w:rPr>
        <w:t xml:space="preserve">Girón-Blanc, L. F. </w:t>
      </w:r>
      <w:r>
        <w:rPr>
          <w:rFonts w:ascii="Noto Serif" w:hAnsi="Noto Serif"/>
          <w:b w:val="0"/>
          <w:i/>
        </w:rPr>
        <w:t>Pentateuco hebreo-samaritano: Génesis: edición crítica sobre la base de manuscritos inéditos</w:t>
      </w:r>
      <w:r>
        <w:rPr>
          <w:rFonts w:ascii="Noto Serif" w:hAnsi="Noto Serif"/>
          <w:b w:val="0"/>
          <w:i w:val="0"/>
        </w:rPr>
        <w:t>. Madrid, 1976.</w:t>
      </w:r>
    </w:p>
    <w:p>
      <w:pPr>
        <w:pStyle w:val="ListBullet"/>
        <w:keepLines/>
        <w:widowControl/>
        <w:spacing w:after="60"/>
      </w:pPr>
      <w:r>
        <w:rPr>
          <w:rFonts w:ascii="Noto Serif" w:hAnsi="Noto Serif"/>
          <w:b w:val="0"/>
          <w:i w:val="0"/>
        </w:rPr>
        <w:t xml:space="preserve">Hjelm, Ingrid. “The Samaritan and Jewish Versions of the Pentateuch: A Survey.” </w:t>
      </w:r>
      <w:r>
        <w:rPr>
          <w:rFonts w:ascii="Noto Serif" w:hAnsi="Noto Serif"/>
          <w:b w:val="0"/>
          <w:i/>
        </w:rPr>
        <w:t>Religions</w:t>
      </w:r>
      <w:r>
        <w:rPr>
          <w:rFonts w:ascii="Noto Serif" w:hAnsi="Noto Serif"/>
          <w:b w:val="0"/>
          <w:i w:val="0"/>
        </w:rPr>
        <w:t xml:space="preserve"> 11, no. 2 (2020), article 85. DOI: 10.3390/rel11020085.</w:t>
      </w:r>
    </w:p>
    <w:p>
      <w:pPr>
        <w:pStyle w:val="ListBullet"/>
        <w:keepLines/>
        <w:widowControl/>
        <w:spacing w:after="60"/>
      </w:pPr>
      <w:r>
        <w:rPr>
          <w:rFonts w:ascii="Noto Serif" w:hAnsi="Noto Serif"/>
          <w:b w:val="0"/>
          <w:i w:val="0"/>
        </w:rPr>
        <w:t xml:space="preserve">Pérez Castro, Federico. </w:t>
      </w:r>
      <w:r>
        <w:rPr>
          <w:rFonts w:ascii="Noto Serif" w:hAnsi="Noto Serif"/>
          <w:b w:val="0"/>
          <w:i/>
        </w:rPr>
        <w:t>Séfer Abisa: edición del fragmento antiguo del rollo sagrado del Pentateuco hebreo-samaritano de Nablus</w:t>
      </w:r>
      <w:r>
        <w:rPr>
          <w:rFonts w:ascii="Noto Serif" w:hAnsi="Noto Serif"/>
          <w:b w:val="0"/>
          <w:i w:val="0"/>
        </w:rPr>
        <w:t>. Madrid, 1959.</w:t>
      </w:r>
    </w:p>
    <w:p>
      <w:pPr>
        <w:pStyle w:val="ListBullet"/>
        <w:keepLines/>
        <w:widowControl/>
        <w:spacing w:after="60"/>
      </w:pPr>
      <w:r>
        <w:rPr>
          <w:rFonts w:ascii="Noto Serif" w:hAnsi="Noto Serif"/>
          <w:b w:val="0"/>
          <w:i w:val="0"/>
        </w:rPr>
        <w:t xml:space="preserve">Sadaqah, A. and R. </w:t>
      </w:r>
      <w:r>
        <w:rPr>
          <w:rFonts w:ascii="Noto Serif" w:hAnsi="Noto Serif"/>
          <w:b w:val="0"/>
          <w:i/>
        </w:rPr>
        <w:t>Jewish and Samaritan Version of the Pentateuch</w:t>
      </w:r>
      <w:r>
        <w:rPr>
          <w:rFonts w:ascii="Noto Serif" w:hAnsi="Noto Serif"/>
          <w:b w:val="0"/>
          <w:i w:val="0"/>
        </w:rPr>
        <w:t>. Jerusalem, 1965.</w:t>
      </w:r>
    </w:p>
    <w:p>
      <w:pPr>
        <w:pStyle w:val="ListBullet"/>
        <w:keepLines/>
        <w:widowControl/>
        <w:spacing w:after="60"/>
      </w:pPr>
      <w:r>
        <w:rPr>
          <w:rFonts w:ascii="Noto Serif" w:hAnsi="Noto Serif"/>
          <w:b w:val="0"/>
          <w:i w:val="0"/>
        </w:rPr>
        <w:t xml:space="preserve">Schorch, Stefan. </w:t>
      </w:r>
      <w:r>
        <w:rPr>
          <w:rFonts w:ascii="Noto Serif" w:hAnsi="Noto Serif"/>
          <w:b w:val="0"/>
          <w:i/>
        </w:rPr>
        <w:t>The Samaritan Pentateuch: A Critical Editio Maior</w:t>
      </w:r>
      <w:r>
        <w:rPr>
          <w:rFonts w:ascii="Noto Serif" w:hAnsi="Noto Serif"/>
          <w:b w:val="0"/>
          <w:i w:val="0"/>
        </w:rPr>
        <w:t xml:space="preserve">. Vol. 3: </w:t>
      </w:r>
      <w:r>
        <w:rPr>
          <w:rFonts w:ascii="Noto Serif" w:hAnsi="Noto Serif"/>
          <w:b w:val="0"/>
          <w:i/>
        </w:rPr>
        <w:t>Leviticus</w:t>
      </w:r>
      <w:r>
        <w:rPr>
          <w:rFonts w:ascii="Noto Serif" w:hAnsi="Noto Serif"/>
          <w:b w:val="0"/>
          <w:i w:val="0"/>
        </w:rPr>
        <w:t>. Berlin: De Gruyter, 2018.</w:t>
      </w:r>
    </w:p>
    <w:p>
      <w:pPr>
        <w:pStyle w:val="ListBullet"/>
        <w:keepLines/>
        <w:widowControl/>
        <w:spacing w:after="60"/>
      </w:pPr>
      <w:r>
        <w:rPr>
          <w:rFonts w:ascii="Noto Serif" w:hAnsi="Noto Serif"/>
          <w:b w:val="0"/>
          <w:i w:val="0"/>
        </w:rPr>
        <w:t xml:space="preserve">Tov, Emanuel. “Proto-Samaritan Texts and the Samaritan Pentateuch,” раздел “Editions and Translations”: </w:t>
      </w:r>
      <w:hyperlink r:id="rId16">
        <w:r>
          <w:rPr>
            <w:color w:val="087E87"/>
            <w:u w:val="single"/>
            <w:rFonts w:ascii="Noto Sans" w:hAnsi="Noto Sans"/>
          </w:rPr>
          <w:t>http://www.emanueltov.info/docs/varia/67.Proto-SamaritanTexts.2.pdf?v=1.0</w:t>
        </w:r>
      </w:hyperlink>
      <w:r>
        <w:rPr>
          <w:rFonts w:ascii="Noto Serif" w:hAnsi="Noto Serif"/>
          <w:b w:val="0"/>
          <w:i w:val="0"/>
        </w:rPr>
        <w:t>.</w:t>
      </w:r>
    </w:p>
    <w:p>
      <w:pPr>
        <w:pStyle w:val="ListBullet"/>
        <w:keepLines/>
        <w:widowControl/>
        <w:spacing w:after="60"/>
      </w:pPr>
      <w:r>
        <w:rPr>
          <w:rFonts w:ascii="Noto Serif" w:hAnsi="Noto Serif"/>
          <w:b w:val="0"/>
          <w:i w:val="0"/>
        </w:rPr>
        <w:t xml:space="preserve">Tov, Emanuel, and Sidnie White. “4Q364. Reworked Pentateuch b.” In </w:t>
      </w:r>
      <w:r>
        <w:rPr>
          <w:rFonts w:ascii="Noto Serif" w:hAnsi="Noto Serif"/>
          <w:b w:val="0"/>
          <w:i/>
        </w:rPr>
        <w:t>Qumran Cave 4: VIII, Parabiblical Texts</w:t>
      </w:r>
      <w:r>
        <w:rPr>
          <w:rFonts w:ascii="Noto Serif" w:hAnsi="Noto Serif"/>
          <w:b w:val="0"/>
          <w:i w:val="0"/>
        </w:rPr>
        <w:t>, DJD XIII, edited by James VanderKam et al., 197–254. Oxford: Clarendon, 1994.</w:t>
      </w:r>
    </w:p>
    <w:p>
      <w:pPr>
        <w:pStyle w:val="ListBullet"/>
        <w:keepLines/>
        <w:widowControl/>
        <w:spacing w:after="60"/>
      </w:pPr>
      <w:r>
        <w:rPr>
          <w:rFonts w:ascii="Noto Serif" w:hAnsi="Noto Serif"/>
          <w:b w:val="0"/>
          <w:i w:val="0"/>
        </w:rPr>
        <w:t xml:space="preserve">Ulrich, Eugene. “The Samaritan and Masoretic Pentateuch.” In </w:t>
      </w:r>
      <w:r>
        <w:rPr>
          <w:rFonts w:ascii="Noto Serif" w:hAnsi="Noto Serif"/>
          <w:b w:val="0"/>
          <w:i/>
        </w:rPr>
        <w:t>Sibyls, Scriptures, and Scrolls: John Collins at Seventy</w:t>
      </w:r>
      <w:r>
        <w:rPr>
          <w:rFonts w:ascii="Noto Serif" w:hAnsi="Noto Serif"/>
          <w:b w:val="0"/>
          <w:i w:val="0"/>
        </w:rPr>
        <w:t>, edited by Joel Baden, Hindy Najman, and Eibert J. C. Tigchelaar, 1314–1329. Leiden: Brill, 2017.</w:t>
      </w:r>
    </w:p>
    <w:p>
      <w:pPr>
        <w:pStyle w:val="ListBullet"/>
        <w:keepLines/>
        <w:widowControl/>
        <w:spacing w:after="60"/>
      </w:pPr>
      <w:r>
        <w:rPr>
          <w:rFonts w:ascii="Noto Serif" w:hAnsi="Noto Serif"/>
          <w:b w:val="0"/>
          <w:i w:val="0"/>
        </w:rPr>
        <w:t xml:space="preserve">von Gall, August. </w:t>
      </w:r>
      <w:r>
        <w:rPr>
          <w:rFonts w:ascii="Noto Serif" w:hAnsi="Noto Serif"/>
          <w:b w:val="0"/>
          <w:i/>
        </w:rPr>
        <w:t>Der hebräische Pentateuch der Samaritaner</w:t>
      </w:r>
      <w:r>
        <w:rPr>
          <w:rFonts w:ascii="Noto Serif" w:hAnsi="Noto Serif"/>
          <w:b w:val="0"/>
          <w:i w:val="0"/>
        </w:rPr>
        <w:t>. 4 vols. Giessen, 1914–1918; repr. Berlin, 1966.</w:t>
      </w:r>
    </w:p>
    <w:p>
      <w:pPr>
        <w:pStyle w:val="Heading3"/>
        <w:keepNext/>
        <w:widowControl/>
      </w:pPr>
      <w:r>
        <w:rPr>
          <w:rFonts w:ascii="Noto Serif" w:hAnsi="Noto Serif"/>
          <w:b w:val="0"/>
          <w:i w:val="0"/>
        </w:rPr>
        <w:t>История, археология и современная община</w:t>
      </w:r>
    </w:p>
    <w:p>
      <w:pPr>
        <w:pStyle w:val="ListBullet"/>
        <w:keepLines/>
        <w:widowControl/>
        <w:spacing w:after="60"/>
      </w:pPr>
      <w:r>
        <w:rPr>
          <w:rFonts w:ascii="Noto Serif" w:hAnsi="Noto Serif"/>
          <w:b w:val="0"/>
          <w:i w:val="0"/>
        </w:rPr>
        <w:t xml:space="preserve">Bourgel, Jérôme. “The Destruction of the Samaritan Temple by John Hyrcanus.” </w:t>
      </w:r>
      <w:r>
        <w:rPr>
          <w:rFonts w:ascii="Noto Serif" w:hAnsi="Noto Serif"/>
          <w:b w:val="0"/>
          <w:i/>
        </w:rPr>
        <w:t>Journal of Biblical Literature</w:t>
      </w:r>
      <w:r>
        <w:rPr>
          <w:rFonts w:ascii="Noto Serif" w:hAnsi="Noto Serif"/>
          <w:b w:val="0"/>
          <w:i w:val="0"/>
        </w:rPr>
        <w:t xml:space="preserve"> 135, no. 3 (2016): 505–523. DOI: 10.15699/jbl.1353.2016.3129.</w:t>
      </w:r>
    </w:p>
    <w:p>
      <w:pPr>
        <w:pStyle w:val="ListBullet"/>
        <w:keepLines/>
        <w:widowControl/>
        <w:spacing w:after="60"/>
      </w:pPr>
      <w:r>
        <w:rPr>
          <w:rFonts w:ascii="Noto Serif" w:hAnsi="Noto Serif"/>
          <w:b w:val="0"/>
          <w:i w:val="0"/>
        </w:rPr>
        <w:t xml:space="preserve">Economou, M. “The Aramaic Inscriptions from Mount Gerizim.” </w:t>
      </w:r>
      <w:r>
        <w:rPr>
          <w:rFonts w:ascii="Noto Serif" w:hAnsi="Noto Serif"/>
          <w:b w:val="0"/>
          <w:i/>
        </w:rPr>
        <w:t>Journal of Ancient Judaism</w:t>
      </w:r>
      <w:r>
        <w:rPr>
          <w:rFonts w:ascii="Noto Serif" w:hAnsi="Noto Serif"/>
          <w:b w:val="0"/>
          <w:i w:val="0"/>
        </w:rPr>
        <w:t xml:space="preserve"> 15, no. 1 (2023): 154–181.</w:t>
      </w:r>
    </w:p>
    <w:p>
      <w:pPr>
        <w:pStyle w:val="ListBullet"/>
        <w:keepLines/>
        <w:widowControl/>
        <w:spacing w:after="60"/>
      </w:pPr>
      <w:r>
        <w:rPr>
          <w:rFonts w:ascii="Noto Serif" w:hAnsi="Noto Serif"/>
          <w:b w:val="0"/>
          <w:i w:val="0"/>
        </w:rPr>
        <w:t xml:space="preserve">Knoppers, Gary N. </w:t>
      </w:r>
      <w:r>
        <w:rPr>
          <w:rFonts w:ascii="Noto Serif" w:hAnsi="Noto Serif"/>
          <w:b w:val="0"/>
          <w:i/>
        </w:rPr>
        <w:t>Jews and Samaritans: The Origins and History of Their Early Relations</w:t>
      </w:r>
      <w:r>
        <w:rPr>
          <w:rFonts w:ascii="Noto Serif" w:hAnsi="Noto Serif"/>
          <w:b w:val="0"/>
          <w:i w:val="0"/>
        </w:rPr>
        <w:t>. Oxford: Oxford University Press, 2013.</w:t>
      </w:r>
    </w:p>
    <w:p>
      <w:pPr>
        <w:pStyle w:val="ListBullet"/>
        <w:keepLines/>
        <w:widowControl/>
        <w:spacing w:after="60"/>
      </w:pPr>
      <w:r>
        <w:rPr>
          <w:rFonts w:ascii="Noto Serif" w:hAnsi="Noto Serif"/>
          <w:b w:val="0"/>
          <w:i w:val="0"/>
        </w:rPr>
        <w:t xml:space="preserve">Kartveit, Magnar. “Samaritan Self-Consciousness in the First Half of the Second Century B.C.E. in Light of the Inscriptions from Mount Gerizim and Delos.” </w:t>
      </w:r>
      <w:r>
        <w:rPr>
          <w:rFonts w:ascii="Noto Serif" w:hAnsi="Noto Serif"/>
          <w:b w:val="0"/>
          <w:i/>
        </w:rPr>
        <w:t>Journal for the Study of Judaism</w:t>
      </w:r>
      <w:r>
        <w:rPr>
          <w:rFonts w:ascii="Noto Serif" w:hAnsi="Noto Serif"/>
          <w:b w:val="0"/>
          <w:i w:val="0"/>
        </w:rPr>
        <w:t xml:space="preserve"> 45 (2014): 449–470.</w:t>
      </w:r>
    </w:p>
    <w:p>
      <w:pPr>
        <w:pStyle w:val="ListBullet"/>
        <w:keepLines/>
        <w:widowControl/>
        <w:spacing w:after="60"/>
      </w:pPr>
      <w:r>
        <w:rPr>
          <w:rFonts w:ascii="Noto Serif" w:hAnsi="Noto Serif"/>
          <w:b w:val="0"/>
          <w:i w:val="0"/>
        </w:rPr>
        <w:t xml:space="preserve">Kartveit, Magnar. “Theories of the Origin of the Samaritans—Then and Now.” </w:t>
      </w:r>
      <w:r>
        <w:rPr>
          <w:rFonts w:ascii="Noto Serif" w:hAnsi="Noto Serif"/>
          <w:b w:val="0"/>
          <w:i/>
        </w:rPr>
        <w:t>Religions</w:t>
      </w:r>
      <w:r>
        <w:rPr>
          <w:rFonts w:ascii="Noto Serif" w:hAnsi="Noto Serif"/>
          <w:b w:val="0"/>
          <w:i w:val="0"/>
        </w:rPr>
        <w:t xml:space="preserve"> 10, no. 12 (2019), article 661. DOI: 10.3390/rel10120661.</w:t>
      </w:r>
    </w:p>
    <w:p>
      <w:pPr>
        <w:pStyle w:val="ListBullet"/>
        <w:keepLines/>
        <w:widowControl/>
        <w:spacing w:after="60"/>
      </w:pPr>
      <w:r>
        <w:rPr>
          <w:rFonts w:ascii="Noto Serif" w:hAnsi="Noto Serif"/>
          <w:b w:val="0"/>
          <w:i w:val="0"/>
        </w:rPr>
        <w:t xml:space="preserve">Minnick, J. L. “A Samaritan Temple to Rival Jerusalem on Mount Gerizim.” </w:t>
      </w:r>
      <w:r>
        <w:rPr>
          <w:rFonts w:ascii="Noto Serif" w:hAnsi="Noto Serif"/>
          <w:b w:val="0"/>
          <w:i/>
        </w:rPr>
        <w:t>Studia Antiqua</w:t>
      </w:r>
      <w:r>
        <w:rPr>
          <w:rFonts w:ascii="Noto Serif" w:hAnsi="Noto Serif"/>
          <w:b w:val="0"/>
          <w:i w:val="0"/>
        </w:rPr>
        <w:t xml:space="preserve"> 16, no. 1 (2017): 1–28.</w:t>
      </w:r>
    </w:p>
    <w:p>
      <w:pPr>
        <w:pStyle w:val="ListBullet"/>
        <w:keepLines/>
        <w:widowControl/>
        <w:spacing w:after="60"/>
      </w:pPr>
      <w:r>
        <w:rPr>
          <w:rFonts w:ascii="Noto Serif" w:hAnsi="Noto Serif"/>
          <w:b w:val="0"/>
          <w:i w:val="0"/>
        </w:rPr>
        <w:t xml:space="preserve">Zsengellér, József. “The Samaritan Diaspora in Antiquity.” </w:t>
      </w:r>
      <w:r>
        <w:rPr>
          <w:rFonts w:ascii="Noto Serif" w:hAnsi="Noto Serif"/>
          <w:b w:val="0"/>
          <w:i/>
        </w:rPr>
        <w:t>Acta Antiqua Academiae Scientiarum Hungaricae</w:t>
      </w:r>
      <w:r>
        <w:rPr>
          <w:rFonts w:ascii="Noto Serif" w:hAnsi="Noto Serif"/>
          <w:b w:val="0"/>
          <w:i w:val="0"/>
        </w:rPr>
        <w:t xml:space="preserve"> 56, no. 2 (2016): 157–175. DOI: 10.1556/068.2016.56.2.2.</w:t>
      </w:r>
    </w:p>
    <w:p>
      <w:pPr>
        <w:pStyle w:val="ListBullet"/>
        <w:keepLines/>
        <w:widowControl/>
        <w:spacing w:after="60"/>
      </w:pPr>
      <w:r>
        <w:rPr>
          <w:rFonts w:ascii="Noto Serif" w:hAnsi="Noto Serif"/>
          <w:b w:val="0"/>
          <w:i w:val="0"/>
        </w:rPr>
        <w:t xml:space="preserve">Hunt, Laura J. “Samaritan Israelites and Jews under the Shadow of Rome: Reading John 4:4–45 in Ephesus.” </w:t>
      </w:r>
      <w:r>
        <w:rPr>
          <w:rFonts w:ascii="Noto Serif" w:hAnsi="Noto Serif"/>
          <w:b w:val="0"/>
          <w:i/>
        </w:rPr>
        <w:t>Religions</w:t>
      </w:r>
      <w:r>
        <w:rPr>
          <w:rFonts w:ascii="Noto Serif" w:hAnsi="Noto Serif"/>
          <w:b w:val="0"/>
          <w:i w:val="0"/>
        </w:rPr>
        <w:t xml:space="preserve"> 14, no. 9 (2023), article 1149.</w:t>
      </w:r>
    </w:p>
    <w:p>
      <w:pPr>
        <w:pStyle w:val="ListBullet"/>
        <w:keepLines/>
        <w:widowControl/>
        <w:spacing w:after="60"/>
      </w:pPr>
      <w:r>
        <w:rPr>
          <w:rFonts w:ascii="Noto Serif" w:hAnsi="Noto Serif"/>
          <w:b w:val="0"/>
          <w:i w:val="0"/>
        </w:rPr>
        <w:t xml:space="preserve">Tahan, Tarek Yousef. “The Samaritans: A living bridge to Palestine’s past.” </w:t>
      </w:r>
      <w:r>
        <w:rPr>
          <w:rFonts w:ascii="Noto Serif" w:hAnsi="Noto Serif"/>
          <w:b w:val="0"/>
          <w:i/>
        </w:rPr>
        <w:t>The New Arab</w:t>
      </w:r>
      <w:r>
        <w:rPr>
          <w:rFonts w:ascii="Noto Serif" w:hAnsi="Noto Serif"/>
          <w:b w:val="0"/>
          <w:i w:val="0"/>
        </w:rPr>
        <w:t>, 12 February 2026.</w:t>
      </w:r>
    </w:p>
    <w:p>
      <w:pPr>
        <w:pStyle w:val="ListBullet"/>
        <w:keepLines/>
        <w:widowControl/>
        <w:spacing w:after="60"/>
      </w:pPr>
      <w:r>
        <w:rPr>
          <w:rFonts w:ascii="Noto Serif" w:hAnsi="Noto Serif"/>
          <w:b w:val="0"/>
          <w:i w:val="0"/>
        </w:rPr>
        <w:t xml:space="preserve">Zohar, Gil. “Samaritans Number Less Than 1,000. Here’s How Their Tradition Survives In Israel.” </w:t>
      </w:r>
      <w:r>
        <w:rPr>
          <w:rFonts w:ascii="Noto Serif" w:hAnsi="Noto Serif"/>
          <w:b w:val="0"/>
          <w:i/>
        </w:rPr>
        <w:t>Religion Unplugged</w:t>
      </w:r>
      <w:r>
        <w:rPr>
          <w:rFonts w:ascii="Noto Serif" w:hAnsi="Noto Serif"/>
          <w:b w:val="0"/>
          <w:i w:val="0"/>
        </w:rPr>
        <w:t>, 26 October 2021.</w:t>
      </w:r>
    </w:p>
    <w:p>
      <w:pPr>
        <w:pStyle w:val="ListBullet"/>
        <w:keepLines/>
        <w:widowControl/>
        <w:spacing w:after="60"/>
      </w:pPr>
      <w:r>
        <w:rPr>
          <w:rFonts w:ascii="Noto Serif" w:hAnsi="Noto Serif"/>
          <w:b w:val="0"/>
          <w:i w:val="0"/>
        </w:rPr>
        <w:t>JNS. “Ancient faith, modern lives: Samaritans prepare for Yom Kippur and Sukkot.” 22 September 2026.</w:t>
      </w:r>
    </w:p>
    <w:p>
      <w:pPr>
        <w:pStyle w:val="ListBullet"/>
        <w:keepLines/>
        <w:widowControl/>
        <w:spacing w:after="60"/>
      </w:pPr>
      <w:r>
        <w:rPr>
          <w:rFonts w:ascii="Noto Serif" w:hAnsi="Noto Serif"/>
          <w:b w:val="0"/>
          <w:i w:val="0"/>
        </w:rPr>
        <w:t>Times of Israel. “Film projects spotlight on Israel’s tiny Samaritan community fighting for its future.” 10 November 2022.</w:t>
      </w:r>
    </w:p>
    <w:sectPr w:rsidR="00FC693F" w:rsidRPr="0006063C" w:rsidSect="00034616">
      <w:headerReference w:type="default" r:id="rId9"/>
      <w:footerReference w:type="default" r:id="rId10"/>
      <w:pgSz w:w="8395" w:h="11909"/>
      <w:pgMar w:top="979" w:right="965" w:bottom="965" w:left="965"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4" w:color="D9C991"/>
      </w:pBdr>
    </w:pPr>
    <w:r>
      <w:rPr>
        <w:rFonts w:ascii="Noto Sans" w:hAnsi="Noto Sans"/>
        <w:color w:val="4D6280"/>
        <w:sz w:val="15"/>
      </w:rPr>
      <w:t>HARVYRÐ  ·  САМАРИТЯНСКОЕ ПЯТИКНИЖИЕ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Noto Serif" w:hAnsi="Noto Serif"/>
      <w:color w:val="2028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Noto Serif" w:hAnsi="Noto Serif"/>
      <w:b/>
      <w:bCs/>
      <w:color w:val="18284A"/>
      <w:sz w:val="4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Noto Serif" w:hAnsi="Noto Serif"/>
      <w:b/>
      <w:bCs/>
      <w:color w:val="18284A"/>
      <w:sz w:val="3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Noto Sans" w:hAnsi="Noto Sans"/>
      <w:b/>
      <w:bCs/>
      <w:color w:val="117E8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40"/>
      <w:contextualSpacing/>
    </w:pPr>
    <w:rPr>
      <w:rFonts w:asciiTheme="majorHAnsi" w:eastAsiaTheme="majorEastAsia" w:hAnsiTheme="majorHAnsi" w:cstheme="majorBidi" w:ascii="Noto Serif" w:hAnsi="Noto Serif"/>
      <w:b w:val="0"/>
      <w:color w:val="18284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cudl.lib.cam.ac.uk/view/MS-ADD-01846/8" TargetMode="External"/><Relationship Id="rId13" Type="http://schemas.openxmlformats.org/officeDocument/2006/relationships/image" Target="media/image2.jpg"/><Relationship Id="rId14" Type="http://schemas.openxmlformats.org/officeDocument/2006/relationships/hyperlink" Target="https://www.digitalcollections.manchester.ac.uk/collections/samaritan" TargetMode="External"/><Relationship Id="rId15" Type="http://schemas.openxmlformats.org/officeDocument/2006/relationships/hyperlink" Target="https://catalog.nypl.org/record=b16307591~S1" TargetMode="External"/><Relationship Id="rId16" Type="http://schemas.openxmlformats.org/officeDocument/2006/relationships/hyperlink" Target="http://www.emanueltov.info/docs/varia/67.Proto-SamaritanTexts.2.pdf?v=1.0" TargetMode="External"/><Relationship Id="rId17" Type="http://schemas.openxmlformats.org/officeDocument/2006/relationships/hyperlink" Target="https://www.textualcriticism.org/post/review-of-the-samaritan-pentateuch-a-critical-editio-maior" TargetMode="External"/><Relationship Id="rId18" Type="http://schemas.openxmlformats.org/officeDocument/2006/relationships/image" Target="media/image3.jpg"/><Relationship Id="rId19" Type="http://schemas.openxmlformats.org/officeDocument/2006/relationships/hyperlink" Target="https://www.deadseascrolls.org.il/explore-the-archive/manuscript/4Q38-1?locale=en_US" TargetMode="External"/><Relationship Id="rId20" Type="http://schemas.openxmlformats.org/officeDocument/2006/relationships/image" Target="media/image4.jpg"/><Relationship Id="rId21" Type="http://schemas.openxmlformats.org/officeDocument/2006/relationships/hyperlink" Target="https://thehistoricfaith.com/audio-bible/listen/septuagint/deuteronomy/27" TargetMode="External"/><Relationship Id="rId22" Type="http://schemas.openxmlformats.org/officeDocument/2006/relationships/hyperlink" Target="https://intertextual.bible/text/deuteronomy-27.4/samaritan-deuteronomy-27.4" TargetMode="External"/><Relationship Id="rId23" Type="http://schemas.openxmlformats.org/officeDocument/2006/relationships/hyperlink" Target="https://ora.ox.ac.uk/objects/uuid:c9091a7b-e005-42f3-8334-0180e0393c45/files/md5f4060ba05c9008ded523cc04d9ef87" TargetMode="External"/><Relationship Id="rId24" Type="http://schemas.openxmlformats.org/officeDocument/2006/relationships/hyperlink" Target="https://www.thetorah.com/article/an-altar-on-mt-ebal-or-mt-gerizim-the-torah-in-the-sectarian-debate" TargetMode="External"/><Relationship Id="rId25" Type="http://schemas.openxmlformats.org/officeDocument/2006/relationships/hyperlink" Target="https://intertextual.bible/text/deuteronomy-5.21/samaritan-deuteronomy-5.21" TargetMode="External"/><Relationship Id="rId26" Type="http://schemas.openxmlformats.org/officeDocument/2006/relationships/image" Target="media/image5.jpg"/><Relationship Id="rId27" Type="http://schemas.openxmlformats.org/officeDocument/2006/relationships/hyperlink" Target="https://www.yu.edu/cis/samaritans-project" TargetMode="External"/><Relationship Id="rId28" Type="http://schemas.openxmlformats.org/officeDocument/2006/relationships/hyperlink" Target="https://www.israelite-samaritans.com/tours/" TargetMode="External"/><Relationship Id="rId29" Type="http://schemas.openxmlformats.org/officeDocument/2006/relationships/hyperlink" Target="https://www.sefaria.org/Deuteronomy.27.4?lang=bi" TargetMode="External"/><Relationship Id="rId30" Type="http://schemas.openxmlformats.org/officeDocument/2006/relationships/hyperlink" Target="https://penelope.uchicago.edu/josephus/ant-11.html" TargetMode="External"/><Relationship Id="rId31" Type="http://schemas.openxmlformats.org/officeDocument/2006/relationships/hyperlink" Target="https://www.openbookpublishers.com/books/10.11647/OBP.04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