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" w:hAnsi="Noto Serif" w:eastAsia="Noto Serif" w:cs="Noto Serif"/>
        </w:rPr>
        <w:t>Выходя к дневному свету</w:t>
      </w:r>
    </w:p>
    <w:p>
      <w:pPr>
        <w:pStyle w:val="Heading2"/>
        <w:spacing w:before="0" w:after="40"/>
        <w:jc w:val="center"/>
      </w:pPr>
      <w:r>
        <w:rPr>
          <w:rFonts w:ascii="Noto Serif" w:hAnsi="Noto Serif" w:eastAsia="Noto Serif" w:cs="Noto Serif"/>
        </w:rPr>
        <w:t>Книга мёртвых Древнего Египта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23160" cy="3634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v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Noto Sans" w:hAnsi="Noto Sans" w:eastAsia="Noto Sans" w:cs="Noto Sans"/>
          <w:i/>
          <w:color w:val="66507A"/>
          <w:sz w:val="16"/>
        </w:rPr>
        <w:t>Обложечная иллюстрация: папирус, дневной свет и весы Маат</w:t>
      </w:r>
    </w:p>
    <w:p>
      <w:pPr>
        <w:jc w:val="center"/>
      </w:pPr>
      <w:r>
        <w:rPr>
          <w:rFonts w:ascii="Noto Sans" w:hAnsi="Noto Sans" w:eastAsia="Noto Sans" w:cs="Noto Sans"/>
          <w:b/>
          <w:i/>
          <w:color w:val="66507A"/>
          <w:sz w:val="17"/>
        </w:rPr>
        <w:t>Читательский том HARVYRÐ</w:t>
      </w:r>
    </w:p>
    <w:p>
      <w:r>
        <w:rPr>
          <w:rFonts w:ascii="Noto Serif" w:hAnsi="Noto Serif" w:eastAsia="Noto Serif" w:cs="Noto Serif"/>
        </w:rPr>
        <w:t>Авторские пояснения и пересказы; музейные предметы, тексты и исследования — в ссылках по главам.</w:t>
      </w:r>
    </w:p>
    <w:p>
      <w:pPr>
        <w:jc w:val="center"/>
      </w:pPr>
      <w:r>
        <w:rPr>
          <w:rFonts w:ascii="Noto Sans" w:hAnsi="Noto Sans" w:eastAsia="Noto Sans" w:cs="Noto Sans"/>
          <w:i/>
          <w:color w:val="66507A"/>
          <w:sz w:val="17"/>
        </w:rPr>
        <w:t>Это не перевод одного древнего свитка. Это проводник по меняющейся традиции — с папирусом Ани в качестве главного, но не единственного свидетеля.</w:t>
      </w:r>
    </w:p>
    <w:p>
      <w:pPr>
        <w:jc w:val="center"/>
      </w:pPr>
      <w:r>
        <w:rPr>
          <w:rFonts w:ascii="Noto Sans" w:hAnsi="Noto Sans" w:eastAsia="Noto Sans" w:cs="Noto Sans"/>
          <w:color w:val="B28A46"/>
          <w:sz w:val="18"/>
        </w:rPr>
        <w:t>—  •  —</w:t>
      </w:r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Содержание</w:t>
      </w:r>
    </w:p>
    <w:p>
      <w:pPr>
        <w:pStyle w:val="ListNumber"/>
      </w:pPr>
      <w:r>
        <w:rPr>
          <w:rFonts w:ascii="Noto Serif" w:hAnsi="Noto Serif" w:eastAsia="Noto Serif" w:cs="Noto Serif"/>
        </w:rPr>
        <w:t>Книга, которой не было в единственном числе</w:t>
      </w:r>
    </w:p>
    <w:p>
      <w:pPr>
        <w:pStyle w:val="ListNumber"/>
      </w:pPr>
      <w:r>
        <w:rPr>
          <w:rFonts w:ascii="Noto Serif" w:hAnsi="Noto Serif" w:eastAsia="Noto Serif" w:cs="Noto Serif"/>
        </w:rPr>
        <w:t>От пирамиды к погребальному свитку</w:t>
      </w:r>
    </w:p>
    <w:p>
      <w:pPr>
        <w:pStyle w:val="ListNumber"/>
      </w:pPr>
      <w:r>
        <w:rPr>
          <w:rFonts w:ascii="Noto Serif" w:hAnsi="Noto Serif" w:eastAsia="Noto Serif" w:cs="Noto Serif"/>
        </w:rPr>
        <w:t>Папирус Ани: один человек, одна рукопись</w:t>
      </w:r>
    </w:p>
    <w:p>
      <w:pPr>
        <w:pStyle w:val="ListNumber"/>
      </w:pPr>
      <w:r>
        <w:rPr>
          <w:rFonts w:ascii="Noto Serif" w:hAnsi="Noto Serif" w:eastAsia="Noto Serif" w:cs="Noto Serif"/>
        </w:rPr>
        <w:t>Как устроена страница: письмо и изображение</w:t>
      </w:r>
    </w:p>
    <w:p>
      <w:pPr>
        <w:pStyle w:val="ListNumber"/>
      </w:pPr>
      <w:r>
        <w:rPr>
          <w:rFonts w:ascii="Noto Serif" w:hAnsi="Noto Serif" w:eastAsia="Noto Serif" w:cs="Noto Serif"/>
        </w:rPr>
        <w:t>Четыре формулы: выход, знание, сердце и суд</w:t>
      </w:r>
    </w:p>
    <w:p>
      <w:pPr>
        <w:pStyle w:val="ListNumber"/>
      </w:pPr>
      <w:r>
        <w:rPr>
          <w:rFonts w:ascii="Noto Serif" w:hAnsi="Noto Serif" w:eastAsia="Noto Serif" w:cs="Noto Serif"/>
        </w:rPr>
        <w:t>Маат, Осирис и разные пути посмертия</w:t>
      </w:r>
    </w:p>
    <w:p>
      <w:pPr>
        <w:pStyle w:val="ListNumber"/>
      </w:pPr>
      <w:r>
        <w:rPr>
          <w:rFonts w:ascii="Noto Serif" w:hAnsi="Noto Serif" w:eastAsia="Noto Serif" w:cs="Noto Serif"/>
        </w:rPr>
        <w:t>Свиток в гробнице: текст как погребальный предмет</w:t>
      </w:r>
    </w:p>
    <w:p>
      <w:pPr>
        <w:pStyle w:val="ListNumber"/>
      </w:pPr>
      <w:r>
        <w:rPr>
          <w:rFonts w:ascii="Noto Serif" w:hAnsi="Noto Serif" w:eastAsia="Noto Serif" w:cs="Noto Serif"/>
        </w:rPr>
        <w:t>Не только Ани: Ну, Хунефер, Науни и Гринфилд</w:t>
      </w:r>
    </w:p>
    <w:p>
      <w:pPr>
        <w:pStyle w:val="ListNumber"/>
      </w:pPr>
      <w:r>
        <w:rPr>
          <w:rFonts w:ascii="Noto Serif" w:hAnsi="Noto Serif" w:eastAsia="Noto Serif" w:cs="Noto Serif"/>
        </w:rPr>
        <w:t>Что популярный пересказ обычно упрощает</w:t>
      </w:r>
    </w:p>
    <w:p>
      <w:pPr>
        <w:jc w:val="center"/>
      </w:pPr>
      <w:r>
        <w:rPr>
          <w:rFonts w:ascii="Noto Sans" w:hAnsi="Noto Sans" w:eastAsia="Noto Sans" w:cs="Noto Sans"/>
          <w:b/>
          <w:i/>
          <w:color w:val="66507A"/>
          <w:sz w:val="17"/>
        </w:rPr>
        <w:t>Авторские пересказы.</w:t>
      </w:r>
      <w:r>
        <w:rPr>
          <w:rFonts w:ascii="Noto Sans" w:hAnsi="Noto Sans" w:eastAsia="Noto Sans" w:cs="Noto Sans"/>
          <w:i/>
          <w:color w:val="66507A"/>
          <w:sz w:val="17"/>
        </w:rPr>
        <w:t xml:space="preserve"> Все пересказы заклинаний в этой книге написаны заново по открытым текстовым и музейным источникам. Это не дословные переводы и не попытка восстановить единственную «правильную» редакцию. Нумерация заклинаний дана как современный научный ориентир. Пять иллюстраций — оригинальная редакционная графика; они не копируют конкретную древнюю виньетку и не являются реконструкциями исторических обрядов.</w:t>
      </w:r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1. Книга, которой не было в единственном числе</w:t>
      </w:r>
    </w:p>
    <w:p>
      <w:r>
        <w:rPr>
          <w:rFonts w:ascii="Noto Serif" w:hAnsi="Noto Serif" w:eastAsia="Noto Serif" w:cs="Noto Serif"/>
        </w:rPr>
        <w:t xml:space="preserve">Название </w:t>
      </w:r>
      <w:r>
        <w:rPr>
          <w:rFonts w:ascii="Noto Serif" w:hAnsi="Noto Serif" w:eastAsia="Noto Serif" w:cs="Noto Serif"/>
          <w:b/>
        </w:rPr>
        <w:t>«Книга мёртвых»</w:t>
      </w:r>
      <w:r>
        <w:rPr>
          <w:rFonts w:ascii="Noto Serif" w:hAnsi="Noto Serif" w:eastAsia="Noto Serif" w:cs="Noto Serif"/>
        </w:rPr>
        <w:t xml:space="preserve"> звучит так, словно речь идёт об одной книге с установленными главами и неизменным сюжетом. Но древние египтяне не оставили такого единого тома. Под современным названием исследователи объединяют множество погребальных текстов — заклинаний, гимнов, речений и изображений, которые переписывали, выбирали и соединяли по-разному. Музейные и университетские обзоры подчёркивают: отдельные папирусы не обязаны совпадать ни составом, ни порядком, ни оформлением. </w:t>
      </w:r>
      <w:hyperlink r:id="rId11">
        <w:r>
          <w:rPr>
            <w:color w:val="157A80"/>
            <w:u w:val="single"/>
          </w:rPr>
          <w:t>[5]</w:t>
        </w:r>
      </w:hyperlink>
      <w:r>
        <w:rPr>
          <w:rFonts w:ascii="Noto Serif" w:hAnsi="Noto Serif" w:eastAsia="Noto Serif" w:cs="Noto Serif"/>
        </w:rPr>
        <w:t xml:space="preserve"> </w:t>
      </w:r>
      <w:hyperlink r:id="rId12">
        <w:r>
          <w:rPr>
            <w:color w:val="157A80"/>
            <w:u w:val="single"/>
          </w:rPr>
          <w:t>[8]</w:t>
        </w:r>
      </w:hyperlink>
    </w:p>
    <w:p>
      <w:r>
        <w:rPr>
          <w:rFonts w:ascii="Noto Serif" w:hAnsi="Noto Serif" w:eastAsia="Noto Serif" w:cs="Noto Serif"/>
        </w:rPr>
        <w:t xml:space="preserve">Древнее название, передаваемое в англоязычной египтологии как </w:t>
      </w:r>
      <w:r>
        <w:rPr>
          <w:rFonts w:ascii="Noto Serif" w:hAnsi="Noto Serif" w:eastAsia="Noto Serif" w:cs="Noto Serif"/>
          <w:i/>
        </w:rPr>
        <w:t>Book of Coming Forth by Day</w:t>
      </w:r>
      <w:r>
        <w:rPr>
          <w:rFonts w:ascii="Noto Serif" w:hAnsi="Noto Serif" w:eastAsia="Noto Serif" w:cs="Noto Serif"/>
        </w:rPr>
        <w:t xml:space="preserve"> или </w:t>
      </w:r>
      <w:r>
        <w:rPr>
          <w:rFonts w:ascii="Noto Serif" w:hAnsi="Noto Serif" w:eastAsia="Noto Serif" w:cs="Noto Serif"/>
          <w:i/>
        </w:rPr>
        <w:t>Going Forth by Day</w:t>
      </w:r>
      <w:r>
        <w:rPr>
          <w:rFonts w:ascii="Noto Serif" w:hAnsi="Noto Serif" w:eastAsia="Noto Serif" w:cs="Noto Serif"/>
        </w:rPr>
        <w:t xml:space="preserve">, можно осторожно пояснить как </w:t>
      </w:r>
      <w:r>
        <w:rPr>
          <w:rFonts w:ascii="Noto Serif" w:hAnsi="Noto Serif" w:eastAsia="Noto Serif" w:cs="Noto Serif"/>
          <w:b/>
        </w:rPr>
        <w:t>«выход днём»</w:t>
      </w:r>
      <w:r>
        <w:rPr>
          <w:rFonts w:ascii="Noto Serif" w:hAnsi="Noto Serif" w:eastAsia="Noto Serif" w:cs="Noto Serif"/>
        </w:rPr>
        <w:t xml:space="preserve"> или </w:t>
      </w:r>
      <w:r>
        <w:rPr>
          <w:rFonts w:ascii="Noto Serif" w:hAnsi="Noto Serif" w:eastAsia="Noto Serif" w:cs="Noto Serif"/>
          <w:b/>
        </w:rPr>
        <w:t>«появление при дневном свете»</w:t>
      </w:r>
      <w:r>
        <w:rPr>
          <w:rFonts w:ascii="Noto Serif" w:hAnsi="Noto Serif" w:eastAsia="Noto Serif" w:cs="Noto Serif"/>
        </w:rPr>
        <w:t xml:space="preserve">. Это желание умершего снова являться в мире дня, а не название повествования о смерти. Переводчики расходятся в выборе глагола; одна русская калька не снимает всей неоднозначности. </w:t>
      </w:r>
      <w:hyperlink r:id="rId11">
        <w:r>
          <w:rPr>
            <w:color w:val="157A80"/>
            <w:u w:val="single"/>
          </w:rPr>
          <w:t>[5]</w:t>
        </w:r>
      </w:hyperlink>
      <w:r>
        <w:rPr>
          <w:rFonts w:ascii="Noto Serif" w:hAnsi="Noto Serif" w:eastAsia="Noto Serif" w:cs="Noto Serif"/>
        </w:rPr>
        <w:t xml:space="preserve"> </w:t>
      </w:r>
      <w:hyperlink r:id="rId12">
        <w:r>
          <w:rPr>
            <w:color w:val="157A80"/>
            <w:u w:val="single"/>
          </w:rPr>
          <w:t>[8]</w:t>
        </w:r>
      </w:hyperlink>
    </w:p>
    <w:p>
      <w:r>
        <w:rPr>
          <w:rFonts w:ascii="Noto Serif" w:hAnsi="Noto Serif" w:eastAsia="Noto Serif" w:cs="Noto Serif"/>
        </w:rPr>
        <w:t xml:space="preserve">Разделы принято называть «главами», «заклинаниями» или «формулами». Для чтения удобен номер, например «заклинание 125», однако номера придумали исследователи нового времени. Они помогают сопоставлять тексты, но не были проставлены древним писцом и не превращают все папирусы в издания одной книги. </w:t>
      </w:r>
      <w:hyperlink r:id="rId13">
        <w:r>
          <w:rPr>
            <w:color w:val="157A80"/>
            <w:u w:val="single"/>
          </w:rPr>
          <w:t>[6]</w:t>
        </w:r>
      </w:hyperlink>
      <w:r>
        <w:rPr>
          <w:rFonts w:ascii="Noto Serif" w:hAnsi="Noto Serif" w:eastAsia="Noto Serif" w:cs="Noto Serif"/>
        </w:rPr>
        <w:t xml:space="preserve"> </w:t>
      </w:r>
      <w:hyperlink r:id="rId14">
        <w:r>
          <w:rPr>
            <w:color w:val="157A80"/>
            <w:u w:val="single"/>
          </w:rPr>
          <w:t>[11]</w:t>
        </w:r>
      </w:hyperlink>
    </w:p>
    <w:p>
      <w:r>
        <w:rPr>
          <w:rFonts w:ascii="Noto Serif" w:hAnsi="Noto Serif" w:eastAsia="Noto Serif" w:cs="Noto Serif"/>
        </w:rPr>
        <w:t>Поэтому полезно держать в уме три уровня. Есть большой и неоднородный корпус традиции. Есть конкретная рукопись, созданная для конкретного умершего. И есть современный каталог, который присваивает листам номера, описывает изображения и связывает их с научными обозначениями. Эти уровни связаны, но не тождественны.</w:t>
      </w:r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2. От пирамиды к погребальному свитку</w:t>
      </w:r>
    </w:p>
    <w:p>
      <w:r>
        <w:rPr>
          <w:rFonts w:ascii="Noto Serif" w:hAnsi="Noto Serif" w:eastAsia="Noto Serif" w:cs="Noto Serif"/>
        </w:rPr>
        <w:t xml:space="preserve">Погребальные формулы существовали задолго до папирусов, которые сегодня называют «Книгами мёртвых». Самые ранние тексты, известные как </w:t>
      </w:r>
      <w:r>
        <w:rPr>
          <w:rFonts w:ascii="Noto Serif" w:hAnsi="Noto Serif" w:eastAsia="Noto Serif" w:cs="Noto Serif"/>
          <w:b/>
        </w:rPr>
        <w:t>Тексты пирамид</w:t>
      </w:r>
      <w:r>
        <w:rPr>
          <w:rFonts w:ascii="Noto Serif" w:hAnsi="Noto Serif" w:eastAsia="Noto Serif" w:cs="Noto Serif"/>
        </w:rPr>
        <w:t xml:space="preserve">, высекали в царских пирамидах. Позже сходные и новые материалы записывали на гробах и иных предметах; этот разнородный корпус исследователи называют </w:t>
      </w:r>
      <w:r>
        <w:rPr>
          <w:rFonts w:ascii="Noto Serif" w:hAnsi="Noto Serif" w:eastAsia="Noto Serif" w:cs="Noto Serif"/>
          <w:b/>
        </w:rPr>
        <w:t>Текстами саркофагов</w:t>
      </w:r>
      <w:r>
        <w:rPr>
          <w:rFonts w:ascii="Noto Serif" w:hAnsi="Noto Serif" w:eastAsia="Noto Serif" w:cs="Noto Serif"/>
        </w:rPr>
        <w:t xml:space="preserve">. В нём встречаются как переработки более ранних формул, так и новые композиции. Переход не был простой заменой одной книги другой. </w:t>
      </w:r>
      <w:hyperlink r:id="rId15">
        <w:r>
          <w:rPr>
            <w:color w:val="157A80"/>
            <w:u w:val="single"/>
          </w:rPr>
          <w:t>[7]</w:t>
        </w:r>
      </w:hyperlink>
    </w:p>
    <w:p>
      <w:r>
        <w:rPr>
          <w:rFonts w:ascii="Noto Serif" w:hAnsi="Noto Serif" w:eastAsia="Noto Serif" w:cs="Noto Serif"/>
        </w:rPr>
        <w:t xml:space="preserve">В Новом царстве на папирусах стали особенно заметны подборки текстов «Выхода днём». Однако папирус не содержал автоматически всего известного корпуса. Для разных погребений выбирали разные формулы; менялись их число, порядок и изображение. Даже слова «Тексты пирамид», «Тексты саркофагов» и «Книга мёртвых» — современные исследовательские рубрики, полезные для разговора о времени и носителе, но не названия трёх древних томов с чёткими границами. </w:t>
      </w:r>
      <w:hyperlink r:id="rId11">
        <w:r>
          <w:rPr>
            <w:color w:val="157A80"/>
            <w:u w:val="single"/>
          </w:rPr>
          <w:t>[5]</w:t>
        </w:r>
      </w:hyperlink>
      <w:r>
        <w:rPr>
          <w:rFonts w:ascii="Noto Serif" w:hAnsi="Noto Serif" w:eastAsia="Noto Serif" w:cs="Noto Serif"/>
        </w:rPr>
        <w:t xml:space="preserve"> </w:t>
      </w:r>
      <w:hyperlink r:id="rId15">
        <w:r>
          <w:rPr>
            <w:color w:val="157A80"/>
            <w:u w:val="single"/>
          </w:rPr>
          <w:t>[7]</w:t>
        </w:r>
      </w:hyperlink>
    </w:p>
    <w:p>
      <w:r>
        <w:rPr>
          <w:rFonts w:ascii="Noto Serif" w:hAnsi="Noto Serif" w:eastAsia="Noto Serif" w:cs="Noto Serif"/>
        </w:rPr>
        <w:t xml:space="preserve">Источники также не дают нам единого древнего руководства о том, кто именно выбирал тексты для каждого свитка и по каким правилам. Часть рукописей могла опираться на доступный мастерской репертуар, часть — на пожелания заказчика или особенности погребения; точную долю каждого фактора установить нельзя. Поэтому лучше говорить о </w:t>
      </w:r>
      <w:r>
        <w:rPr>
          <w:rFonts w:ascii="Noto Serif" w:hAnsi="Noto Serif" w:eastAsia="Noto Serif" w:cs="Noto Serif"/>
          <w:b/>
        </w:rPr>
        <w:t>меняющемся наборе текстов</w:t>
      </w:r>
      <w:r>
        <w:rPr>
          <w:rFonts w:ascii="Noto Serif" w:hAnsi="Noto Serif" w:eastAsia="Noto Serif" w:cs="Noto Serif"/>
        </w:rPr>
        <w:t xml:space="preserve">, чем придумывать универсальный сценарий заказа. </w:t>
      </w:r>
      <w:hyperlink r:id="rId11">
        <w:r>
          <w:rPr>
            <w:color w:val="157A80"/>
            <w:u w:val="single"/>
          </w:rPr>
          <w:t>[5]</w:t>
        </w:r>
      </w:hyperlink>
    </w:p>
    <w:p>
      <w:r>
        <w:rPr>
          <w:rFonts w:ascii="Noto Serif" w:hAnsi="Noto Serif" w:eastAsia="Noto Serif" w:cs="Noto Serif"/>
        </w:rPr>
        <w:t xml:space="preserve">В поздних рукописях также различаются состав, порядок формул и связь текста с изображениями; такие подборки не обязательно образуют единый рассказ. </w:t>
      </w:r>
      <w:hyperlink r:id="rId11">
        <w:r>
          <w:rPr>
            <w:color w:val="157A80"/>
            <w:u w:val="single"/>
          </w:rPr>
          <w:t>[5]</w:t>
        </w:r>
      </w:hyperlink>
      <w:r>
        <w:rPr>
          <w:rFonts w:ascii="Noto Serif" w:hAnsi="Noto Serif" w:eastAsia="Noto Serif" w:cs="Noto Serif"/>
        </w:rPr>
        <w:t xml:space="preserve"> </w:t>
      </w:r>
      <w:hyperlink r:id="rId16">
        <w:r>
          <w:rPr>
            <w:color w:val="157A80"/>
            <w:u w:val="single"/>
          </w:rPr>
          <w:t>[17]</w:t>
        </w:r>
      </w:hyperlink>
      <w:r>
        <w:rPr>
          <w:rFonts w:ascii="Noto Serif" w:hAnsi="Noto Serif" w:eastAsia="Noto Serif" w:cs="Noto Serif"/>
        </w:rPr>
        <w:t xml:space="preserve"> </w:t>
      </w:r>
      <w:hyperlink r:id="rId17">
        <w:r>
          <w:rPr>
            <w:color w:val="157A80"/>
            <w:u w:val="single"/>
          </w:rPr>
          <w:t>[18]</w:t>
        </w:r>
      </w:hyperlink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3. Папирус Ани: один человек, одна рукопись</w:t>
      </w:r>
    </w:p>
    <w:p>
      <w:r>
        <w:rPr>
          <w:rFonts w:ascii="Noto Serif" w:hAnsi="Noto Serif" w:eastAsia="Noto Serif" w:cs="Noto Serif"/>
        </w:rPr>
        <w:t xml:space="preserve">В центре этого тома — </w:t>
      </w:r>
      <w:r>
        <w:rPr>
          <w:rFonts w:ascii="Noto Serif" w:hAnsi="Noto Serif" w:eastAsia="Noto Serif" w:cs="Noto Serif"/>
          <w:b/>
        </w:rPr>
        <w:t>папирус Ани</w:t>
      </w:r>
      <w:r>
        <w:rPr>
          <w:rFonts w:ascii="Noto Serif" w:hAnsi="Noto Serif" w:eastAsia="Noto Serif" w:cs="Noto Serif"/>
        </w:rPr>
        <w:t xml:space="preserve">, потому что его можно обсуждать по конкретным музейным листам и хорошо известным сценам. Британский музей каталогизирует его под номером EA10470 и описывает отдельные части и рамки. Современная музейная запись датирует рукопись </w:t>
      </w:r>
      <w:r>
        <w:rPr>
          <w:rFonts w:ascii="Noto Serif" w:hAnsi="Noto Serif" w:eastAsia="Noto Serif" w:cs="Noto Serif"/>
          <w:b/>
        </w:rPr>
        <w:t>XIX династией, приблизительно 1250 годом до н. э.</w:t>
      </w:r>
      <w:r>
        <w:rPr>
          <w:rFonts w:ascii="Noto Serif" w:hAnsi="Noto Serif" w:eastAsia="Noto Serif" w:cs="Noto Serif"/>
        </w:rPr>
        <w:t xml:space="preserve">, и указывает место находки как </w:t>
      </w:r>
      <w:r>
        <w:rPr>
          <w:rFonts w:ascii="Noto Serif" w:hAnsi="Noto Serif" w:eastAsia="Noto Serif" w:cs="Noto Serif"/>
          <w:b/>
        </w:rPr>
        <w:t>гробницу Ани в Фивах</w:t>
      </w:r>
      <w:r>
        <w:rPr>
          <w:rFonts w:ascii="Noto Serif" w:hAnsi="Noto Serif" w:eastAsia="Noto Serif" w:cs="Noto Serif"/>
        </w:rPr>
        <w:t xml:space="preserve">. Это надёжная отправная точка для данного предмета, но не точная дата изготовления и не подробный археологический отчёт о раскопках. </w:t>
      </w:r>
      <w:hyperlink r:id="rId18">
        <w:r>
          <w:rPr>
            <w:color w:val="157A80"/>
            <w:u w:val="single"/>
          </w:rPr>
          <w:t>[1]</w:t>
        </w:r>
      </w:hyperlink>
    </w:p>
    <w:p>
      <w:r>
        <w:rPr>
          <w:rFonts w:ascii="Noto Serif" w:hAnsi="Noto Serif" w:eastAsia="Noto Serif" w:cs="Noto Serif"/>
        </w:rPr>
        <w:t xml:space="preserve">Каталог называет материал папирусом и отмечает расписную поверхность. В надписях Ани выступает как царский писец, писец, ведавший божественными приношениями, и надзиратель двойной житницы. В тех же записях названа его жена Туту, «госпожа дома» и певчая Амона. Эти титулы говорят о конкретном социальном положении владельца; они не позволяют превращать Ани в условного «обычного египтянина». </w:t>
      </w:r>
      <w:hyperlink r:id="rId18">
        <w:r>
          <w:rPr>
            <w:color w:val="157A80"/>
            <w:u w:val="single"/>
          </w:rPr>
          <w:t>[1]</w:t>
        </w:r>
      </w:hyperlink>
    </w:p>
    <w:p>
      <w:r>
        <w:rPr>
          <w:rFonts w:ascii="Noto Serif" w:hAnsi="Noto Serif" w:eastAsia="Noto Serif" w:cs="Noto Serif"/>
        </w:rPr>
        <w:t xml:space="preserve">Музейные карточки фиксируют и историю поступления: Британский музей указывает, что части были подарены сэром Эрнестом Уоллисом Баджем и зарегистрированы в 1888 году. Это важные сведения о передаче предмета музею. Но сами по себе они не рассказывают, как именно папирус был первоначально найден, кем и на каких условиях вывезен, куплен или передан. Такие детали нельзя достраивать по одному каталожному полю.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erif" w:hAnsi="Noto Serif" w:eastAsia="Noto Serif" w:cs="Noto Serif"/>
        </w:rPr>
        <w:t xml:space="preserve"> </w:t>
      </w:r>
      <w:hyperlink r:id="rId19">
        <w:r>
          <w:rPr>
            <w:color w:val="157A80"/>
            <w:u w:val="single"/>
          </w:rPr>
          <w:t>[2]</w:t>
        </w:r>
      </w:hyperlink>
    </w:p>
    <w:p>
      <w:r>
        <w:rPr>
          <w:rFonts w:ascii="Noto Serif" w:hAnsi="Noto Serif" w:eastAsia="Noto Serif" w:cs="Noto Serif"/>
        </w:rPr>
        <w:t xml:space="preserve">Удобно рассматривать Ани не как «полную Книгу мёртвых», а как </w:t>
      </w:r>
      <w:r>
        <w:rPr>
          <w:rFonts w:ascii="Noto Serif" w:hAnsi="Noto Serif" w:eastAsia="Noto Serif" w:cs="Noto Serif"/>
          <w:b/>
        </w:rPr>
        <w:t>один персональный свидетель</w:t>
      </w:r>
      <w:r>
        <w:rPr>
          <w:rFonts w:ascii="Noto Serif" w:hAnsi="Noto Serif" w:eastAsia="Noto Serif" w:cs="Noto Serif"/>
        </w:rPr>
        <w:t xml:space="preserve">. На одной части показаны сцены, связанные с погребальной процессией; на другой — суд, сердце и перо Маат; на третьей — формулы и образы загробного поля. Музей описывает отдельные листы и рамки, поэтому размеры отдельных частей не следует выдавать за точные размеры исходного свитка целиком.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erif" w:hAnsi="Noto Serif" w:eastAsia="Noto Serif" w:cs="Noto Serif"/>
        </w:rPr>
        <w:t xml:space="preserve"> </w:t>
      </w:r>
      <w:hyperlink r:id="rId19">
        <w:r>
          <w:rPr>
            <w:color w:val="157A80"/>
            <w:u w:val="single"/>
          </w:rPr>
          <w:t>[2]</w:t>
        </w:r>
      </w:hyperlink>
      <w:r>
        <w:rPr>
          <w:rFonts w:ascii="Noto Serif" w:hAnsi="Noto Serif" w:eastAsia="Noto Serif" w:cs="Noto Serif"/>
        </w:rPr>
        <w:t xml:space="preserve"> </w:t>
      </w:r>
      <w:hyperlink r:id="rId20">
        <w:r>
          <w:rPr>
            <w:color w:val="157A80"/>
            <w:u w:val="single"/>
          </w:rPr>
          <w:t>[3]</w:t>
        </w:r>
      </w:hyperlink>
      <w:r>
        <w:rPr>
          <w:rFonts w:ascii="Noto Serif" w:hAnsi="Noto Serif" w:eastAsia="Noto Serif" w:cs="Noto Serif"/>
        </w:rPr>
        <w:t xml:space="preserve"> </w:t>
      </w:r>
      <w:hyperlink r:id="rId21">
        <w:r>
          <w:rPr>
            <w:color w:val="157A80"/>
            <w:u w:val="single"/>
          </w:rPr>
          <w:t>[4]</w:t>
        </w:r>
      </w:hyperlink>
    </w:p>
    <w:p>
      <w:r>
        <w:rPr>
          <w:rFonts w:ascii="Noto Serif" w:hAnsi="Noto Serif" w:eastAsia="Noto Serif" w:cs="Noto Serif"/>
        </w:rPr>
        <w:t xml:space="preserve">Оцифрованные музейные страницы позволяют рассмотреть детали, а старое факсимильное издание Э. А. Уоллиса Баджа 1913 года остаётся историческим путём к изображению и тексту рукописи. Но старое издание — не современная критическая транскрипция и не повод перепечатывать чужой перевод. Здесь мы используем его только как часть истории публикации, а факты о датировке и музейной идентификации сверяем по нынешнему каталогу.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erif" w:hAnsi="Noto Serif" w:eastAsia="Noto Serif" w:cs="Noto Serif"/>
        </w:rPr>
        <w:t xml:space="preserve"> </w:t>
      </w:r>
      <w:hyperlink r:id="rId22">
        <w:r>
          <w:rPr>
            <w:color w:val="157A80"/>
            <w:u w:val="single"/>
          </w:rPr>
          <w:t>[25]</w:t>
        </w:r>
      </w:hyperlink>
    </w:p>
    <w:p>
      <w:r>
        <w:rPr>
          <w:rFonts w:ascii="Noto Serif" w:hAnsi="Noto Serif" w:eastAsia="Noto Serif" w:cs="Noto Serif"/>
        </w:rPr>
        <w:t xml:space="preserve">Старые публикации иногда предлагали иную датировку: например, университетская страница с редакцией Баджа обозначает папирус как относящийся примерно к 1240 году до н. э. Это следует читать как историю научной оценки, а не как точную дату изготовления; здесь принят нынешний ориентир Британского музея — около 1250 года до н. э.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erif" w:hAnsi="Noto Serif" w:eastAsia="Noto Serif" w:cs="Noto Serif"/>
        </w:rPr>
        <w:t xml:space="preserve"> </w:t>
      </w:r>
      <w:hyperlink r:id="rId23">
        <w:r>
          <w:rPr>
            <w:color w:val="157A80"/>
            <w:u w:val="single"/>
          </w:rPr>
          <w:t>[26]</w:t>
        </w:r>
      </w:hyperlink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4. Как устроена страница: письмо и изображение</w:t>
      </w:r>
    </w:p>
    <w:p>
      <w:r>
        <w:rPr>
          <w:rFonts w:ascii="Noto Serif" w:hAnsi="Noto Serif" w:eastAsia="Noto Serif" w:cs="Noto Serif"/>
        </w:rPr>
        <w:t xml:space="preserve">Папирус — не страница современной книги. На нём могли соседствовать столбцы письма, цветные рамки, отдельные сцены и крупные изображения. В некоторых рукописях текст записан иератикой — скорописной формой египетского письма; в других важную роль играют иероглифические надписи и виньетки. Направление письма определяется конкретной записью и ориентацией знаков, а не одним правилом, которое можно механически наложить на любой фрагмент. </w:t>
      </w:r>
      <w:hyperlink r:id="rId24">
        <w:r>
          <w:rPr>
            <w:color w:val="157A80"/>
            <w:u w:val="single"/>
          </w:rPr>
          <w:t>[16]</w:t>
        </w:r>
      </w:hyperlink>
      <w:r>
        <w:rPr>
          <w:rFonts w:ascii="Noto Serif" w:hAnsi="Noto Serif" w:eastAsia="Noto Serif" w:cs="Noto Serif"/>
        </w:rPr>
        <w:t xml:space="preserve"> </w:t>
      </w:r>
      <w:hyperlink r:id="rId16">
        <w:r>
          <w:rPr>
            <w:color w:val="157A80"/>
            <w:u w:val="single"/>
          </w:rPr>
          <w:t>[17]</w:t>
        </w:r>
      </w:hyperlink>
    </w:p>
    <w:p>
      <w:r>
        <w:rPr>
          <w:rFonts w:ascii="Noto Serif" w:hAnsi="Noto Serif" w:eastAsia="Noto Serif" w:cs="Noto Serif"/>
        </w:rPr>
        <w:t xml:space="preserve">В папирусе Ани музей описывает иероглифические надписи и сцены, где изображение и текст действуют рядом. Например, лист EA10470,3 показывает взвешивание сердца, а каталог связывает его текст с формулой 30B. Но музей отдельно предупреждает: неизвестно, как именно проектировалось общее расположение текста и фигур. Мы можем описать сохранившуюся страницу, но не можем уверенно восстановить все этапы работы писца и художника. </w:t>
      </w:r>
      <w:hyperlink r:id="rId18">
        <w:r>
          <w:rPr>
            <w:color w:val="157A80"/>
            <w:u w:val="single"/>
          </w:rPr>
          <w:t>[1]</w:t>
        </w:r>
      </w:hyperlink>
    </w:p>
    <w:p>
      <w:r>
        <w:rPr>
          <w:rFonts w:ascii="Noto Serif" w:hAnsi="Noto Serif" w:eastAsia="Noto Serif" w:cs="Noto Serif"/>
        </w:rPr>
        <w:t xml:space="preserve">Виньетка — не обязательно просто «картинка к соседнему абзацу». В папирусе жреца Имхотепа, который хранится в Метрополитен-музее, музей отмечает, что изображения могли пояснять или даже заменять отдельные формулы. Там 182 колонки письма, но это особенность именно этого позднего свитка, не стандарт для всех рукописей. </w:t>
      </w:r>
      <w:hyperlink r:id="rId16">
        <w:r>
          <w:rPr>
            <w:color w:val="157A80"/>
            <w:u w:val="single"/>
          </w:rPr>
          <w:t>[17]</w:t>
        </w:r>
      </w:hyperlink>
      <w:r>
        <w:rPr>
          <w:rFonts w:ascii="Noto Serif" w:hAnsi="Noto Serif" w:eastAsia="Noto Serif" w:cs="Noto Serif"/>
        </w:rPr>
        <w:t xml:space="preserve"> </w:t>
      </w:r>
      <w:hyperlink r:id="rId17">
        <w:r>
          <w:rPr>
            <w:color w:val="157A80"/>
            <w:u w:val="single"/>
          </w:rPr>
          <w:t>[18]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nuscript-layout-clea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Noto Sans" w:hAnsi="Noto Sans" w:eastAsia="Noto Sans" w:cs="Noto Sans"/>
          <w:i/>
          <w:color w:val="66507A"/>
          <w:sz w:val="16"/>
        </w:rPr>
        <w:t>Оригинальная редакционная иллюстрация: сечение свитка и виньетки</w:t>
      </w:r>
    </w:p>
    <w:p>
      <w:pPr>
        <w:jc w:val="center"/>
      </w:pPr>
      <w:r>
        <w:rPr>
          <w:rFonts w:ascii="Noto Sans" w:hAnsi="Noto Sans" w:eastAsia="Noto Sans" w:cs="Noto Sans"/>
          <w:i/>
          <w:color w:val="66507A"/>
          <w:sz w:val="17"/>
        </w:rPr>
        <w:t>Схема рукописи здесь художественная: она объясняет соседство текста и образа, но не копирует конкретную страницу Ани.</w:t>
      </w:r>
    </w:p>
    <w:p>
      <w:r>
        <w:rPr>
          <w:rFonts w:ascii="Noto Serif" w:hAnsi="Noto Serif" w:eastAsia="Noto Serif" w:cs="Noto Serif"/>
        </w:rPr>
        <w:t xml:space="preserve">Современная нумерация помогает найти нужную композицию, но не подсказывает, где она стояла в каждом свитке. Номер мог быть присвоен группе слов, варианту текста или даже изображению. Так что читатель, который видит «заклинание 17», получает навигационный ориентир для научной литературы, а не древнюю страницу с напечатанным номером. </w:t>
      </w:r>
      <w:hyperlink r:id="rId13">
        <w:r>
          <w:rPr>
            <w:color w:val="157A80"/>
            <w:u w:val="single"/>
          </w:rPr>
          <w:t>[6]</w:t>
        </w:r>
      </w:hyperlink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5. Четыре формулы: выход, знание, сердце и суд</w:t>
      </w:r>
    </w:p>
    <w:p>
      <w:r>
        <w:rPr>
          <w:rFonts w:ascii="Noto Serif" w:hAnsi="Noto Serif" w:eastAsia="Noto Serif" w:cs="Noto Serif"/>
        </w:rPr>
        <w:t xml:space="preserve">Все пересказы ниже — авторские. Они передают функцию и общий ход выбранных формул, а не заменяют египетский текст или научный перевод. Кроме того, одно и то же современное обозначение может объединять варианты из разных рукописей. </w:t>
      </w:r>
      <w:hyperlink r:id="rId13">
        <w:r>
          <w:rPr>
            <w:color w:val="157A80"/>
            <w:u w:val="single"/>
          </w:rPr>
          <w:t>[6]</w:t>
        </w:r>
      </w:hyperlink>
      <w:r>
        <w:rPr>
          <w:rFonts w:ascii="Noto Serif" w:hAnsi="Noto Serif" w:eastAsia="Noto Serif" w:cs="Noto Serif"/>
        </w:rPr>
        <w:t xml:space="preserve"> </w:t>
      </w:r>
      <w:hyperlink r:id="rId26">
        <w:r>
          <w:rPr>
            <w:color w:val="157A80"/>
            <w:u w:val="single"/>
          </w:rPr>
          <w:t>[9]</w:t>
        </w:r>
      </w:hyperlink>
    </w:p>
    <w:p>
      <w:pPr>
        <w:pStyle w:val="Heading3"/>
      </w:pPr>
      <w:r>
        <w:rPr>
          <w:rFonts w:ascii="Noto Serif" w:hAnsi="Noto Serif" w:eastAsia="Noto Serif" w:cs="Noto Serif"/>
        </w:rPr>
        <w:t>Заклинание 1: открыть путь</w:t>
      </w:r>
    </w:p>
    <w:p>
      <w:r>
        <w:rPr>
          <w:rFonts w:ascii="Noto Serif" w:hAnsi="Noto Serif" w:eastAsia="Noto Serif" w:cs="Noto Serif"/>
        </w:rPr>
        <w:t xml:space="preserve">Формула 1 связана с выходом после погребения и доступом к путям Осириса. В папирусе Ну, например, она не стоит первой: музейный корпус и университетское описание показывают, что положение формулы могло меняться. В нашем пересказе умерший присоединяется к свите Осириса и просит, чтобы путь был открыт, а движение туда и обратно не было остановлено. Уже этот небольшой пример показывает: смысл формулы и её позиция в рукописи — не одно и то же. </w:t>
      </w:r>
      <w:hyperlink r:id="rId27">
        <w:r>
          <w:rPr>
            <w:color w:val="157A80"/>
            <w:u w:val="single"/>
          </w:rPr>
          <w:t>[14]</w:t>
        </w:r>
      </w:hyperlink>
      <w:r>
        <w:rPr>
          <w:rFonts w:ascii="Noto Serif" w:hAnsi="Noto Serif" w:eastAsia="Noto Serif" w:cs="Noto Serif"/>
        </w:rPr>
        <w:t xml:space="preserve"> </w:t>
      </w:r>
      <w:hyperlink r:id="rId28">
        <w:r>
          <w:rPr>
            <w:color w:val="157A80"/>
            <w:u w:val="single"/>
          </w:rPr>
          <w:t>[19]</w:t>
        </w:r>
      </w:hyperlink>
    </w:p>
    <w:p>
      <w:pPr>
        <w:pStyle w:val="Heading3"/>
      </w:pPr>
      <w:r>
        <w:rPr>
          <w:rFonts w:ascii="Noto Serif" w:hAnsi="Noto Serif" w:eastAsia="Noto Serif" w:cs="Noto Serif"/>
        </w:rPr>
        <w:t>Заклинание 17: объяснить, кто ты</w:t>
      </w:r>
    </w:p>
    <w:p>
      <w:r>
        <w:rPr>
          <w:rFonts w:ascii="Noto Serif" w:hAnsi="Noto Serif" w:eastAsia="Noto Serif" w:cs="Noto Serif"/>
        </w:rPr>
        <w:t xml:space="preserve">В заклинании 17 умерший говорит о себе через язык богов и космогонии. Текст обращается к образам происхождения мира, задаёт вопросы о значении отдельных образов и затем даёт им толкования. Это не просто список имён: формула связывает умершего с божественным устройством мира и знанием, необходимым для посмертного существования. UCL указывает на связь композиции с более ранним материалом Текстов саркофагов; опубликованный текст собран из нескольких источников, поэтому его не следует приписывать одному папирусу целиком. </w:t>
      </w:r>
      <w:hyperlink r:id="rId26">
        <w:r>
          <w:rPr>
            <w:color w:val="157A80"/>
            <w:u w:val="single"/>
          </w:rPr>
          <w:t>[9]</w:t>
        </w:r>
      </w:hyperlink>
    </w:p>
    <w:p>
      <w:pPr>
        <w:pStyle w:val="Heading3"/>
      </w:pPr>
      <w:r>
        <w:rPr>
          <w:rFonts w:ascii="Noto Serif" w:hAnsi="Noto Serif" w:eastAsia="Noto Serif" w:cs="Noto Serif"/>
        </w:rPr>
        <w:t>Заклинание 30B: сердце как свидетель</w:t>
      </w:r>
    </w:p>
    <w:p>
      <w:r>
        <w:rPr>
          <w:rFonts w:ascii="Noto Serif" w:hAnsi="Noto Serif" w:eastAsia="Noto Serif" w:cs="Noto Serif"/>
        </w:rPr>
        <w:t xml:space="preserve">В формуле 30B умерший обращается к собственному сердцу и просит не выступать против него на суде и не давать обвинительного свидетельства. Это обращение связано с тем, что сердце — не просто орган, а важная часть личности и памяти умершего. Папирус Ани показывает эту идею через сцену, где сердце помещено на чашу весов, а напротив находится перо Маат. В музейном каталоге это конкретное место связано с 30B.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erif" w:hAnsi="Noto Serif" w:eastAsia="Noto Serif" w:cs="Noto Serif"/>
        </w:rPr>
        <w:t xml:space="preserve"> </w:t>
      </w:r>
      <w:hyperlink r:id="rId13">
        <w:r>
          <w:rPr>
            <w:color w:val="157A80"/>
            <w:u w:val="single"/>
          </w:rPr>
          <w:t>[6]</w:t>
        </w:r>
      </w:hyperlink>
      <w:r>
        <w:rPr>
          <w:rFonts w:ascii="Noto Serif" w:hAnsi="Noto Serif" w:eastAsia="Noto Serif" w:cs="Noto Serif"/>
        </w:rPr>
        <w:t xml:space="preserve"> </w:t>
      </w:r>
      <w:hyperlink r:id="rId29">
        <w:r>
          <w:rPr>
            <w:color w:val="157A80"/>
            <w:u w:val="single"/>
          </w:rPr>
          <w:t>[10]</w:t>
        </w:r>
      </w:hyperlink>
    </w:p>
    <w:p>
      <w:r>
        <w:rPr>
          <w:rFonts w:ascii="Noto Serif" w:hAnsi="Noto Serif" w:eastAsia="Noto Serif" w:cs="Noto Serif"/>
        </w:rPr>
        <w:t xml:space="preserve">У этой формулы есть близкие варианты, а практика сердечных скарабеев имеет свою историю. Поэтому неправильно пересказывать 30B как магическое «стирание грехов» или обещание автоматического оправдания. Смысл безопаснее передать как просьбу о защите сердца и о том, чтобы оно не стало враждебным свидетелем против умершего. </w:t>
      </w:r>
      <w:hyperlink r:id="rId13">
        <w:r>
          <w:rPr>
            <w:color w:val="157A80"/>
            <w:u w:val="single"/>
          </w:rPr>
          <w:t>[6]</w:t>
        </w:r>
      </w:hyperlink>
      <w:r>
        <w:rPr>
          <w:rFonts w:ascii="Noto Serif" w:hAnsi="Noto Serif" w:eastAsia="Noto Serif" w:cs="Noto Serif"/>
        </w:rPr>
        <w:t xml:space="preserve"> </w:t>
      </w:r>
      <w:hyperlink r:id="rId29">
        <w:r>
          <w:rPr>
            <w:color w:val="157A80"/>
            <w:u w:val="single"/>
          </w:rPr>
          <w:t>[10]</w:t>
        </w:r>
      </w:hyperlink>
    </w:p>
    <w:p>
      <w:pPr>
        <w:pStyle w:val="Heading3"/>
      </w:pPr>
      <w:r>
        <w:rPr>
          <w:rFonts w:ascii="Noto Serif" w:hAnsi="Noto Serif" w:eastAsia="Noto Serif" w:cs="Noto Serif"/>
        </w:rPr>
        <w:t>Заклинание 125: оказаться перед Осирисом</w:t>
      </w:r>
    </w:p>
    <w:p>
      <w:r>
        <w:rPr>
          <w:rFonts w:ascii="Noto Serif" w:hAnsi="Noto Serif" w:eastAsia="Noto Serif" w:cs="Noto Serif"/>
        </w:rPr>
        <w:t xml:space="preserve">Заклинание 125 соединяет несколько действий: умерший входит в зал, обращается к Осирису, называет богов и произносит отрицательные декларации — заявляет, что не совершал перечисленных вредных поступков. Современные редакторы различают вводную часть 125A и список 125B. Среди пунктов есть не только насилие над людьми, но и нарушения, связанные с храмовыми подношениями, землёй, мерой и весом, водой и хозяйственным порядком. Поэтому этот текст не стоит сводить к современному «кодексу преступлений». </w:t>
      </w:r>
      <w:hyperlink r:id="rId30">
        <w:r>
          <w:rPr>
            <w:color w:val="157A80"/>
            <w:u w:val="single"/>
          </w:rPr>
          <w:t>[12]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udgment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Noto Sans" w:hAnsi="Noto Sans" w:eastAsia="Noto Sans" w:cs="Noto Sans"/>
          <w:i/>
          <w:color w:val="66507A"/>
          <w:sz w:val="16"/>
        </w:rPr>
        <w:t>Оригинальная редакционная иллюстрация: весы, сердце и перо</w:t>
      </w:r>
    </w:p>
    <w:p>
      <w:pPr>
        <w:jc w:val="center"/>
      </w:pPr>
      <w:r>
        <w:rPr>
          <w:rFonts w:ascii="Noto Sans" w:hAnsi="Noto Sans" w:eastAsia="Noto Sans" w:cs="Noto Sans"/>
          <w:i/>
          <w:color w:val="66507A"/>
          <w:sz w:val="17"/>
        </w:rPr>
        <w:t>Сцена — современная интерпретация мотивов суда; она не является копией папируса Ани и не означает, что один и тот же сценарий применялся во всех погребениях.</w:t>
      </w:r>
    </w:p>
    <w:p>
      <w:r>
        <w:rPr>
          <w:rFonts w:ascii="Noto Serif" w:hAnsi="Noto Serif" w:eastAsia="Noto Serif" w:cs="Noto Serif"/>
        </w:rPr>
        <w:t xml:space="preserve">Список и его оформление менялись. В папирусе Рамосе, опубликованном Фицуильям-музеем, сцена и колонки деклараций сохранились не полностью; музей также отмечает несоответствия между некоторыми отрицаниями и богами, а также поздние вставки. Это наблюдение по конкретной рукописи, но оно напоминает, что перед нами живая рукописная традиция, а не набор неизменных печатных страниц. </w:t>
      </w:r>
      <w:hyperlink r:id="rId32">
        <w:r>
          <w:rPr>
            <w:color w:val="157A80"/>
            <w:u w:val="single"/>
          </w:rPr>
          <w:t>[13]</w:t>
        </w:r>
      </w:hyperlink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6. Маат, Осирис и разные пути посмертия</w:t>
      </w:r>
    </w:p>
    <w:p>
      <w:r>
        <w:rPr>
          <w:rFonts w:ascii="Noto Serif" w:hAnsi="Noto Serif" w:eastAsia="Noto Serif" w:cs="Noto Serif"/>
        </w:rPr>
        <w:t xml:space="preserve">Весы и перо Маат часто становятся главным образом, через который пересказывают египетские представления о смерти. Но </w:t>
      </w:r>
      <w:r>
        <w:rPr>
          <w:rFonts w:ascii="Noto Serif" w:hAnsi="Noto Serif" w:eastAsia="Noto Serif" w:cs="Noto Serif"/>
          <w:b/>
        </w:rPr>
        <w:t>Маат</w:t>
      </w:r>
      <w:r>
        <w:rPr>
          <w:rFonts w:ascii="Noto Serif" w:hAnsi="Noto Serif" w:eastAsia="Noto Serif" w:cs="Noto Serif"/>
        </w:rPr>
        <w:t xml:space="preserve"> — не только «мера личной добродетели». Британский музей описывает её как богиню и принцип истины, справедливости, равновесия, порядка и гармонии. В контексте 125 речь идёт о том, как умерший соотносится с упорядоченным миром, где важны поступки, общественные отношения и поддержание ритуального порядка. </w:t>
      </w:r>
      <w:hyperlink r:id="rId30">
        <w:r>
          <w:rPr>
            <w:color w:val="157A80"/>
            <w:u w:val="single"/>
          </w:rPr>
          <w:t>[12]</w:t>
        </w:r>
      </w:hyperlink>
      <w:r>
        <w:rPr>
          <w:rFonts w:ascii="Noto Serif" w:hAnsi="Noto Serif" w:eastAsia="Noto Serif" w:cs="Noto Serif"/>
        </w:rPr>
        <w:t xml:space="preserve"> </w:t>
      </w:r>
      <w:hyperlink r:id="rId33">
        <w:r>
          <w:rPr>
            <w:color w:val="157A80"/>
            <w:u w:val="single"/>
          </w:rPr>
          <w:t>[22]</w:t>
        </w:r>
      </w:hyperlink>
    </w:p>
    <w:p>
      <w:r>
        <w:rPr>
          <w:rFonts w:ascii="Noto Serif" w:hAnsi="Noto Serif" w:eastAsia="Noto Serif" w:cs="Noto Serif"/>
        </w:rPr>
        <w:t xml:space="preserve">В папирусе Ани сердце сравнивается с пером. В папирусе Хунефера и в папирусе Науни есть свои сцены суда с Осирисом и другими божествами. Это важные изображения, но они принадлежат конкретным рукописям. Они не доказывают, что каждый египтянин видел один и тот же суд в одинаковом виде или произносил один и тот же список.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erif" w:hAnsi="Noto Serif" w:eastAsia="Noto Serif" w:cs="Noto Serif"/>
        </w:rPr>
        <w:t xml:space="preserve"> </w:t>
      </w:r>
      <w:hyperlink r:id="rId34">
        <w:r>
          <w:rPr>
            <w:color w:val="157A80"/>
            <w:u w:val="single"/>
          </w:rPr>
          <w:t>[15]</w:t>
        </w:r>
      </w:hyperlink>
      <w:r>
        <w:rPr>
          <w:rFonts w:ascii="Noto Serif" w:hAnsi="Noto Serif" w:eastAsia="Noto Serif" w:cs="Noto Serif"/>
        </w:rPr>
        <w:t xml:space="preserve"> </w:t>
      </w:r>
      <w:hyperlink r:id="rId24">
        <w:r>
          <w:rPr>
            <w:color w:val="157A80"/>
            <w:u w:val="single"/>
          </w:rPr>
          <w:t>[16]</w:t>
        </w:r>
      </w:hyperlink>
    </w:p>
    <w:p>
      <w:r>
        <w:rPr>
          <w:rFonts w:ascii="Noto Serif" w:hAnsi="Noto Serif" w:eastAsia="Noto Serif" w:cs="Noto Serif"/>
        </w:rPr>
        <w:t xml:space="preserve">Загробное существование также не сводилось только к одной проверке. Погребальные тексты могли защищать тело, обеспечивать подношения, давать знание имён и проходов, помогать умершему принимать разные формы, связывать его с Осирисом и включать в солнечный цикл. В разных традициях эти темы переплетались. Они не образуют две полностью раздельные «религии» и не укладываются в простую схему, где есть только один суд, один рай и один ад. </w:t>
      </w:r>
      <w:hyperlink r:id="rId15">
        <w:r>
          <w:rPr>
            <w:color w:val="157A80"/>
            <w:u w:val="single"/>
          </w:rPr>
          <w:t>[7]</w:t>
        </w:r>
      </w:hyperlink>
      <w:r>
        <w:rPr>
          <w:rFonts w:ascii="Noto Serif" w:hAnsi="Noto Serif" w:eastAsia="Noto Serif" w:cs="Noto Serif"/>
        </w:rPr>
        <w:t xml:space="preserve"> </w:t>
      </w:r>
      <w:hyperlink r:id="rId35">
        <w:r>
          <w:rPr>
            <w:color w:val="157A80"/>
            <w:u w:val="single"/>
          </w:rPr>
          <w:t>[23]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yligh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Noto Sans" w:hAnsi="Noto Sans" w:eastAsia="Noto Sans" w:cs="Noto Sans"/>
          <w:i/>
          <w:color w:val="66507A"/>
          <w:sz w:val="16"/>
        </w:rPr>
        <w:t>Оригинальная редакционная иллюстрация: выход из темноты к дневному свету</w:t>
      </w:r>
    </w:p>
    <w:p>
      <w:pPr>
        <w:jc w:val="center"/>
      </w:pPr>
      <w:r>
        <w:rPr>
          <w:rFonts w:ascii="Noto Sans" w:hAnsi="Noto Sans" w:eastAsia="Noto Sans" w:cs="Noto Sans"/>
          <w:i/>
          <w:color w:val="66507A"/>
          <w:sz w:val="17"/>
        </w:rPr>
        <w:t>Образ выхода к солнцу передаёт одну из тем традиции, а не универсальную карту загробного мира.</w:t>
      </w:r>
    </w:p>
    <w:p>
      <w:r>
        <w:rPr>
          <w:rFonts w:ascii="Noto Serif" w:hAnsi="Noto Serif" w:eastAsia="Noto Serif" w:cs="Noto Serif"/>
        </w:rPr>
        <w:t xml:space="preserve">Популярные пересказы иногда делают Аммит аналогом универсального ада, а список отрицаний — единым моральным экзаменом для всех. Источники дают более сложную картину. Мотив угрозы и уничтожения встречается, но его нельзя превращать в универсальную доктрину. Рукописи различаются, а само посмертие описывается через несколько функций и образов: возрождение, продолжение движения, защиту, превращение и поддержание умершего. </w:t>
      </w:r>
      <w:hyperlink r:id="rId15">
        <w:r>
          <w:rPr>
            <w:color w:val="157A80"/>
            <w:u w:val="single"/>
          </w:rPr>
          <w:t>[7]</w:t>
        </w:r>
      </w:hyperlink>
      <w:r>
        <w:rPr>
          <w:rFonts w:ascii="Noto Serif" w:hAnsi="Noto Serif" w:eastAsia="Noto Serif" w:cs="Noto Serif"/>
        </w:rPr>
        <w:t xml:space="preserve"> </w:t>
      </w:r>
      <w:hyperlink r:id="rId30">
        <w:r>
          <w:rPr>
            <w:color w:val="157A80"/>
            <w:u w:val="single"/>
          </w:rPr>
          <w:t>[12]</w:t>
        </w:r>
      </w:hyperlink>
      <w:r>
        <w:rPr>
          <w:rFonts w:ascii="Noto Serif" w:hAnsi="Noto Serif" w:eastAsia="Noto Serif" w:cs="Noto Serif"/>
        </w:rPr>
        <w:t xml:space="preserve"> </w:t>
      </w:r>
      <w:hyperlink r:id="rId35">
        <w:r>
          <w:rPr>
            <w:color w:val="157A80"/>
            <w:u w:val="single"/>
          </w:rPr>
          <w:t>[23]</w:t>
        </w:r>
      </w:hyperlink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7. Свиток в гробнице: текст как погребальный предмет</w:t>
      </w:r>
    </w:p>
    <w:p>
      <w:r>
        <w:rPr>
          <w:rFonts w:ascii="Noto Serif" w:hAnsi="Noto Serif" w:eastAsia="Noto Serif" w:cs="Noto Serif"/>
        </w:rPr>
        <w:t xml:space="preserve">Папирус был не просто носителем слов. Это был предмет, созданный для конкретного человека и помещённый в погребальный контекст. Виньетка Ани с процессией к гробнице показывает гроб, жреца, совершающего возлияние и окуривание, и предметы, которые несут для помещения в могилу. Это музейное описание одной сцены, а не инструкция, что происходило во всех египетских похоронах. </w:t>
      </w:r>
      <w:hyperlink r:id="rId20">
        <w:r>
          <w:rPr>
            <w:color w:val="157A80"/>
            <w:u w:val="single"/>
          </w:rPr>
          <w:t>[3]</w:t>
        </w:r>
      </w:hyperlink>
    </w:p>
    <w:p>
      <w:r>
        <w:rPr>
          <w:rFonts w:ascii="Noto Serif" w:hAnsi="Noto Serif" w:eastAsia="Noto Serif" w:cs="Noto Serif"/>
        </w:rPr>
        <w:t xml:space="preserve">Сравнительные находки показывают разные способы размещения. В погребении Науни один свиток положили прямо на мумию, другой — внутрь полой деревянной фигуры Осириса. Метрополитен-музей описывает также папирус Тие, найденный завёрнутым вместе с её мумией. Эти примеры подтверждают, что способы могли различаться; они не устанавливают единственного порядка для всех эпох и регионов. </w:t>
      </w:r>
      <w:hyperlink r:id="rId24">
        <w:r>
          <w:rPr>
            <w:color w:val="157A80"/>
            <w:u w:val="single"/>
          </w:rPr>
          <w:t>[16]</w:t>
        </w:r>
      </w:hyperlink>
      <w:r>
        <w:rPr>
          <w:rFonts w:ascii="Noto Serif" w:hAnsi="Noto Serif" w:eastAsia="Noto Serif" w:cs="Noto Serif"/>
        </w:rPr>
        <w:t xml:space="preserve"> </w:t>
      </w:r>
      <w:hyperlink r:id="rId37">
        <w:r>
          <w:rPr>
            <w:color w:val="157A80"/>
            <w:u w:val="single"/>
          </w:rPr>
          <w:t>[24]</w:t>
        </w:r>
      </w:hyperlink>
    </w:p>
    <w:p>
      <w:r>
        <w:rPr>
          <w:rFonts w:ascii="Noto Serif" w:hAnsi="Noto Serif" w:eastAsia="Noto Serif" w:cs="Noto Serif"/>
        </w:rPr>
        <w:t xml:space="preserve">Сам текст мог помогать умершему преодолеть опасности и поддерживать его новое существование. Но музейные каталоги не доказывают, что свиток непременно разворачивали и читали вслух в ходе каждой церемонии. Следует различать наличие текста в гробнице, его магическую функцию и конкретное действие живых — последнее можно утверждать только там, где есть отдельное свидетельство.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erif" w:hAnsi="Noto Serif" w:eastAsia="Noto Serif" w:cs="Noto Serif"/>
        </w:rPr>
        <w:t xml:space="preserve"> </w:t>
      </w:r>
      <w:hyperlink r:id="rId20">
        <w:r>
          <w:rPr>
            <w:color w:val="157A80"/>
            <w:u w:val="single"/>
          </w:rPr>
          <w:t>[3]</w:t>
        </w:r>
      </w:hyperlink>
      <w:r>
        <w:rPr>
          <w:rFonts w:ascii="Noto Serif" w:hAnsi="Noto Serif" w:eastAsia="Noto Serif" w:cs="Noto Serif"/>
        </w:rPr>
        <w:t xml:space="preserve"> </w:t>
      </w:r>
      <w:hyperlink r:id="rId24">
        <w:r>
          <w:rPr>
            <w:color w:val="157A80"/>
            <w:u w:val="single"/>
          </w:rPr>
          <w:t>[16]</w:t>
        </w:r>
      </w:hyperlink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crib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rFonts w:ascii="Noto Sans" w:hAnsi="Noto Sans" w:eastAsia="Noto Sans" w:cs="Noto Sans"/>
          <w:i/>
          <w:color w:val="66507A"/>
          <w:sz w:val="16"/>
        </w:rPr>
        <w:t>Оригинальная редакционная иллюстрация: писец и разные свитки</w:t>
      </w:r>
    </w:p>
    <w:p>
      <w:pPr>
        <w:jc w:val="center"/>
      </w:pPr>
      <w:r>
        <w:rPr>
          <w:rFonts w:ascii="Noto Sans" w:hAnsi="Noto Sans" w:eastAsia="Noto Sans" w:cs="Noto Sans"/>
          <w:i/>
          <w:color w:val="66507A"/>
          <w:sz w:val="17"/>
        </w:rPr>
        <w:t>Современный образ мастерской подчёркивает вариативность рукописей; он не реконструирует конкретную мастерскую или историческую процедуру заказа.</w:t>
      </w:r>
    </w:p>
    <w:p>
      <w:r>
        <w:rPr>
          <w:rFonts w:ascii="Noto Serif" w:hAnsi="Noto Serif" w:eastAsia="Noto Serif" w:cs="Noto Serif"/>
        </w:rPr>
        <w:t xml:space="preserve">Сохранившиеся роскошные рукописи особенно часто связаны с владельцами, чьи титулы видны в надписях: Ани был писцом и чиновником, Науни — певчей Амона и царской дочерью, Имхотеп — жрецом Хора. Эти памятники дают подробный материал, но выборка смещена в сторону людей, чьи погребальные предметы были качественными и пережили время. Нельзя по ним определить, какой свиток был у каждого египтянина или был ли такой папирус у большинства населения.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erif" w:hAnsi="Noto Serif" w:eastAsia="Noto Serif" w:cs="Noto Serif"/>
        </w:rPr>
        <w:t xml:space="preserve"> </w:t>
      </w:r>
      <w:hyperlink r:id="rId24">
        <w:r>
          <w:rPr>
            <w:color w:val="157A80"/>
            <w:u w:val="single"/>
          </w:rPr>
          <w:t>[16]</w:t>
        </w:r>
      </w:hyperlink>
      <w:r>
        <w:rPr>
          <w:rFonts w:ascii="Noto Serif" w:hAnsi="Noto Serif" w:eastAsia="Noto Serif" w:cs="Noto Serif"/>
        </w:rPr>
        <w:t xml:space="preserve"> </w:t>
      </w:r>
      <w:hyperlink r:id="rId16">
        <w:r>
          <w:rPr>
            <w:color w:val="157A80"/>
            <w:u w:val="single"/>
          </w:rPr>
          <w:t>[17]</w:t>
        </w:r>
      </w:hyperlink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8. Не только Ани: Ну, Хунефер, Науни и Гринфилд</w:t>
      </w:r>
    </w:p>
    <w:p>
      <w:r>
        <w:rPr>
          <w:rFonts w:ascii="Noto Serif" w:hAnsi="Noto Serif" w:eastAsia="Noto Serif" w:cs="Noto Serif"/>
        </w:rPr>
        <w:t xml:space="preserve">Сравнение нескольких рукописей помогает увидеть, что Ани — не шаблон. Британский музей датирует папирус Ну XVIII династией. В каталоге отдельных листов перечислены разные формулы — среди них 83, 84, 81, 87, 88, 132 и 148; на другом листе есть заклинание 125. Это сведения о просмотренных листах, а не полное оглавление всего свитка. </w:t>
      </w:r>
      <w:hyperlink r:id="rId28">
        <w:r>
          <w:rPr>
            <w:color w:val="157A80"/>
            <w:u w:val="single"/>
          </w:rPr>
          <w:t>[19]</w:t>
        </w:r>
      </w:hyperlink>
      <w:r>
        <w:rPr>
          <w:rFonts w:ascii="Noto Serif" w:hAnsi="Noto Serif" w:eastAsia="Noto Serif" w:cs="Noto Serif"/>
        </w:rPr>
        <w:t xml:space="preserve"> </w:t>
      </w:r>
      <w:hyperlink r:id="rId39">
        <w:r>
          <w:rPr>
            <w:color w:val="157A80"/>
            <w:u w:val="single"/>
          </w:rPr>
          <w:t>[20]</w:t>
        </w:r>
      </w:hyperlink>
    </w:p>
    <w:p>
      <w:r>
        <w:rPr>
          <w:rFonts w:ascii="Noto Serif" w:hAnsi="Noto Serif" w:eastAsia="Noto Serif" w:cs="Noto Serif"/>
        </w:rPr>
        <w:t xml:space="preserve">Хунефер относится к XIX династии, то есть близок по времени к Ани. На музейном листе EA9901,3 описана сцена суда и формула 30B. Университетский обзор Смартхистори отмечает крупные полихромные сцены суда и «открытия уст». Общее обозначение формулы не делает два папируса одинаковыми: их изображения, наборы текстов и компоновка остаются особенностями каждой рукописи. </w:t>
      </w:r>
      <w:hyperlink r:id="rId34">
        <w:r>
          <w:rPr>
            <w:color w:val="157A80"/>
            <w:u w:val="single"/>
          </w:rPr>
          <w:t>[15]</w:t>
        </w:r>
      </w:hyperlink>
      <w:r>
        <w:rPr>
          <w:rFonts w:ascii="Noto Serif" w:hAnsi="Noto Serif" w:eastAsia="Noto Serif" w:cs="Noto Serif"/>
        </w:rPr>
        <w:t xml:space="preserve"> </w:t>
      </w:r>
      <w:hyperlink r:id="rId17">
        <w:r>
          <w:rPr>
            <w:color w:val="157A80"/>
            <w:u w:val="single"/>
          </w:rPr>
          <w:t>[18]</w:t>
        </w:r>
      </w:hyperlink>
    </w:p>
    <w:p>
      <w:r>
        <w:rPr>
          <w:rFonts w:ascii="Noto Serif" w:hAnsi="Noto Serif" w:eastAsia="Noto Serif" w:cs="Noto Serif"/>
        </w:rPr>
        <w:t xml:space="preserve">Папирус Науни показывает другую эпоху и погребальный контекст: XXI династия, титул певчей Амона, свитки в разных местах погребения. У жреца Имхотепа — позднептолемеевский свиток с большим числом колонок и подборкой формул, чья последовательность не образует прямого повествования. Гринфилдский папирус, созданный для жрицы Нестанебетишеру, содержит на описанном музейном листе виньетку к заклинанию 17 и формулы 23–26; это ещё один индивидуальный выбор материала. </w:t>
      </w:r>
      <w:hyperlink r:id="rId24">
        <w:r>
          <w:rPr>
            <w:color w:val="157A80"/>
            <w:u w:val="single"/>
          </w:rPr>
          <w:t>[16]</w:t>
        </w:r>
      </w:hyperlink>
      <w:r>
        <w:rPr>
          <w:rFonts w:ascii="Noto Serif" w:hAnsi="Noto Serif" w:eastAsia="Noto Serif" w:cs="Noto Serif"/>
        </w:rPr>
        <w:t xml:space="preserve"> </w:t>
      </w:r>
      <w:hyperlink r:id="rId16">
        <w:r>
          <w:rPr>
            <w:color w:val="157A80"/>
            <w:u w:val="single"/>
          </w:rPr>
          <w:t>[17]</w:t>
        </w:r>
      </w:hyperlink>
      <w:r>
        <w:rPr>
          <w:rFonts w:ascii="Noto Serif" w:hAnsi="Noto Serif" w:eastAsia="Noto Serif" w:cs="Noto Serif"/>
        </w:rPr>
        <w:t xml:space="preserve"> </w:t>
      </w:r>
      <w:hyperlink r:id="rId40">
        <w:r>
          <w:rPr>
            <w:color w:val="157A80"/>
            <w:u w:val="single"/>
          </w:rPr>
          <w:t>[21]</w:t>
        </w:r>
      </w:hyperlink>
    </w:p>
    <w:p>
      <w:r>
        <w:rPr>
          <w:rFonts w:ascii="Noto Serif" w:hAnsi="Noto Serif" w:eastAsia="Noto Serif" w:cs="Noto Serif"/>
        </w:rPr>
        <w:t xml:space="preserve">Сравнивать следует то, что действительно документировано: дату, владельца, отдельный лист, текст или сцену. Там, где музей показывает один фрагмент, мы не должны выдумывать состав всего свитка. Так нагляднее видны и общие темы, и расхождения: формула могла переходить из одной рукописи в другую, но каждая копия сохраняла собственные решения. </w:t>
      </w:r>
      <w:hyperlink r:id="rId11">
        <w:r>
          <w:rPr>
            <w:color w:val="157A80"/>
            <w:u w:val="single"/>
          </w:rPr>
          <w:t>[5]</w:t>
        </w:r>
      </w:hyperlink>
      <w:r>
        <w:rPr>
          <w:rFonts w:ascii="Noto Serif" w:hAnsi="Noto Serif" w:eastAsia="Noto Serif" w:cs="Noto Serif"/>
        </w:rPr>
        <w:t xml:space="preserve"> </w:t>
      </w:r>
      <w:hyperlink r:id="rId13">
        <w:r>
          <w:rPr>
            <w:color w:val="157A80"/>
            <w:u w:val="single"/>
          </w:rPr>
          <w:t>[6]</w:t>
        </w:r>
      </w:hyperlink>
      <w:r>
        <w:rPr>
          <w:rFonts w:ascii="Noto Serif" w:hAnsi="Noto Serif" w:eastAsia="Noto Serif" w:cs="Noto Serif"/>
        </w:rPr>
        <w:t xml:space="preserve"> </w:t>
      </w:r>
      <w:hyperlink r:id="rId28">
        <w:r>
          <w:rPr>
            <w:color w:val="157A80"/>
            <w:u w:val="single"/>
          </w:rPr>
          <w:t>[19]</w:t>
        </w:r>
      </w:hyperlink>
      <w:r>
        <w:rPr>
          <w:rFonts w:ascii="Noto Serif" w:hAnsi="Noto Serif" w:eastAsia="Noto Serif" w:cs="Noto Serif"/>
        </w:rPr>
        <w:t xml:space="preserve"> </w:t>
      </w:r>
      <w:hyperlink r:id="rId39">
        <w:r>
          <w:rPr>
            <w:color w:val="157A80"/>
            <w:u w:val="single"/>
          </w:rPr>
          <w:t>[20]</w:t>
        </w:r>
      </w:hyperlink>
      <w:r>
        <w:rPr>
          <w:rFonts w:ascii="Noto Serif" w:hAnsi="Noto Serif" w:eastAsia="Noto Serif" w:cs="Noto Serif"/>
        </w:rPr>
        <w:t xml:space="preserve"> </w:t>
      </w:r>
      <w:hyperlink r:id="rId40">
        <w:r>
          <w:rPr>
            <w:color w:val="157A80"/>
            <w:u w:val="single"/>
          </w:rPr>
          <w:t>[21]</w:t>
        </w:r>
      </w:hyperlink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9. Что популярный пересказ обычно упрощает</w:t>
      </w:r>
    </w:p>
    <w:p>
      <w:pPr>
        <w:jc w:val="center"/>
      </w:pPr>
      <w:r>
        <w:rPr>
          <w:rFonts w:ascii="Noto Sans" w:hAnsi="Noto Sans" w:eastAsia="Noto Sans" w:cs="Noto Sans"/>
          <w:b/>
          <w:i/>
          <w:color w:val="66507A"/>
          <w:sz w:val="17"/>
        </w:rPr>
        <w:t>«Это одна книга с одинаковыми главами».</w:t>
      </w:r>
      <w:r>
        <w:rPr>
          <w:rFonts w:ascii="Noto Sans" w:hAnsi="Noto Sans" w:eastAsia="Noto Sans" w:cs="Noto Sans"/>
          <w:i/>
          <w:color w:val="66507A"/>
          <w:sz w:val="17"/>
        </w:rPr>
        <w:t xml:space="preserve"> Нет: название объединяет меняющиеся подборки, а номера глав — современная система навигации. </w:t>
      </w:r>
      <w:hyperlink r:id="rId11">
        <w:r>
          <w:rPr>
            <w:color w:val="157A80"/>
            <w:u w:val="single"/>
          </w:rPr>
          <w:t>[5]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13">
        <w:r>
          <w:rPr>
            <w:color w:val="157A80"/>
            <w:u w:val="single"/>
          </w:rPr>
          <w:t>[6]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12">
        <w:r>
          <w:rPr>
            <w:color w:val="157A80"/>
            <w:u w:val="single"/>
          </w:rPr>
          <w:t>[8]</w:t>
        </w:r>
      </w:hyperlink>
    </w:p>
    <w:p>
      <w:pPr>
        <w:jc w:val="center"/>
      </w:pPr>
      <w:r>
        <w:rPr>
          <w:rFonts w:ascii="Noto Sans" w:hAnsi="Noto Sans" w:eastAsia="Noto Sans" w:cs="Noto Sans"/>
          <w:b/>
          <w:i/>
          <w:color w:val="66507A"/>
          <w:sz w:val="17"/>
        </w:rPr>
        <w:t>«Папирус Ани показывает верования всех египтян».</w:t>
      </w:r>
      <w:r>
        <w:rPr>
          <w:rFonts w:ascii="Noto Sans" w:hAnsi="Noto Sans" w:eastAsia="Noto Sans" w:cs="Noto Sans"/>
          <w:i/>
          <w:color w:val="66507A"/>
          <w:sz w:val="17"/>
        </w:rPr>
        <w:t xml:space="preserve"> Нет: это один фиванский папирус XIX династии, созданный для конкретных владельцев; общие выводы проверяют по другим рукописям.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34">
        <w:r>
          <w:rPr>
            <w:color w:val="157A80"/>
            <w:u w:val="single"/>
          </w:rPr>
          <w:t>[15]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24">
        <w:r>
          <w:rPr>
            <w:color w:val="157A80"/>
            <w:u w:val="single"/>
          </w:rPr>
          <w:t>[16]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28">
        <w:r>
          <w:rPr>
            <w:color w:val="157A80"/>
            <w:u w:val="single"/>
          </w:rPr>
          <w:t>[19]</w:t>
        </w:r>
      </w:hyperlink>
    </w:p>
    <w:p>
      <w:pPr>
        <w:jc w:val="center"/>
      </w:pPr>
      <w:r>
        <w:rPr>
          <w:rFonts w:ascii="Noto Sans" w:hAnsi="Noto Sans" w:eastAsia="Noto Sans" w:cs="Noto Sans"/>
          <w:b/>
          <w:i/>
          <w:color w:val="66507A"/>
          <w:sz w:val="17"/>
        </w:rPr>
        <w:t>«Суд — единый нравственный экзамен».</w:t>
      </w:r>
      <w:r>
        <w:rPr>
          <w:rFonts w:ascii="Noto Sans" w:hAnsi="Noto Sans" w:eastAsia="Noto Sans" w:cs="Noto Sans"/>
          <w:i/>
          <w:color w:val="66507A"/>
          <w:sz w:val="17"/>
        </w:rPr>
        <w:t xml:space="preserve"> Формула 125 содержит отрицательные декларации, но её варианты различаются; Маат — также порядок и равновесие мира, а не только личная мораль. </w:t>
      </w:r>
      <w:hyperlink r:id="rId30">
        <w:r>
          <w:rPr>
            <w:color w:val="157A80"/>
            <w:u w:val="single"/>
          </w:rPr>
          <w:t>[12]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32">
        <w:r>
          <w:rPr>
            <w:color w:val="157A80"/>
            <w:u w:val="single"/>
          </w:rPr>
          <w:t>[13]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33">
        <w:r>
          <w:rPr>
            <w:color w:val="157A80"/>
            <w:u w:val="single"/>
          </w:rPr>
          <w:t>[22]</w:t>
        </w:r>
      </w:hyperlink>
    </w:p>
    <w:p>
      <w:pPr>
        <w:jc w:val="center"/>
      </w:pPr>
      <w:r>
        <w:rPr>
          <w:rFonts w:ascii="Noto Sans" w:hAnsi="Noto Sans" w:eastAsia="Noto Sans" w:cs="Noto Sans"/>
          <w:b/>
          <w:i/>
          <w:color w:val="66507A"/>
          <w:sz w:val="17"/>
        </w:rPr>
        <w:t>«Загробный мир — это просто рай или ад».</w:t>
      </w:r>
      <w:r>
        <w:rPr>
          <w:rFonts w:ascii="Noto Sans" w:hAnsi="Noto Sans" w:eastAsia="Noto Sans" w:cs="Noto Sans"/>
          <w:i/>
          <w:color w:val="66507A"/>
          <w:sz w:val="17"/>
        </w:rPr>
        <w:t xml:space="preserve"> Источники соединяют осирианские и солнечные образы с защитой тела, превращениями, подношениями и продолжением действия умершего. </w:t>
      </w:r>
      <w:hyperlink r:id="rId15">
        <w:r>
          <w:rPr>
            <w:color w:val="157A80"/>
            <w:u w:val="single"/>
          </w:rPr>
          <w:t>[7]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24">
        <w:r>
          <w:rPr>
            <w:color w:val="157A80"/>
            <w:u w:val="single"/>
          </w:rPr>
          <w:t>[16]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35">
        <w:r>
          <w:rPr>
            <w:color w:val="157A80"/>
            <w:u w:val="single"/>
          </w:rPr>
          <w:t>[23]</w:t>
        </w:r>
      </w:hyperlink>
    </w:p>
    <w:p>
      <w:pPr>
        <w:jc w:val="center"/>
      </w:pPr>
      <w:r>
        <w:rPr>
          <w:rFonts w:ascii="Noto Sans" w:hAnsi="Noto Sans" w:eastAsia="Noto Sans" w:cs="Noto Sans"/>
          <w:b/>
          <w:i/>
          <w:color w:val="66507A"/>
          <w:sz w:val="17"/>
        </w:rPr>
        <w:t>«Картинка точно переводит соседний текст».</w:t>
      </w:r>
      <w:r>
        <w:rPr>
          <w:rFonts w:ascii="Noto Sans" w:hAnsi="Noto Sans" w:eastAsia="Noto Sans" w:cs="Noto Sans"/>
          <w:i/>
          <w:color w:val="66507A"/>
          <w:sz w:val="17"/>
        </w:rPr>
        <w:t xml:space="preserve"> Виньетка может сопровождать или замещать формулу; для Ани музей не знает, как был спроектирован общий макет. </w:t>
      </w:r>
      <w:hyperlink r:id="rId18">
        <w:r>
          <w:rPr>
            <w:color w:val="157A80"/>
            <w:u w:val="single"/>
          </w:rPr>
          <w:t>[1]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16">
        <w:r>
          <w:rPr>
            <w:color w:val="157A80"/>
            <w:u w:val="single"/>
          </w:rPr>
          <w:t>[17]</w:t>
        </w:r>
      </w:hyperlink>
      <w:r>
        <w:rPr>
          <w:rFonts w:ascii="Noto Sans" w:hAnsi="Noto Sans" w:eastAsia="Noto Sans" w:cs="Noto Sans"/>
          <w:i/>
          <w:color w:val="66507A"/>
          <w:sz w:val="17"/>
        </w:rPr>
        <w:t xml:space="preserve"> </w:t>
      </w:r>
      <w:hyperlink r:id="rId17">
        <w:r>
          <w:rPr>
            <w:color w:val="157A80"/>
            <w:u w:val="single"/>
          </w:rPr>
          <w:t>[18]</w:t>
        </w:r>
      </w:hyperlink>
    </w:p>
    <w:p>
      <w:r>
        <w:rPr>
          <w:rFonts w:ascii="Noto Serif" w:hAnsi="Noto Serif" w:eastAsia="Noto Serif" w:cs="Noto Serif"/>
        </w:rPr>
        <w:t>Называйте конкретный папирус, сцену и дату, затем сравнивайте их с другими свидетельствами. Перед нами не один условный свиток, а многовековая традиция, которую собирали заново.</w:t>
      </w:r>
    </w:p>
    <w:p>
      <w:pPr>
        <w:jc w:val="center"/>
      </w:pPr>
      <w:r>
        <w:rPr>
          <w:rFonts w:ascii="Noto Sans" w:hAnsi="Noto Sans" w:eastAsia="Noto Sans" w:cs="Noto Sans"/>
          <w:color w:val="B28A46"/>
          <w:sz w:val="18"/>
        </w:rPr>
        <w:t>—  •  —</w:t>
      </w:r>
    </w:p>
    <w:p>
      <w:r>
        <w:br w:type="page"/>
      </w:r>
    </w:p>
    <w:p>
      <w:pPr>
        <w:pStyle w:val="Heading2"/>
        <w:spacing w:before="0" w:after="180"/>
      </w:pPr>
      <w:r>
        <w:rPr>
          <w:rFonts w:ascii="Noto Serif" w:hAnsi="Noto Serif" w:eastAsia="Noto Serif" w:cs="Noto Serif"/>
        </w:rPr>
        <w:t>Источники и дальнейшее чтение</w:t>
      </w:r>
    </w:p>
    <w:p>
      <w:r>
        <w:rPr>
          <w:rFonts w:ascii="Noto Serif" w:hAnsi="Noto Serif" w:eastAsia="Noto Serif" w:cs="Noto Serif"/>
        </w:rPr>
        <w:t>Музейные карточки ниже относятся к конкретным предметам и листам. Университетские и кураторские материалы помогают сопоставлять их, но не заменяют самих рукописей. Все ссылки проверены по открытым страницам; прямые цитаты из современных переводов в текст книги не включены.</w:t>
      </w:r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[1] </w:t>
      </w:r>
      <w:hyperlink r:id="rId18">
        <w:r>
          <w:rPr>
            <w:color w:val="157A80"/>
            <w:u w:val="single"/>
          </w:rPr>
          <w:t>British Museum, Papyrus of Ani, frame 3 (EA10470,3)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[2] </w:t>
      </w:r>
      <w:hyperlink r:id="rId19">
        <w:r>
          <w:rPr>
            <w:color w:val="157A80"/>
            <w:u w:val="single"/>
          </w:rPr>
          <w:t>British Museum, Papyrus of Ani, frame 35 (EA10470,35)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[3] </w:t>
      </w:r>
      <w:hyperlink r:id="rId20">
        <w:r>
          <w:rPr>
            <w:color w:val="157A80"/>
            <w:u w:val="single"/>
          </w:rPr>
          <w:t>British Museum, Papyrus of Ani, frame 5 (EA10470,5)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[4] </w:t>
      </w:r>
      <w:hyperlink r:id="rId21">
        <w:r>
          <w:rPr>
            <w:color w:val="157A80"/>
            <w:u w:val="single"/>
          </w:rPr>
          <w:t>British Museum, Papyrus of Ani, frame 2 (EA10470,2)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[5] </w:t>
      </w:r>
      <w:hyperlink r:id="rId11">
        <w:r>
          <w:rPr>
            <w:color w:val="157A80"/>
            <w:u w:val="single"/>
          </w:rPr>
          <w:t>UCL Digital Egypt, What is the Book of the Dead?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[6] </w:t>
      </w:r>
      <w:hyperlink r:id="rId13">
        <w:r>
          <w:rPr>
            <w:color w:val="157A80"/>
            <w:u w:val="single"/>
          </w:rPr>
          <w:t>UCL Digital Egypt, Book of the Dead chapters in modern numerical order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[7] </w:t>
      </w:r>
      <w:hyperlink r:id="rId15">
        <w:r>
          <w:rPr>
            <w:color w:val="157A80"/>
            <w:u w:val="single"/>
          </w:rPr>
          <w:t>Smarthistory, Ancient Egyptian mortuary texts: an introduction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[8] </w:t>
      </w:r>
      <w:hyperlink r:id="rId12">
        <w:r>
          <w:rPr>
            <w:color w:val="157A80"/>
            <w:u w:val="single"/>
          </w:rPr>
          <w:t>British Museum, What is a Book of the Dead?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[9] </w:t>
      </w:r>
      <w:hyperlink r:id="rId26">
        <w:r>
          <w:rPr>
            <w:color w:val="157A80"/>
            <w:u w:val="single"/>
          </w:rPr>
          <w:t>UCL Digital Egypt, Book of the Dead chapter 17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[10] </w:t>
      </w:r>
      <w:hyperlink r:id="rId29">
        <w:r>
          <w:rPr>
            <w:color w:val="157A80"/>
            <w:u w:val="single"/>
          </w:rPr>
          <w:t>UCL Digital Egypt, Book of the Dead chapter 30A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[11] </w:t>
      </w:r>
      <w:hyperlink r:id="rId14">
        <w:r>
          <w:rPr>
            <w:color w:val="157A80"/>
            <w:u w:val="single"/>
          </w:rPr>
          <w:t>Fitzwilliam Museum, What are these spells like?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[12] </w:t>
      </w:r>
      <w:hyperlink r:id="rId30">
        <w:r>
          <w:rPr>
            <w:color w:val="157A80"/>
            <w:u w:val="single"/>
          </w:rPr>
          <w:t>UCL Digital Egypt, Book of the Dead chapter 125A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[13] </w:t>
      </w:r>
      <w:hyperlink r:id="rId32">
        <w:r>
          <w:rPr>
            <w:color w:val="157A80"/>
            <w:u w:val="single"/>
          </w:rPr>
          <w:t>Fitzwilliam Museum, Book of the Dead of Ramose: Spell 125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[14] </w:t>
      </w:r>
      <w:hyperlink r:id="rId27">
        <w:r>
          <w:rPr>
            <w:color w:val="157A80"/>
            <w:u w:val="single"/>
          </w:rPr>
          <w:t>UCL Digital Egypt, Book of the Dead chapter 1</w:t>
        </w:r>
      </w:hyperlink>
    </w:p>
    <w:p>
      <w:r>
        <w:br w:type="page"/>
      </w:r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[15] </w:t>
      </w:r>
      <w:hyperlink r:id="rId34">
        <w:r>
          <w:rPr>
            <w:color w:val="157A80"/>
            <w:u w:val="single"/>
          </w:rPr>
          <w:t>British Museum, Book of the Dead of Hunefer, frame 3 (EA9901,3)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[16] </w:t>
      </w:r>
      <w:hyperlink r:id="rId24">
        <w:r>
          <w:rPr>
            <w:color w:val="157A80"/>
            <w:u w:val="single"/>
          </w:rPr>
          <w:t>The Metropolitan Museum of Art, Book of the Dead for the Chantress of Amun, Nauny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[17] </w:t>
      </w:r>
      <w:hyperlink r:id="rId16">
        <w:r>
          <w:rPr>
            <w:color w:val="157A80"/>
            <w:u w:val="single"/>
          </w:rPr>
          <w:t>The Metropolitan Museum of Art, Book of the Dead of the Priest of Horus, Imhotep (Imuthes)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[18] </w:t>
      </w:r>
      <w:hyperlink r:id="rId17">
        <w:r>
          <w:rPr>
            <w:color w:val="157A80"/>
            <w:u w:val="single"/>
          </w:rPr>
          <w:t>The Metropolitan Museum of Art, Scrolling through Imhotep’s Book of the Dead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[19] </w:t>
      </w:r>
      <w:hyperlink r:id="rId28">
        <w:r>
          <w:rPr>
            <w:color w:val="157A80"/>
            <w:u w:val="single"/>
          </w:rPr>
          <w:t>British Museum, Book of the Dead of Nu, sheet 11 (EA10477,11)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[20] </w:t>
      </w:r>
      <w:hyperlink r:id="rId39">
        <w:r>
          <w:rPr>
            <w:color w:val="157A80"/>
            <w:u w:val="single"/>
          </w:rPr>
          <w:t>British Museum, Book of the Dead of Nu, sheet 23 (EA10477,23)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[21] </w:t>
      </w:r>
      <w:hyperlink r:id="rId40">
        <w:r>
          <w:rPr>
            <w:color w:val="157A80"/>
            <w:u w:val="single"/>
          </w:rPr>
          <w:t>British Museum, The Greenfield Papyrus, EA10554,12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[22] </w:t>
      </w:r>
      <w:hyperlink r:id="rId33">
        <w:r>
          <w:rPr>
            <w:color w:val="157A80"/>
            <w:u w:val="single"/>
          </w:rPr>
          <w:t>British Museum, Ancient Egyptian gods and goddesses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[23] </w:t>
      </w:r>
      <w:hyperlink r:id="rId35">
        <w:r>
          <w:rPr>
            <w:color w:val="157A80"/>
            <w:u w:val="single"/>
          </w:rPr>
          <w:t>American Research Center in Egypt, Book of the Dead: A Guidebook to the Afterlife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[24] </w:t>
      </w:r>
      <w:hyperlink r:id="rId37">
        <w:r>
          <w:rPr>
            <w:color w:val="157A80"/>
            <w:u w:val="single"/>
          </w:rPr>
          <w:t>The Metropolitan Museum of Art, Book of the Dead Papyrus of Tiye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[25] </w:t>
      </w:r>
      <w:hyperlink r:id="rId22">
        <w:r>
          <w:rPr>
            <w:color w:val="157A80"/>
            <w:u w:val="single"/>
          </w:rPr>
          <w:t>HathiTrust, The papyrus of Ani: a reproduction in facsimile</w:t>
        </w:r>
      </w:hyperlink>
    </w:p>
    <w:p>
      <w:pPr>
        <w:ind w:left="227" w:hanging="227"/>
      </w:pPr>
      <w:r>
        <w:rPr>
          <w:rFonts w:ascii="Noto Sans" w:hAnsi="Noto Sans" w:eastAsia="Noto Sans" w:cs="Noto Sans"/>
          <w:color w:val="242A43"/>
          <w:sz w:val="18"/>
        </w:rPr>
        <w:t xml:space="preserve">[26] </w:t>
      </w:r>
      <w:hyperlink r:id="rId23">
        <w:r>
          <w:rPr>
            <w:color w:val="157A80"/>
            <w:u w:val="single"/>
          </w:rPr>
          <w:t>University of Pennsylvania, The Papyrus of Ani: The Egyptian Book of the Dead</w:t>
        </w:r>
      </w:hyperlink>
    </w:p>
    <w:sectPr w:rsidR="00FC693F" w:rsidRPr="0006063C" w:rsidSect="00034616">
      <w:footerReference w:type="default" r:id="rId9"/>
      <w:pgSz w:w="8391" w:h="11906"/>
      <w:pgMar w:top="907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 w:cs="Noto Sans"/>
        <w:color w:val="157A80"/>
        <w:sz w:val="16"/>
      </w:rPr>
      <w:t xml:space="preserve">HARVYRÐ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ackground w:color="F8F3E9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Noto Serif" w:hAnsi="Noto Serif"/>
      <w:color w:val="242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202D55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202D55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57A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202D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www.ucl.ac.uk/museums-static/digitalegypt/literature/religious/bdquestions.html" TargetMode="External"/><Relationship Id="rId12" Type="http://schemas.openxmlformats.org/officeDocument/2006/relationships/hyperlink" Target="https://www.britishmuseum.org/blog/what-book-dead" TargetMode="External"/><Relationship Id="rId13" Type="http://schemas.openxmlformats.org/officeDocument/2006/relationships/hyperlink" Target="https://www.ucl.ac.uk/museums-static/digitalegypt/literature/religious/bdbynumber.html" TargetMode="External"/><Relationship Id="rId14" Type="http://schemas.openxmlformats.org/officeDocument/2006/relationships/hyperlink" Target="https://book-of-the-dead.fitzmuseum.cam.ac.uk/explore/book-of-the-dead/spells" TargetMode="External"/><Relationship Id="rId15" Type="http://schemas.openxmlformats.org/officeDocument/2006/relationships/hyperlink" Target="https://smarthistory.org/ancient-egyptian-mortuary-texts/" TargetMode="External"/><Relationship Id="rId16" Type="http://schemas.openxmlformats.org/officeDocument/2006/relationships/hyperlink" Target="https://www.metmuseum.org/art/collection/search/551786" TargetMode="External"/><Relationship Id="rId17" Type="http://schemas.openxmlformats.org/officeDocument/2006/relationships/hyperlink" Target="https://www.metmuseum.org/perspectives/book-of-the-dead" TargetMode="External"/><Relationship Id="rId18" Type="http://schemas.openxmlformats.org/officeDocument/2006/relationships/hyperlink" Target="https://www.britishmuseum.org/collection/object/Y_EA10470-3" TargetMode="External"/><Relationship Id="rId19" Type="http://schemas.openxmlformats.org/officeDocument/2006/relationships/hyperlink" Target="https://www.britishmuseum.org/collection/object/Y_EA10470-35" TargetMode="External"/><Relationship Id="rId20" Type="http://schemas.openxmlformats.org/officeDocument/2006/relationships/hyperlink" Target="https://www.britishmuseum.org/collection/object/Y_EA10470-5" TargetMode="External"/><Relationship Id="rId21" Type="http://schemas.openxmlformats.org/officeDocument/2006/relationships/hyperlink" Target="https://www.britishmuseum.org/collection/object/Y_EA10470-2" TargetMode="External"/><Relationship Id="rId22" Type="http://schemas.openxmlformats.org/officeDocument/2006/relationships/hyperlink" Target="https://catalog.hathitrust.org/Record/005895967" TargetMode="External"/><Relationship Id="rId23" Type="http://schemas.openxmlformats.org/officeDocument/2006/relationships/hyperlink" Target="https://www.africa.upenn.edu/Books/Papyrus_Ani.html" TargetMode="External"/><Relationship Id="rId24" Type="http://schemas.openxmlformats.org/officeDocument/2006/relationships/hyperlink" Target="https://www.metmuseum.org/art/collection/search/548344" TargetMode="External"/><Relationship Id="rId25" Type="http://schemas.openxmlformats.org/officeDocument/2006/relationships/image" Target="media/image2.jpg"/><Relationship Id="rId26" Type="http://schemas.openxmlformats.org/officeDocument/2006/relationships/hyperlink" Target="https://www.ucl.ac.uk/museums-static/digitalegypt/literature/religious/bd17.html" TargetMode="External"/><Relationship Id="rId27" Type="http://schemas.openxmlformats.org/officeDocument/2006/relationships/hyperlink" Target="https://www.ucl.ac.uk/museums-static/digitalegypt/literature/religious/bd1.html" TargetMode="External"/><Relationship Id="rId28" Type="http://schemas.openxmlformats.org/officeDocument/2006/relationships/hyperlink" Target="https://www.britishmuseum.org/collection/object/Y_EA10477-11" TargetMode="External"/><Relationship Id="rId29" Type="http://schemas.openxmlformats.org/officeDocument/2006/relationships/hyperlink" Target="https://www.ucl.ac.uk/museums-static/digitalegypt/literature/religious/bd30a.html" TargetMode="External"/><Relationship Id="rId30" Type="http://schemas.openxmlformats.org/officeDocument/2006/relationships/hyperlink" Target="https://www.ucl.ac.uk/museums-static/digitalegypt/literature/religious/bd125a.html" TargetMode="External"/><Relationship Id="rId31" Type="http://schemas.openxmlformats.org/officeDocument/2006/relationships/image" Target="media/image3.jpg"/><Relationship Id="rId32" Type="http://schemas.openxmlformats.org/officeDocument/2006/relationships/hyperlink" Target="https://book-of-the-dead.fitzmuseum.cam.ac.uk/explore/the-book-of-the-dead/spell-125" TargetMode="External"/><Relationship Id="rId33" Type="http://schemas.openxmlformats.org/officeDocument/2006/relationships/hyperlink" Target="https://www.britishmuseum.org/learn/schools/ages-7-11/ancient-egypt/ancient-egyptian-gods-and-goddesses" TargetMode="External"/><Relationship Id="rId34" Type="http://schemas.openxmlformats.org/officeDocument/2006/relationships/hyperlink" Target="https://www.britishmuseum.org/collection/object/Y_EA9901-3" TargetMode="External"/><Relationship Id="rId35" Type="http://schemas.openxmlformats.org/officeDocument/2006/relationships/hyperlink" Target="https://arce.org/resource/book-dead-guidebook-afterlife/" TargetMode="External"/><Relationship Id="rId36" Type="http://schemas.openxmlformats.org/officeDocument/2006/relationships/image" Target="media/image4.jpg"/><Relationship Id="rId37" Type="http://schemas.openxmlformats.org/officeDocument/2006/relationships/hyperlink" Target="https://www.metmuseum.org/art/collection/search/551142" TargetMode="External"/><Relationship Id="rId38" Type="http://schemas.openxmlformats.org/officeDocument/2006/relationships/image" Target="media/image5.jpg"/><Relationship Id="rId39" Type="http://schemas.openxmlformats.org/officeDocument/2006/relationships/hyperlink" Target="https://www.britishmuseum.org/collection/object/Y_EA10477-23" TargetMode="External"/><Relationship Id="rId40" Type="http://schemas.openxmlformats.org/officeDocument/2006/relationships/hyperlink" Target="https://www.britishmuseum.org/collection/object/Y_EA10554-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Выходя к дневному свету — читательский том HARVYRÐ</dc:title>
  <dc:subject>Книга мёртвых древнего Египта: папирус Ани и изменчивая традиция погребальных текстов</dc:subject>
  <dc:creator>HARVYRÐ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