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6EC"/>
  <w:body>
    <w:p>
      <w:pPr>
        <w:spacing w:after="40"/>
        <w:jc w:val="center"/>
      </w:pPr>
      <w:r>
        <w:rPr>
          <w:rFonts w:ascii="Noto Sans" w:hAnsi="Noto Sans" w:eastAsia="Noto Sans"/>
          <w:b/>
          <w:color w:val="B28B45"/>
          <w:sz w:val="18"/>
        </w:rPr>
        <w:t>HARVYRÐ</w:t>
      </w:r>
    </w:p>
    <w:p>
      <w:pPr>
        <w:pStyle w:val="Title"/>
        <w:spacing w:after="80"/>
        <w:jc w:val="center"/>
      </w:pPr>
      <w:r>
        <w:rPr>
          <w:rFonts w:ascii="Noto Serif" w:hAnsi="Noto Serif" w:eastAsia="Noto Serif"/>
          <w:b/>
          <w:color w:val="18264E"/>
          <w:sz w:val="44"/>
        </w:rPr>
        <w:t>POPOL VUH / POPOL WUJ</w:t>
      </w:r>
    </w:p>
    <w:p>
      <w:pPr>
        <w:spacing w:after="160"/>
        <w:jc w:val="center"/>
      </w:pPr>
      <w:r>
        <w:rPr>
          <w:rFonts w:ascii="Noto Serif" w:hAnsi="Noto Serif" w:eastAsia="Noto Serif"/>
          <w:color w:val="247F87"/>
          <w:sz w:val="26"/>
        </w:rPr>
        <w:t>Голоса, испытания и память К’иче’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2832000" cy="4248000"/>
            <wp:docPr id="1" name="Picture 1" descr="Авторская обложечная иллюстрация: кукуруза, горы, вода и раскрытая книга; это не изображение исторического артефакта" title="co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0"/>
        <w:jc w:val="center"/>
      </w:pPr>
      <w:r>
        <w:rPr>
          <w:rFonts w:ascii="Noto Serif" w:hAnsi="Noto Serif" w:eastAsia="Noto Serif"/>
          <w:i/>
          <w:color w:val="18264E"/>
          <w:sz w:val="18"/>
        </w:rPr>
        <w:t>Иллюстрированный авторский русский пересказ повествования K’iche’ — с примечаниями о рукописи и переводе</w:t>
      </w:r>
    </w:p>
    <w:p>
      <w:pPr>
        <w:spacing w:after="80"/>
        <w:ind w:firstLine="0"/>
        <w:jc w:val="center"/>
      </w:pPr>
      <w:r>
        <w:rPr>
          <w:rFonts w:ascii="Noto Serif" w:hAnsi="Noto Serif" w:eastAsia="Noto Serif"/>
          <w:i w:val="0"/>
          <w:color w:val="624B7D"/>
          <w:sz w:val="16"/>
        </w:rPr>
        <w:t>Книжный выпуск HARVYRÐ · черновик для чтения владельцем</w:t>
      </w:r>
    </w:p>
    <w:p>
      <w:pPr>
        <w:ind w:firstLine="0"/>
        <w:jc w:val="center"/>
      </w:pPr>
      <w:r>
        <w:rPr>
          <w:rFonts w:ascii="Noto Serif" w:hAnsi="Noto Serif" w:eastAsia="Noto Serif"/>
          <w:i/>
          <w:color w:val="6B6270"/>
          <w:sz w:val="14"/>
        </w:rPr>
        <w:t>Авторская обложечная иллюстрация: кукуруза, горы, вода и раскрытая книга; это не изображение исторического артефакта</w:t>
      </w:r>
    </w:p>
    <w:p>
      <w:r>
        <w:br w:type="page"/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Примечание к этому изданию</w:t>
      </w:r>
    </w:p>
    <w:p>
      <w:r>
        <w:rPr>
          <w:rFonts w:ascii="Noto Serif" w:hAnsi="Noto Serif" w:eastAsia="Noto Serif"/>
          <w:color w:val="252B42"/>
          <w:sz w:val="21"/>
        </w:rPr>
        <w:t>Эта книга — самостоятельный русский пересказ, а не полный перевод рукописи Франсиско Хименеса и не попытка восстановить единственный утраченный «первоначальный текст». В центре рассказа — Popol Wuj, повествование K’iche’, которое известно нам через длительную устную и письменную передачу, колониальную фиксацию и множество редакций.</w:t>
      </w:r>
    </w:p>
    <w:p>
      <w:r>
        <w:rPr>
          <w:rFonts w:ascii="Noto Serif" w:hAnsi="Noto Serif" w:eastAsia="Noto Serif"/>
          <w:color w:val="252B42"/>
          <w:sz w:val="21"/>
        </w:rPr>
        <w:t>Сохранившийся рукописный свидетель Ayer MS 1515 хранится в Newberry Library. С ним связана работа доминиканца Франсиско Хименеса: в рукописном комплексе есть текст на K’iche’, записанный латинским письмом, и испанская версия. Каталог Library of Congress датирует этот экземпляр 1700–1703 годами; Newberry описывает транскрипцию шире — 1700–1715. Это разные рамки описания, а не повод приписывать бумаге дату рождения самого повествования. Более ранние письменные формы и устные исполнения реконструируются косвенно. [Newberry] [LoC] [Harvard ReVista]</w:t>
      </w:r>
    </w:p>
    <w:p>
      <w:r>
        <w:rPr>
          <w:rFonts w:ascii="Noto Serif" w:hAnsi="Noto Serif" w:eastAsia="Noto Serif"/>
          <w:color w:val="252B42"/>
          <w:sz w:val="21"/>
        </w:rPr>
        <w:t xml:space="preserve">В этой книге мы говорим о том, что происходит </w:t>
      </w:r>
      <w:r>
        <w:rPr>
          <w:rFonts w:ascii="Noto Serif" w:hAnsi="Noto Serif" w:eastAsia="Noto Serif"/>
          <w:b/>
          <w:color w:val="252B42"/>
          <w:sz w:val="21"/>
        </w:rPr>
        <w:t>в повествовании</w:t>
      </w:r>
      <w:r>
        <w:rPr>
          <w:rFonts w:ascii="Noto Serif" w:hAnsi="Noto Serif" w:eastAsia="Noto Serif"/>
          <w:color w:val="252B42"/>
          <w:sz w:val="21"/>
        </w:rPr>
        <w:t xml:space="preserve">, отдельно от того, что исследователи </w:t>
      </w:r>
      <w:r>
        <w:rPr>
          <w:rFonts w:ascii="Noto Serif" w:hAnsi="Noto Serif" w:eastAsia="Noto Serif"/>
          <w:b/>
          <w:color w:val="252B42"/>
          <w:sz w:val="21"/>
        </w:rPr>
        <w:t>предполагают</w:t>
      </w:r>
      <w:r>
        <w:rPr>
          <w:rFonts w:ascii="Noto Serif" w:hAnsi="Noto Serif" w:eastAsia="Noto Serif"/>
          <w:color w:val="252B42"/>
          <w:sz w:val="21"/>
        </w:rPr>
        <w:t xml:space="preserve"> о его создании и политическом контексте. Историю предков нельзя автоматически читать как перечень независимо датированных правителей, а сакральные сюжеты — как универсальное описание всех народов Maya. Там, где речь идёт о научной гипотезе или современном K’iche’ прочтении, это обозначено рядом с утверждением.</w:t>
      </w:r>
    </w:p>
    <w:p>
      <w:r>
        <w:rPr>
          <w:rFonts w:ascii="Noto Serif" w:hAnsi="Noto Serif" w:eastAsia="Noto Serif"/>
          <w:color w:val="252B42"/>
          <w:sz w:val="21"/>
        </w:rPr>
        <w:t>Текст написан заново и не копирует современные переводы. События и имена изложены прозой; авторская разбивка на главы нужна только для удобства этого издания. Мы не имитируем устное исполнение и не выдаём собственный ритм за голос K’iche’ рассказчика. Написания Popol Wuj, K’iche’, Hunahpu, Xbalanque, Xquic и Xibalba выбраны для последовательности чтения; в других изданиях встречаются варианты.</w:t>
      </w:r>
    </w:p>
    <w:p>
      <w:r>
        <w:rPr>
          <w:rFonts w:ascii="Noto Serif" w:hAnsi="Noto Serif" w:eastAsia="Noto Serif"/>
          <w:color w:val="252B42"/>
          <w:sz w:val="21"/>
        </w:rPr>
        <w:t>К Popol Wuj относятся с глубоким уважением многие K’iche’ и другие Maya люди. Поэтому здесь нет инструкций, реконструкций закрытых обрядов или претензии объяснить одну «религию Maya». Современные голоса и права живых сообществ не заменяются древним текстом. [Newberry] [Multepal] Перед возможной публикацией следует дополнительно сверить написания K’iche’ имён и терминов с квалифицированным специалистом или носителем языка.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Оглавление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До того как появилась земля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Животные и первые попытки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Люди из жёлтой и белой кукурузы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Старшие братья и зов Шибальбы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Xquic у дерева калабасов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Детство близнецов и спрятанный мяч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Дорога в Шибальбу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Дома испытаний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Огонь, возвращение и финал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Предки и дорога к земле K’iche’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Дома, память и право на землю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Живой язык и открытое окончание</w:t>
      </w:r>
    </w:p>
    <w:p>
      <w:pPr>
        <w:pStyle w:val="ListNumber"/>
        <w:spacing w:after="80"/>
        <w:ind w:left="397" w:firstLine="0"/>
      </w:pPr>
      <w:r>
        <w:rPr>
          <w:rFonts w:ascii="Noto Serif" w:hAnsi="Noto Serif" w:eastAsia="Noto Serif"/>
          <w:color w:val="247F87"/>
          <w:sz w:val="21"/>
        </w:rPr>
        <w:t>Краткое исследовательское приложение</w:t>
      </w:r>
    </w:p>
    <w:p>
      <w:r>
        <w:br w:type="page"/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1. До того как появилась земля</w:t>
      </w:r>
    </w:p>
    <w:p>
      <w:r>
        <w:rPr>
          <w:rFonts w:ascii="Noto Serif" w:hAnsi="Noto Serif" w:eastAsia="Noto Serif"/>
          <w:color w:val="252B42"/>
          <w:sz w:val="21"/>
        </w:rPr>
        <w:t>В начале повествования ещё нет человеческого мира в привычном смысле. Нет населённых дорог, домов и полей. Земля не оформлена так, чтобы по ней можно было пройти. Вода и тишина предшествуют обжитому пространству.</w:t>
      </w:r>
    </w:p>
    <w:p>
      <w:r>
        <w:rPr>
          <w:rFonts w:ascii="Noto Serif" w:hAnsi="Noto Serif" w:eastAsia="Noto Serif"/>
          <w:color w:val="252B42"/>
          <w:sz w:val="21"/>
        </w:rPr>
        <w:t>Создатели советуются о том, каким должен стать мир и кто сможет в нём жить осмысленно. Это важный жест начала: мир возникает не после одиночного приказа, а после разговора и решения. Земля обретает очертания, поднимаются горы, появляются долины и русла. Речь в этом эпизоде действует как сила, способная придать миру форму. [AHA] [Smarthistory]</w:t>
      </w:r>
    </w:p>
    <w:p>
      <w:r>
        <w:rPr>
          <w:rFonts w:ascii="Noto Serif" w:hAnsi="Noto Serif" w:eastAsia="Noto Serif"/>
          <w:color w:val="252B42"/>
          <w:sz w:val="21"/>
        </w:rPr>
        <w:t>Мы не перечисляем здесь всех имён и титулов создателей. Переводы по-разному передают их написание, число и отношения. Для одного читательского пересказа было бы слишком уверенно представить этот ряд как единую неизменную схему божеств. Важно само действие: создатели думают о мире как о месте, где должны появиться существа, способные говорить и поддерживать отношения с тем, что их окружает. [NMAI] [Newberry]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4914000" cy="3276000"/>
            <wp:docPr id="2" name="Picture 2" descr="Авторская визуализация первой земли и животных; это не реконструкция древнего изображения" title="cre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firstLine="0"/>
        <w:jc w:val="center"/>
      </w:pPr>
      <w:r>
        <w:rPr>
          <w:rFonts w:ascii="Noto Serif" w:hAnsi="Noto Serif" w:eastAsia="Noto Serif"/>
          <w:i/>
          <w:color w:val="247F87"/>
          <w:sz w:val="17"/>
        </w:rPr>
        <w:t>Иллюстрация передаёт настроение начальной сцены, а не исторический пейзаж или рукописный оригинал.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[American Historical Association] [Smarthistory / Denver Art Museum] [Smithsonian National Museum of the American Indian] [Newberry Library].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2. Животные и первые попытки</w:t>
      </w:r>
    </w:p>
    <w:p>
      <w:r>
        <w:rPr>
          <w:rFonts w:ascii="Noto Serif" w:hAnsi="Noto Serif" w:eastAsia="Noto Serif"/>
          <w:color w:val="252B42"/>
          <w:sz w:val="21"/>
        </w:rPr>
        <w:t>Когда мир обретает места и границы, в нём появляются животные. У каждого — своя среда, свой способ двигаться и звучать. Но создатели ищут не просто жизнь. Они ждут существ, которые смогут отвечать им, помнить о них и участвовать в устройстве мира.</w:t>
      </w:r>
    </w:p>
    <w:p>
      <w:r>
        <w:rPr>
          <w:rFonts w:ascii="Noto Serif" w:hAnsi="Noto Serif" w:eastAsia="Noto Serif"/>
          <w:color w:val="252B42"/>
          <w:sz w:val="21"/>
        </w:rPr>
        <w:t>Животные не становятся такими собеседниками. Рассказ не унижает их и не превращает в неудачные копии человека. Они остаются частью созданного мира, но не исполняют роль, о которой думают создатели. Исследовательское чтение может видеть здесь язык обязательств между разными существами; это интерпретация учёных, а не отдельная реплика персонажа. [AHA] [Christenson]</w:t>
      </w:r>
    </w:p>
    <w:p>
      <w:r>
        <w:rPr>
          <w:rFonts w:ascii="Noto Serif" w:hAnsi="Noto Serif" w:eastAsia="Noto Serif"/>
          <w:color w:val="252B42"/>
          <w:sz w:val="21"/>
        </w:rPr>
        <w:t>Следующие попытки тоже не дают устойчивого результата. Существа из мягкой земли распадаются и не удерживают форму. Деревянные люди движутся и размножаются, но в повествовании не достигают нужной глубины речи и понимания. Эти эпизоды не следует читать как научную историю видов. Они показывают поиск способа существования, в котором телесная форма, память и способность к отношениям неразделимы. [AHA] [NMAI]</w:t>
      </w:r>
    </w:p>
    <w:p>
      <w:r>
        <w:rPr>
          <w:rFonts w:ascii="Noto Serif" w:hAnsi="Noto Serif" w:eastAsia="Noto Serif"/>
          <w:color w:val="252B42"/>
          <w:sz w:val="21"/>
        </w:rPr>
        <w:t>Каждая попытка оставляет вопрос: что значит быть человеком в мире, где жизнь предполагает не только дыхание, но и ответ? Повествование пока не отвечает одним определением. Оно продолжает испытание.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[American Historical Association] [Smithsonian National Museum of the American Indian] [Christenson, “Theology and Economy…”].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3. Люди из жёлтой и белой кукурузы</w:t>
      </w:r>
    </w:p>
    <w:p>
      <w:r>
        <w:rPr>
          <w:rFonts w:ascii="Noto Serif" w:hAnsi="Noto Serif" w:eastAsia="Noto Serif"/>
          <w:color w:val="252B42"/>
          <w:sz w:val="21"/>
        </w:rPr>
        <w:t>Затем рассказ ведёт к кукурузе. Животные указывают путь к зёрнам, из которых должны появиться новые люди. В конкретной доступной текстовой версии названы жёлтая и белая кукуруза; после её обработки вместе с водой она становится образным материалом человеческого тела. Это сюжетное описание одного K’iche’ текста, а не формула, которую можно переносить на все Maya традиции. [Purdue] [NMAI]</w:t>
      </w:r>
    </w:p>
    <w:p>
      <w:r>
        <w:rPr>
          <w:rFonts w:ascii="Noto Serif" w:hAnsi="Noto Serif" w:eastAsia="Noto Serif"/>
          <w:color w:val="252B42"/>
          <w:sz w:val="21"/>
        </w:rPr>
        <w:t>Появляются первые четыре человека. Их зрение и знание оказываются поначалу необычайно широкими. Они видят далеко и понимают больше, чем создатели готовы им оставить. Сердце Неба ограничивает их взгляд, так что ясным становится прежде всего близкое. В рассказе это не простое наказание за любопытство: это обозначение человеческой меры, границы между людьми и создателями. [Purdue]</w:t>
      </w:r>
    </w:p>
    <w:p>
      <w:r>
        <w:rPr>
          <w:rFonts w:ascii="Noto Serif" w:hAnsi="Noto Serif" w:eastAsia="Noto Serif"/>
          <w:color w:val="252B42"/>
          <w:sz w:val="21"/>
        </w:rPr>
        <w:t>Для современного K’iche’ комментатора, которого цитирует Национальный музей американских индейцев, кукуруза священна и связывает людей с предками, питая тело и дух. Это конкретный современный голос, а не универсальное объяснение всех представлений Maya. Мы сохраняем его именно как голос, а не превращаем в безличное правило. [NMAI]</w:t>
      </w:r>
    </w:p>
    <w:p>
      <w:r>
        <w:rPr>
          <w:rFonts w:ascii="Noto Serif" w:hAnsi="Noto Serif" w:eastAsia="Noto Serif"/>
          <w:color w:val="252B42"/>
          <w:sz w:val="21"/>
        </w:rPr>
        <w:t>Так кукуруза в повествовании не просто продукт поля. Она стоит у начала человеческой жизни и напоминает, что люди не возникают отдельно от земли и её даров. Что именно означает эта связь в разных K’iche’ сообществах и поколениях, нельзя исчерпать одной книгой.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4914000" cy="3276000"/>
            <wp:docPr id="3" name="Picture 3" descr="Авторская иллюстрация кукурузного поля и человеческих фигур; это не этнографическая реконструкция" title="maiz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z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firstLine="0"/>
        <w:jc w:val="center"/>
      </w:pPr>
      <w:r>
        <w:rPr>
          <w:rFonts w:ascii="Noto Serif" w:hAnsi="Noto Serif" w:eastAsia="Noto Serif"/>
          <w:i/>
          <w:color w:val="247F87"/>
          <w:sz w:val="17"/>
        </w:rPr>
        <w:t>Кукуруза и люди показаны как образная связь, а не документальная сцена создания.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[Smithsonian National Museum of the American Indian] [Purdue, текстовая версия Book 4] [Harvard ReVista].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4. Старшие братья и зов Шибальбы</w:t>
      </w:r>
    </w:p>
    <w:p>
      <w:r>
        <w:rPr>
          <w:rFonts w:ascii="Noto Serif" w:hAnsi="Noto Serif" w:eastAsia="Noto Serif"/>
          <w:color w:val="252B42"/>
          <w:sz w:val="21"/>
        </w:rPr>
        <w:t>Дальше повествование переносит нас к игре в мяч. Старшие братья — One Hunahpu и Seven Hunahpu — играют так, что шум достигает Шибальбы, подземного мира её владык. Оттуда приходит зов: братья должны спуститься и сыграть.</w:t>
      </w:r>
    </w:p>
    <w:p>
      <w:r>
        <w:rPr>
          <w:rFonts w:ascii="Noto Serif" w:hAnsi="Noto Serif" w:eastAsia="Noto Serif"/>
          <w:color w:val="252B42"/>
          <w:sz w:val="21"/>
        </w:rPr>
        <w:t>На дороге их ждут подмены и ловушки. Они обращаются к ложным фигурам, принимая их за настоящих хозяев. Скамья обжигает их. Затем им дают факел и сигары, которые нужно сохранить до утра; братья не справляются с условием. Владыки убивают гостей, а голову One Hunahpu помещают в крону дерева калабасов. [Mesoweb] [AHA]</w:t>
      </w:r>
    </w:p>
    <w:p>
      <w:r>
        <w:rPr>
          <w:rFonts w:ascii="Noto Serif" w:hAnsi="Noto Serif" w:eastAsia="Noto Serif"/>
          <w:color w:val="252B42"/>
          <w:sz w:val="21"/>
        </w:rPr>
        <w:t>Это поражение не завершает историю. Голова становится частью дерева, и дерево меняется: среди его плодов уже невозможно сразу различить её. Предмет игры, путешествие и растущее дерево связывают подземный эпизод с тем, что ещё произойдёт на земле.</w:t>
      </w:r>
    </w:p>
    <w:p>
      <w:r>
        <w:rPr>
          <w:rFonts w:ascii="Noto Serif" w:hAnsi="Noto Serif" w:eastAsia="Noto Serif"/>
          <w:color w:val="252B42"/>
          <w:sz w:val="21"/>
        </w:rPr>
        <w:t>Имена One Hunahpu и Seven Hunahpu сохраняются здесь в форме, привычной по англоязычным пересказам. Это не попытка объявить её единственно верной транслитерацией K’iche’. В этой книге мы избегаем обширных этимологических пояснений, если источники не дают для них надёжной опоры.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5. Xquic у дерева калабасов</w:t>
      </w:r>
    </w:p>
    <w:p>
      <w:r>
        <w:rPr>
          <w:rFonts w:ascii="Noto Serif" w:hAnsi="Noto Serif" w:eastAsia="Noto Serif"/>
          <w:color w:val="252B42"/>
          <w:sz w:val="21"/>
        </w:rPr>
        <w:t>Xquic слышит о необычном дереве и приходит посмотреть на его плоды. Там она встречается с головой One Hunahpu. Из этой встречи возникает беременность — событие, которое открывает путь младшим близнецам.</w:t>
      </w:r>
    </w:p>
    <w:p>
      <w:r>
        <w:rPr>
          <w:rFonts w:ascii="Noto Serif" w:hAnsi="Noto Serif" w:eastAsia="Noto Serif"/>
          <w:color w:val="252B42"/>
          <w:sz w:val="21"/>
        </w:rPr>
        <w:t>Владыки Шибальбы считают, что Xquic нарушила их власть, и требуют её казнить. Но посланные с ней совы помогают обойти приказ: вместо сердца, которое требуют предъявить, появляется древесный сок. Xquic остаётся жива и отправляется к матери погибшего One Hunahpu. Она входит в дом, который прежде не знал о её существовании, и называет себя частью его семейной истории. [Mesoweb]</w:t>
      </w:r>
    </w:p>
    <w:p>
      <w:r>
        <w:rPr>
          <w:rFonts w:ascii="Noto Serif" w:hAnsi="Noto Serif" w:eastAsia="Noto Serif"/>
          <w:color w:val="252B42"/>
          <w:sz w:val="21"/>
        </w:rPr>
        <w:t>Здесь важны переходы: дерево хранит след погибшего, Xquic спасает будущую жизнь, а дом становится местом встречи поколений. Мы не превращаем этот эпизод в универсальную теорию материнства или в рассказ о реальном историческом случае. Это сцена внутри конкретного повествования.</w:t>
      </w:r>
    </w:p>
    <w:p>
      <w:r>
        <w:rPr>
          <w:rFonts w:ascii="Noto Serif" w:hAnsi="Noto Serif" w:eastAsia="Noto Serif"/>
          <w:color w:val="252B42"/>
          <w:sz w:val="21"/>
        </w:rPr>
        <w:t>В некоторых пересказах Xquic называют Blood Woman. В этой книге мы оставляем имя Xquic и не смешиваем его с переводным эпитетом. Разные переводы могут по-разному расставлять акценты и пояснять имя; ни одно англоязычное решение само по себе не отменяет K’iche’ формы. [AHA] [Mesoweb]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6. Детство близнецов и спрятанный мяч</w:t>
      </w:r>
    </w:p>
    <w:p>
      <w:r>
        <w:rPr>
          <w:rFonts w:ascii="Noto Serif" w:hAnsi="Noto Serif" w:eastAsia="Noto Serif"/>
          <w:color w:val="252B42"/>
          <w:sz w:val="21"/>
        </w:rPr>
        <w:t>Xquic рождает Hunahpu и Xbalanque. Они растут рядом с бабушкой и старшими родственниками. Дом не встречает их безусловно: близнецов отталкивают, а их старшие кузены соперничают с ними. В ответ младшие братья прибегают к хитрости, и кузены оказываются превращены в обезьян. [Mesoweb] [AHA]</w:t>
      </w:r>
    </w:p>
    <w:p>
      <w:r>
        <w:rPr>
          <w:rFonts w:ascii="Noto Serif" w:hAnsi="Noto Serif" w:eastAsia="Noto Serif"/>
          <w:color w:val="252B42"/>
          <w:sz w:val="21"/>
        </w:rPr>
        <w:t>Затем близнецы пытаются расчистить поле, но работа будто не держится: на следующий день участок снова зарос. Их помощниками становятся животные. Пойманная крыса рассказывает о спрятанном мяче и снаряжении их отцов. Предметы лежат высоко, под крышей, где их не достали раньше.</w:t>
      </w:r>
    </w:p>
    <w:p>
      <w:r>
        <w:rPr>
          <w:rFonts w:ascii="Noto Serif" w:hAnsi="Noto Serif" w:eastAsia="Noto Serif"/>
          <w:color w:val="252B42"/>
          <w:sz w:val="21"/>
        </w:rPr>
        <w:t>Чтобы вынуть их, братья отвлекают взрослых и действуют вместе. Когда мяч снова ударяет о землю, игра звучит так, что её слышат в Шибальбе. Владыки понимают: история старших братьев повторяется — но на этот раз к ним идут другие игроки.</w:t>
      </w:r>
    </w:p>
    <w:p>
      <w:r>
        <w:rPr>
          <w:rFonts w:ascii="Noto Serif" w:hAnsi="Noto Serif" w:eastAsia="Noto Serif"/>
          <w:color w:val="252B42"/>
          <w:sz w:val="21"/>
        </w:rPr>
        <w:t>Мяч здесь не просто спортивный предмет. В структуре рассказа он переносит наследие между поколениями. Близнецы не получают готового рассказа о своих отцах; они находят их след через вещи, совет животных и собственное действие. Это литературный вывод о последовательности эпизодов, а не универсальная мораль текста.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7. Дорога в Шибальбу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4914000" cy="3276000"/>
            <wp:docPr id="4" name="Picture 4" descr="Авторская иллюстрация близнецов у входа в тёмную долину; это художественная визуализация, не реконструкция обряда или археологического объекта" title="twi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firstLine="0"/>
        <w:jc w:val="center"/>
      </w:pPr>
      <w:r>
        <w:rPr>
          <w:rFonts w:ascii="Noto Serif" w:hAnsi="Noto Serif" w:eastAsia="Noto Serif"/>
          <w:i/>
          <w:color w:val="247F87"/>
          <w:sz w:val="17"/>
        </w:rPr>
        <w:t>Близнецы и мяч показаны как персонажи повествования; архитектурный образ не утверждает конкретное место действия.</w:t>
      </w:r>
    </w:p>
    <w:p>
      <w:r>
        <w:rPr>
          <w:rFonts w:ascii="Noto Serif" w:hAnsi="Noto Serif" w:eastAsia="Noto Serif"/>
          <w:color w:val="252B42"/>
          <w:sz w:val="21"/>
        </w:rPr>
        <w:t>Hunahpu и Xbalanque отправляются туда, где погибли их отцы. Они не идут вслепую. Дорога разветвляется, реки и перекрёстки проверяют путника; братья выбирают путь, который позволяет им не повторить прежние ошибки.</w:t>
      </w:r>
    </w:p>
    <w:p>
      <w:r>
        <w:rPr>
          <w:rFonts w:ascii="Noto Serif" w:hAnsi="Noto Serif" w:eastAsia="Noto Serif"/>
          <w:color w:val="252B42"/>
          <w:sz w:val="21"/>
        </w:rPr>
        <w:t>Первый обман — приветствовать деревянные изображения, будто это владыки. Близнецы не попадаются на него. Затем они сталкиваются с сидящими в зале фигурами, часть которых снова лишь подобие. Москит кусает тех, кто должен быть назван по имени. По их реакции братья узнают, кто действительно присутствует. [Mesoweb]</w:t>
      </w:r>
    </w:p>
    <w:p>
      <w:r>
        <w:rPr>
          <w:rFonts w:ascii="Noto Serif" w:hAnsi="Noto Serif" w:eastAsia="Noto Serif"/>
          <w:color w:val="252B42"/>
          <w:sz w:val="21"/>
        </w:rPr>
        <w:t>Обнаружив настоящих владык, близнецы приветствуют их правильно и не садятся на обжигающую скамью. Испытание пройдено не силой, а вниманием: они проверяют, что видят, слушают и называют. Повествование ставит рядом наблюдательность и уважительное обращение — но не превращает сцену в практическое руководство или предписание для читателя.</w:t>
      </w:r>
    </w:p>
    <w:p>
      <w:r>
        <w:rPr>
          <w:rFonts w:ascii="Noto Serif" w:hAnsi="Noto Serif" w:eastAsia="Noto Serif"/>
          <w:color w:val="252B42"/>
          <w:sz w:val="21"/>
        </w:rPr>
        <w:t>Шибальба встречает их как место, где порядок нарочно подменён. Каждая вещь может оказаться ловушкой. Каждый ответ требует не только смелости, но и проверки.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8. Дома испытаний</w:t>
      </w:r>
    </w:p>
    <w:p>
      <w:r>
        <w:rPr>
          <w:rFonts w:ascii="Noto Serif" w:hAnsi="Noto Serif" w:eastAsia="Noto Serif"/>
          <w:color w:val="252B42"/>
          <w:sz w:val="21"/>
        </w:rPr>
        <w:t>Владыки требуют, чтобы братья выдержали ряд испытаний в специальных домах. В повествовательных пересказах названы Дом Бритв, Холодный дом, Дом Ягуаров, Огненный дом и Дом Летучих мышей. Это не каталог реальных церемоний; это последовательность испытаний внутри истории. [Mesoweb]</w:t>
      </w:r>
    </w:p>
    <w:p>
      <w:r>
        <w:rPr>
          <w:rFonts w:ascii="Noto Serif" w:hAnsi="Noto Serif" w:eastAsia="Noto Serif"/>
          <w:color w:val="252B42"/>
          <w:sz w:val="21"/>
        </w:rPr>
        <w:t>Каждый дом проверяет иной предел. В одном грозит острая сталь. В другом — холод. Затем появляются ягуары и огонь. Братья находят способы пережить опасность, используя помощь друг друга и животных, которые включаются в их путь. Испытания отличаются, но общий узор повторяется: Шибальба хочет, чтобы гости приняли навязанные условия за неизбежные; близнецы ищут в них слабое место.</w:t>
      </w:r>
    </w:p>
    <w:p>
      <w:r>
        <w:rPr>
          <w:rFonts w:ascii="Noto Serif" w:hAnsi="Noto Serif" w:eastAsia="Noto Serif"/>
          <w:color w:val="252B42"/>
          <w:sz w:val="21"/>
        </w:rPr>
        <w:t>Самое опасное испытание ждёт их среди летучих мышей. Hunahpu скрывается в духовой трубке, но, высунувшись, теряет голову. Xbalanque не бросает брата. Он временно заменяет голову плодом и использует ситуацию так, чтобы вернуть настоящую на место. История опять связывает поражение с восстановлением — хотя оно не гарантировано и требует точного действия. [Mesoweb]</w:t>
      </w:r>
    </w:p>
    <w:p>
      <w:r>
        <w:rPr>
          <w:rFonts w:ascii="Noto Serif" w:hAnsi="Noto Serif" w:eastAsia="Noto Serif"/>
          <w:color w:val="252B42"/>
          <w:sz w:val="21"/>
        </w:rPr>
        <w:t>Мы не добавляем к этому эпизоду готовую формулу вроде «добро всегда побеждает». В повествовании успех близнецов зависит от конкретного знания, верных помощников и умения не действовать по правилам, навязанным врагом. Любая более широкая мораль была бы уже интерпретацией.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9. Огонь, возвращение и финал</w:t>
      </w:r>
    </w:p>
    <w:p>
      <w:r>
        <w:rPr>
          <w:rFonts w:ascii="Noto Serif" w:hAnsi="Noto Serif" w:eastAsia="Noto Serif"/>
          <w:color w:val="252B42"/>
          <w:sz w:val="21"/>
        </w:rPr>
        <w:t>Пройдя дома, близнецы принимают вызов, который нельзя пережить обычным способом. Они входят в огонь и погибают. Владыки измельчают их кости и бросают их в реку. Но на этом рассказ не останавливается: братья возвращаются сначала в рыбьем облике, затем — как странствующие исполнители, показывающие необычные представления. [Mesoweb]</w:t>
      </w:r>
    </w:p>
    <w:p>
      <w:r>
        <w:rPr>
          <w:rFonts w:ascii="Noto Serif" w:hAnsi="Noto Serif" w:eastAsia="Noto Serif"/>
          <w:color w:val="252B42"/>
          <w:sz w:val="21"/>
        </w:rPr>
        <w:t>Владыки приглашают незнакомцев показать свои способности. Те изображают разрушение и восстановление, смерть и возвращение. Увидев это, хозяева просят испытать трюк на них. Близнецы убивают двух главных владык, но не возвращают их. Обманчивая власть Шибальбы теряет опору. [Mesoweb] [NMAI]</w:t>
      </w:r>
    </w:p>
    <w:p>
      <w:r>
        <w:rPr>
          <w:rFonts w:ascii="Noto Serif" w:hAnsi="Noto Serif" w:eastAsia="Noto Serif"/>
          <w:color w:val="252B42"/>
          <w:sz w:val="21"/>
        </w:rPr>
        <w:t>Финальные детали в пересказах могут различаться. В музейном изложении Smithsonian NMAI и в пересказе Mesoweb близнецы восходят как солнце и луна; Mesoweb также связывает One Hunahpu с кукурузой. Мы передаём это как содержание конкретных современных изложений, а не как бесспорную астрономическую или религиоведческую формулу. [NMAI] [Mesoweb]</w:t>
      </w:r>
    </w:p>
    <w:p>
      <w:r>
        <w:rPr>
          <w:rFonts w:ascii="Noto Serif" w:hAnsi="Noto Serif" w:eastAsia="Noto Serif"/>
          <w:color w:val="252B42"/>
          <w:sz w:val="21"/>
        </w:rPr>
        <w:t>Так завершается путь через подземный мир, но не вся книга. Поздние части обращают внимание на предков K’iche’, их странствия, линии власти и память о земле. Герои возвращают будущее не только себе: их история соединяется с историей сообщества.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[Mesoweb, “The Hero Twins”] [Smithsonian National Museum of the American Indian] [American Historical Association].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10. Предки и дорога к земле K’iche’</w:t>
      </w:r>
    </w:p>
    <w:p>
      <w:r>
        <w:rPr>
          <w:rFonts w:ascii="Noto Serif" w:hAnsi="Noto Serif" w:eastAsia="Noto Serif"/>
          <w:color w:val="252B42"/>
          <w:sz w:val="21"/>
        </w:rPr>
        <w:t>После историй о создании и близнецах повествование переходит к предкам K’iche’ и движению к землям, которые называются K’iche’. Оно рассказывает о происхождении, странствиях и возникновении порядка. Это не современная хронологическая летопись: порядок текста не обязательно совпадает с последовательностью событий в линейном времени. [Harvard ReVista] [Multepal]</w:t>
      </w:r>
    </w:p>
    <w:p>
      <w:r>
        <w:rPr>
          <w:rFonts w:ascii="Noto Serif" w:hAnsi="Noto Serif" w:eastAsia="Noto Serif"/>
          <w:color w:val="252B42"/>
          <w:sz w:val="21"/>
        </w:rPr>
        <w:t>Среди фигур этой памяти — четыре первопредка, часто передаваемые как B’alam Ki’tze’, B’alam Aq’ab, Majukutaj и Iq’i B’alam. В этой книге мы называем их первопредками повествования, а не независимо датированными царями. Их функция — связать происхождение, путь и принадлежность к домам и линиям K’iche’. [Harvard ReVista] [Princeton Multepal]</w:t>
      </w:r>
    </w:p>
    <w:p>
      <w:r>
        <w:rPr>
          <w:rFonts w:ascii="Noto Serif" w:hAnsi="Noto Serif" w:eastAsia="Noto Serif"/>
          <w:color w:val="252B42"/>
          <w:sz w:val="21"/>
        </w:rPr>
        <w:t>В рассказе появляется Tulán — место сакрально-исторического происхождения, связанное с властью и переходом предков к новым землям. Исследователи предлагали отождествлять его с конкретными местами, в том числе с Чичен-Ицей; такое отождествление остаётся гипотезой, а не установленной точкой на карте. Внутри повествования важнее то, что география хранит память об истоке и даёт язык, на котором можно говорить о праве и принадлежности. [LoC, обзор Florescano]</w:t>
      </w:r>
    </w:p>
    <w:p>
      <w:pPr>
        <w:spacing w:before="80" w:after="60"/>
        <w:ind w:firstLine="0"/>
        <w:jc w:val="center"/>
        <w:pBdr>
          <w:top w:val="single" w:sz="7" w:space="5" w:color="B28B45"/>
          <w:left w:val="single" w:sz="7" w:space="5" w:color="B28B45"/>
          <w:bottom w:val="single" w:sz="7" w:space="5" w:color="B28B45"/>
          <w:right w:val="single" w:sz="7" w:space="5" w:color="B28B45"/>
        </w:pBdr>
      </w:pPr>
      <w:r>
        <w:drawing>
          <wp:inline xmlns:a="http://schemas.openxmlformats.org/drawingml/2006/main" xmlns:pic="http://schemas.openxmlformats.org/drawingml/2006/picture">
            <wp:extent cx="4914000" cy="3276000"/>
            <wp:docPr id="5" name="Picture 5" descr="Авторская визуализация пути и памяти о земле; изображение не документирует миграцию или исторических людей" title="line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ind w:firstLine="0"/>
        <w:jc w:val="center"/>
      </w:pPr>
      <w:r>
        <w:rPr>
          <w:rFonts w:ascii="Noto Serif" w:hAnsi="Noto Serif" w:eastAsia="Noto Serif"/>
          <w:i/>
          <w:color w:val="247F87"/>
          <w:sz w:val="17"/>
        </w:rPr>
        <w:t>Путь показан как современная художественная метафора, а не реконструкция конкретного исторического маршрута.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[Harvard ReVista] [Princeton Multepal Project] [Library of Congress, обзор Tulán].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11. Дома, память и право на землю</w:t>
      </w:r>
    </w:p>
    <w:p>
      <w:r>
        <w:rPr>
          <w:rFonts w:ascii="Noto Serif" w:hAnsi="Noto Serif" w:eastAsia="Noto Serif"/>
          <w:color w:val="252B42"/>
          <w:sz w:val="21"/>
        </w:rPr>
        <w:t>Родословные поздней части — это не только перечень родственников. Повествование связывает происхождение с коллективными домами, должностями, авторитетом и правом говорить от имени общности. Оно даёт K’iche’ способ рассказывать о том, откуда пришли предки и почему определённые линии занимают своё место.</w:t>
      </w:r>
    </w:p>
    <w:p>
      <w:r>
        <w:rPr>
          <w:rFonts w:ascii="Noto Serif" w:hAnsi="Noto Serif" w:eastAsia="Noto Serif"/>
          <w:color w:val="252B42"/>
          <w:sz w:val="21"/>
        </w:rPr>
        <w:t>Рядом с Popol Wuj существует Título de Totonicapán — колониальный земельный документ K’iche’, завершённый в 1554 году. Он тоже связывает предков, историю и права на землю, но не совпадает с Popol Wuj во всех деталях. Такие сходства и расхождения помогают увидеть, что разные тексты могли сохранять разные перспективы и одновременно действовать в мире колониальных правовых споров. [University Press of Colorado] [Quiroa]</w:t>
      </w:r>
    </w:p>
    <w:p>
      <w:r>
        <w:rPr>
          <w:rFonts w:ascii="Noto Serif" w:hAnsi="Noto Serif" w:eastAsia="Noto Serif"/>
          <w:color w:val="252B42"/>
          <w:sz w:val="21"/>
        </w:rPr>
        <w:t>Это сопоставление требует осторожности. Título — не нейтральная летопись, свободная от политических интересов; исследователи описывают подобные документы как местные исторические рассказы и юридические аргументы, создававшиеся в условиях испанского суда. А гипотеза о том, что Popol Wuj отражал позицию одной из фракций K’iche’, принадлежит конкретному исследователю и не должна подаваться как установленное намерение всех создателей текста. [Quiroa] [van Akkeren]</w:t>
      </w:r>
    </w:p>
    <w:p>
      <w:r>
        <w:rPr>
          <w:rFonts w:ascii="Noto Serif" w:hAnsi="Noto Serif" w:eastAsia="Noto Serif"/>
          <w:color w:val="252B42"/>
          <w:sz w:val="21"/>
        </w:rPr>
        <w:t>Здесь история предков не отделяется от земли. Сохранять память — значит не только рассказывать о прошлом, но и утверждать, кто имеет право жить на своей земле, говорить о ней и принимать решения. Это вывод о функции таких текстов и их колониальном контексте, а не доказательство каждой отдельной миграции или битвы.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[University Press of Colorado, </w:t>
      </w:r>
      <w:r>
        <w:rPr>
          <w:rFonts w:ascii="Noto Serif" w:hAnsi="Noto Serif" w:eastAsia="Noto Serif"/>
          <w:i/>
          <w:color w:val="624B7D"/>
          <w:sz w:val="21"/>
        </w:rPr>
        <w:t>The Title of Totonicapán</w:t>
      </w:r>
      <w:r>
        <w:rPr>
          <w:rFonts w:ascii="Noto Serif" w:hAnsi="Noto Serif" w:eastAsia="Noto Serif"/>
          <w:color w:val="252B42"/>
          <w:sz w:val="21"/>
        </w:rPr>
        <w:t>] [Quiroa] [van Akkeren, “Authors of the Popol Wuj”].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12. Живой язык и открытое окончание</w:t>
      </w:r>
    </w:p>
    <w:p>
      <w:r>
        <w:rPr>
          <w:rFonts w:ascii="Noto Serif" w:hAnsi="Noto Serif" w:eastAsia="Noto Serif"/>
          <w:color w:val="252B42"/>
          <w:sz w:val="21"/>
        </w:rPr>
        <w:t>Popol Wuj дошёл до нас не как немой предмет. K’iche’ — живой язык. Университет Нью-Мексико хранит архив из 149 аудиозаписанных и расшифрованных K’iche’ историй, собранных в западной Гватемале в 1960–1970-х годах; записи и транскрипции проверяли носители языка. Это самостоятельный документальный проект, а не доказательство того, что любая современная история буквально повторяет рукопись начала XVIII века. [UNM]</w:t>
      </w:r>
    </w:p>
    <w:p>
      <w:r>
        <w:rPr>
          <w:rFonts w:ascii="Noto Serif" w:hAnsi="Noto Serif" w:eastAsia="Noto Serif"/>
          <w:color w:val="252B42"/>
          <w:sz w:val="21"/>
        </w:rPr>
        <w:t>Академия языков Maya Гватемалы приводит для K’iche’ 1 680 551 говорящего по переписи 2018 года. Такое число следует указывать только вместе с источником и годом. Оно напоминает о масштабе живого языка, но за ним стоят люди и разные сообщества, а не единый голос. [ALMG]</w:t>
      </w:r>
    </w:p>
    <w:p>
      <w:r>
        <w:rPr>
          <w:rFonts w:ascii="Noto Serif" w:hAnsi="Noto Serif" w:eastAsia="Noto Serif"/>
          <w:color w:val="252B42"/>
          <w:sz w:val="21"/>
        </w:rPr>
        <w:t>Совместный проект Multepal подчёркивает уважение к Indigenous data sovereignty и сотрудничество с K’iche’ участниками при создании цифровых материалов. Это позиция конкретного проекта, не универсальное заявление обо всех сообществах. Но она предлагает важную редакторскую дисциплину: спрашивать, кто говорит, кто хранит знание и на чьих условиях его показывают. [Multepal]</w:t>
      </w:r>
    </w:p>
    <w:p>
      <w:r>
        <w:rPr>
          <w:rFonts w:ascii="Noto Serif" w:hAnsi="Noto Serif" w:eastAsia="Noto Serif"/>
          <w:color w:val="252B42"/>
          <w:sz w:val="21"/>
        </w:rPr>
        <w:t>Эта книга заканчивается не разгадкой «мира Maya», а признанием границ собственного пересказа. Мы читали текст, прошедший через устную передачу, колониальную запись, перевод и архив. Перед нами — не единственный неизменный оригинал и не замена современным K’iche’ голосам. Рассказ остаётся открытым, потому что его память живёт не только на странице.</w:t>
      </w:r>
    </w:p>
    <w:p>
      <w:pPr>
        <w:spacing w:before="160" w:after="100"/>
        <w:ind w:firstLine="0" w:left="170" w:right="113"/>
        <w:shd w:fill="F0EDF3"/>
        <w:pBdr>
          <w:left w:val="single" w:sz="18" w:space="8" w:color="624B7D"/>
        </w:pBdr>
      </w:pPr>
      <w:r>
        <w:rPr>
          <w:rFonts w:ascii="Noto Serif" w:hAnsi="Noto Serif" w:eastAsia="Noto Serif"/>
          <w:b/>
          <w:color w:val="252B42"/>
          <w:sz w:val="21"/>
        </w:rPr>
        <w:t>Источники к главе:</w:t>
      </w:r>
      <w:r>
        <w:rPr>
          <w:rFonts w:ascii="Noto Serif" w:hAnsi="Noto Serif" w:eastAsia="Noto Serif"/>
          <w:color w:val="252B42"/>
          <w:sz w:val="21"/>
        </w:rPr>
        <w:t xml:space="preserve"> [UNM K’iche’ Maya Oral History Project] [ALMG] [Multepal].</w:t>
      </w:r>
    </w:p>
    <w:p>
      <w:pPr>
        <w:pStyle w:val="Heading1"/>
        <w:spacing w:before="100" w:after="220"/>
        <w:ind w:firstLine="0"/>
        <w:shd w:fill="E9EEF0"/>
        <w:pBdr>
          <w:left w:val="single" w:sz="18" w:space="8" w:color="B28B45"/>
        </w:pBdr>
      </w:pPr>
      <w:r>
        <w:rPr>
          <w:rFonts w:ascii="Noto Sans" w:hAnsi="Noto Sans" w:eastAsia="Noto Sans"/>
          <w:color w:val="B28B45"/>
          <w:sz w:val="16"/>
        </w:rPr>
        <w:t>✦   ✧   ✦</w:t>
        <w:br/>
      </w:r>
      <w:r>
        <w:rPr>
          <w:rFonts w:ascii="Noto Serif" w:hAnsi="Noto Serif" w:eastAsia="Noto Serif"/>
          <w:color w:val="252B42"/>
          <w:sz w:val="21"/>
        </w:rPr>
        <w:t>13. Краткое исследовательское приложение</w:t>
      </w:r>
    </w:p>
    <w:p>
      <w:pPr>
        <w:pStyle w:val="Heading2"/>
        <w:ind w:firstLine="0"/>
      </w:pPr>
      <w:r>
        <w:rPr>
          <w:rFonts w:ascii="Noto Serif" w:hAnsi="Noto Serif" w:eastAsia="Noto Serif"/>
          <w:color w:val="252B42"/>
          <w:sz w:val="21"/>
        </w:rPr>
        <w:t>Что именно здесь называется рукописью</w:t>
      </w:r>
    </w:p>
    <w:p>
      <w:r>
        <w:rPr>
          <w:rFonts w:ascii="Noto Serif" w:hAnsi="Noto Serif" w:eastAsia="Noto Serif"/>
          <w:color w:val="252B42"/>
          <w:sz w:val="21"/>
        </w:rPr>
        <w:t>Ayer MS 1515 — сохранившийся колониальный рукописный комплекс Newberry Library, связанный с Франсиско Хименесом. В нём находится K’iche’ текст латинским письмом и испанская версия. Library of Congress описывает Popol Vuh-часть как 1700–1703 годы; Newberry даёт более широкий диапазон 1700–1715 для транскрипции и связанного корпуса. Упоминание предполагаемой записи 1554–1558 годов относится к научной реконструкции более ранней формы. Самостоятельный рукописный экземпляр этой ранней записи не сохранился. [Newberry] [LoC] [Multepal]</w:t>
      </w:r>
    </w:p>
    <w:p>
      <w:r>
        <w:rPr>
          <w:rFonts w:ascii="Noto Serif" w:hAnsi="Noto Serif" w:eastAsia="Noto Serif"/>
          <w:color w:val="252B42"/>
          <w:sz w:val="21"/>
        </w:rPr>
        <w:t>Поэтому в этой книге различаются три уровня: материальный свидетель, который можно исследовать в архиве; предполагаемые ранние письменные и устные формы; гипотетическая более ранняя композиция. Слово «оригинал» без объяснения смешало бы эти уровни и создало бы неверное впечатление.</w:t>
      </w:r>
    </w:p>
    <w:p>
      <w:pPr>
        <w:pStyle w:val="Heading2"/>
        <w:ind w:firstLine="0"/>
      </w:pPr>
      <w:r>
        <w:rPr>
          <w:rFonts w:ascii="Noto Serif" w:hAnsi="Noto Serif" w:eastAsia="Noto Serif"/>
          <w:color w:val="252B42"/>
          <w:sz w:val="21"/>
        </w:rPr>
        <w:t>Короткая заметка о переводе и именах</w:t>
      </w:r>
    </w:p>
    <w:p>
      <w:r>
        <w:rPr>
          <w:rFonts w:ascii="Noto Serif" w:hAnsi="Noto Serif" w:eastAsia="Noto Serif"/>
          <w:color w:val="252B42"/>
          <w:sz w:val="21"/>
        </w:rPr>
        <w:t>Русский текст — авторский пересказ по институциональным описаниям, исследовательским публикациям и сюжетным обзорам. Он не следует близко ни одному современному переводу. Повествование сжато и разделено на главы заново. Имена и термины приведены к одной удобной для чтения системе, но иные написания могут отражать другие издания, диалекты или редакторские решения. Для научного или коммерческого издания потребуется дополнительная сверка K’iche’ написаний с квалифицированным специалистом и консультация с современными K’iche’ участниками.</w:t>
      </w:r>
    </w:p>
    <w:p>
      <w:pPr>
        <w:pStyle w:val="Heading2"/>
        <w:ind w:firstLine="0"/>
      </w:pPr>
      <w:r>
        <w:rPr>
          <w:rFonts w:ascii="Noto Serif" w:hAnsi="Noto Serif" w:eastAsia="Noto Serif"/>
          <w:color w:val="252B42"/>
          <w:sz w:val="21"/>
        </w:rPr>
        <w:t>Источники по главам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Примечание, рукопись и передача:</w:t>
      </w:r>
      <w:r>
        <w:rPr>
          <w:rFonts w:ascii="Noto Serif" w:hAnsi="Noto Serif" w:eastAsia="Noto Serif"/>
          <w:color w:val="252B42"/>
          <w:sz w:val="18"/>
        </w:rPr>
        <w:t xml:space="preserve"> [Newberry Library] [Library of Congress] [Harvard ReVista] [Multepal].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Главы 1–3, создание мира и кукурузные люди:</w:t>
      </w:r>
      <w:r>
        <w:rPr>
          <w:rFonts w:ascii="Noto Serif" w:hAnsi="Noto Serif" w:eastAsia="Noto Serif"/>
          <w:color w:val="252B42"/>
          <w:sz w:val="18"/>
        </w:rPr>
        <w:t xml:space="preserve"> [American Historical Association] [Smithsonian National Museum of the American Indian] [Smarthistory / Denver Art Museum] [Purdue, текстовая версия Book 4].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Главы 4–9, близнецы и Шибальба:</w:t>
      </w:r>
      <w:r>
        <w:rPr>
          <w:rFonts w:ascii="Noto Serif" w:hAnsi="Noto Serif" w:eastAsia="Noto Serif"/>
          <w:color w:val="252B42"/>
          <w:sz w:val="18"/>
        </w:rPr>
        <w:t xml:space="preserve"> [Mesoweb, “The Hero Twins”] [American Historical Association] [Smithsonian National Museum of the American Indian].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Главы 10–11, предки, земля и поздняя историческая часть:</w:t>
      </w:r>
      <w:r>
        <w:rPr>
          <w:rFonts w:ascii="Noto Serif" w:hAnsi="Noto Serif" w:eastAsia="Noto Serif"/>
          <w:color w:val="252B42"/>
          <w:sz w:val="18"/>
        </w:rPr>
        <w:t xml:space="preserve"> [Harvard ReVista] [Princeton Multepal Project] [Library of Congress, обзор Florescano] [University Press of Colorado] [Quiroa] [van Akkeren].</w:t>
      </w:r>
    </w:p>
    <w:p>
      <w:pPr>
        <w:pStyle w:val="ListBullet"/>
        <w:spacing w:after="20" w:line="259" w:lineRule="auto"/>
        <w:ind w:left="397" w:firstLine="0"/>
      </w:pPr>
      <w:r>
        <w:rPr>
          <w:rFonts w:ascii="Noto Serif" w:hAnsi="Noto Serif" w:eastAsia="Noto Serif"/>
          <w:b/>
          <w:color w:val="252B42"/>
          <w:sz w:val="18"/>
        </w:rPr>
        <w:t>Глава 12, живой язык и совместная работа:</w:t>
      </w:r>
      <w:r>
        <w:rPr>
          <w:rFonts w:ascii="Noto Serif" w:hAnsi="Noto Serif" w:eastAsia="Noto Serif"/>
          <w:color w:val="252B42"/>
          <w:sz w:val="18"/>
        </w:rPr>
        <w:t xml:space="preserve"> [UNM K’iche’ Maya Oral History Project] [ALMG] [Multepal].</w:t>
      </w:r>
    </w:p>
    <w:p>
      <w:pPr>
        <w:pStyle w:val="Heading2"/>
        <w:ind w:firstLine="0"/>
      </w:pPr>
      <w:r>
        <w:rPr>
          <w:rFonts w:ascii="Noto Serif" w:hAnsi="Noto Serif" w:eastAsia="Noto Serif"/>
          <w:color w:val="252B42"/>
          <w:sz w:val="21"/>
        </w:rPr>
        <w:t>Краткий список источников</w:t>
      </w:r>
    </w:p>
    <w:p>
      <w:pPr>
        <w:spacing w:before="40" w:after="40" w:line="252" w:lineRule="auto"/>
        <w:ind w:firstLine="0"/>
        <w:shd w:fill="E9EEF0"/>
        <w:pBdr>
          <w:left w:val="single" w:sz="18" w:space="8" w:color="B28B45"/>
        </w:pBdr>
      </w:pPr>
      <w:r>
        <w:rPr>
          <w:rFonts w:ascii="Noto Serif" w:hAnsi="Noto Serif" w:eastAsia="Noto Serif"/>
          <w:b/>
          <w:color w:val="252B42"/>
          <w:sz w:val="18"/>
        </w:rPr>
        <w:t>Рукопись и история передачи</w:t>
      </w:r>
    </w:p>
    <w:p>
      <w:pPr>
        <w:pStyle w:val="ListBullet"/>
        <w:spacing w:after="20" w:line="259" w:lineRule="auto"/>
        <w:ind w:left="397" w:firstLine="0"/>
      </w:pPr>
      <w:hyperlink r:id="rId16">
        <w:r>
          <w:rPr>
            <w:color w:val="247F87"/>
            <w:u w:val="single"/>
            <w:rFonts w:ascii="Noto Serif" w:eastAsia="Noto Serif"/>
            <w:sz w:val="18"/>
          </w:rPr>
          <w:t>Newberry Library, “Popol Vuh”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Ayer MS 1515, Хименес, признаки текста и история хранения.</w:t>
      </w:r>
    </w:p>
    <w:p>
      <w:pPr>
        <w:pStyle w:val="ListBullet"/>
        <w:spacing w:after="20" w:line="259" w:lineRule="auto"/>
        <w:ind w:left="397" w:firstLine="0"/>
      </w:pPr>
      <w:hyperlink r:id="rId17">
        <w:r>
          <w:rPr>
            <w:color w:val="247F87"/>
            <w:u w:val="single"/>
            <w:rFonts w:ascii="Noto Serif" w:eastAsia="Noto Serif"/>
            <w:sz w:val="18"/>
          </w:rPr>
          <w:t>Library of Congress, “Popol Vuh: Transcription in Quiché Mayan and Translation into Spanish”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описание экземпляра и каталожная дата.</w:t>
      </w:r>
    </w:p>
    <w:p>
      <w:pPr>
        <w:pStyle w:val="ListBullet"/>
        <w:spacing w:after="20" w:line="259" w:lineRule="auto"/>
        <w:ind w:left="397" w:firstLine="0"/>
      </w:pPr>
      <w:hyperlink r:id="rId18">
        <w:r>
          <w:rPr>
            <w:color w:val="247F87"/>
            <w:u w:val="single"/>
            <w:rFonts w:ascii="Noto Serif" w:eastAsia="Noto Serif"/>
            <w:sz w:val="18"/>
          </w:rPr>
          <w:t>Harvard ReVista, “Translating the Maya Popol Wuj”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история публикаций и атрибутированные реконструкции.</w:t>
      </w:r>
    </w:p>
    <w:p>
      <w:pPr>
        <w:pStyle w:val="ListBullet"/>
        <w:spacing w:after="20" w:line="259" w:lineRule="auto"/>
        <w:ind w:left="397" w:firstLine="0"/>
      </w:pPr>
      <w:hyperlink r:id="rId19">
        <w:r>
          <w:rPr>
            <w:color w:val="247F87"/>
            <w:u w:val="single"/>
            <w:rFonts w:ascii="Noto Serif" w:eastAsia="Noto Serif"/>
            <w:sz w:val="18"/>
          </w:rPr>
          <w:t>Multepal Project, University of Virginia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совместная цифровая работа и история передачи.</w:t>
      </w:r>
    </w:p>
    <w:p>
      <w:pPr>
        <w:spacing w:before="40" w:after="40" w:line="252" w:lineRule="auto"/>
        <w:ind w:firstLine="0"/>
        <w:shd w:fill="E9EEF0"/>
        <w:pBdr>
          <w:left w:val="single" w:sz="18" w:space="8" w:color="B28B45"/>
        </w:pBdr>
      </w:pPr>
      <w:r>
        <w:rPr>
          <w:rFonts w:ascii="Noto Serif" w:hAnsi="Noto Serif" w:eastAsia="Noto Serif"/>
          <w:b/>
          <w:color w:val="252B42"/>
          <w:sz w:val="18"/>
        </w:rPr>
        <w:t>Сюжетные ориентиры</w:t>
      </w:r>
    </w:p>
    <w:p>
      <w:pPr>
        <w:pStyle w:val="ListBullet"/>
        <w:spacing w:after="20" w:line="259" w:lineRule="auto"/>
        <w:ind w:left="397" w:firstLine="0"/>
      </w:pPr>
      <w:hyperlink r:id="rId20">
        <w:r>
          <w:rPr>
            <w:color w:val="247F87"/>
            <w:u w:val="single"/>
            <w:rFonts w:ascii="Noto Serif" w:eastAsia="Noto Serif"/>
            <w:sz w:val="18"/>
          </w:rPr>
          <w:t>American Historical Association, “Popol Vuh”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образовательный обзор текста и его истории.</w:t>
      </w:r>
    </w:p>
    <w:p>
      <w:pPr>
        <w:pStyle w:val="ListBullet"/>
        <w:spacing w:after="20" w:line="259" w:lineRule="auto"/>
        <w:ind w:left="397" w:firstLine="0"/>
      </w:pPr>
      <w:hyperlink r:id="rId21">
        <w:r>
          <w:rPr>
            <w:color w:val="247F87"/>
            <w:u w:val="single"/>
            <w:rFonts w:ascii="Noto Serif" w:eastAsia="Noto Serif"/>
            <w:sz w:val="18"/>
          </w:rPr>
          <w:t>Smithsonian NMAI, “Creation Story of the Maya”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музейное изложение и отдельный современный K’iche’ голос.</w:t>
      </w:r>
    </w:p>
    <w:p>
      <w:pPr>
        <w:pStyle w:val="ListBullet"/>
        <w:spacing w:after="20" w:line="259" w:lineRule="auto"/>
        <w:ind w:left="397" w:firstLine="0"/>
      </w:pPr>
      <w:hyperlink r:id="rId22">
        <w:r>
          <w:rPr>
            <w:color w:val="247F87"/>
            <w:u w:val="single"/>
            <w:rFonts w:ascii="Noto Serif" w:eastAsia="Noto Serif"/>
            <w:sz w:val="18"/>
          </w:rPr>
          <w:t>Smarthistory / Denver Art Museum, “An excerpt from an origin story”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образовательный материал о начальной части.</w:t>
      </w:r>
    </w:p>
    <w:p>
      <w:pPr>
        <w:pStyle w:val="ListBullet"/>
        <w:spacing w:after="20" w:line="259" w:lineRule="auto"/>
        <w:ind w:left="397" w:firstLine="0"/>
      </w:pPr>
      <w:hyperlink r:id="rId23">
        <w:r>
          <w:rPr>
            <w:color w:val="247F87"/>
            <w:u w:val="single"/>
            <w:rFonts w:ascii="Noto Serif" w:eastAsia="Noto Serif"/>
            <w:sz w:val="18"/>
          </w:rPr>
          <w:t>Mesoweb, “The Hero Twins”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подробный сюжетный каркас цикла близнецов; использован только для проверки последовательности, не как источник формулировок.</w:t>
      </w:r>
    </w:p>
    <w:p>
      <w:pPr>
        <w:pStyle w:val="ListBullet"/>
        <w:spacing w:after="20" w:line="259" w:lineRule="auto"/>
        <w:ind w:left="397" w:firstLine="0"/>
      </w:pPr>
      <w:hyperlink r:id="rId24">
        <w:r>
          <w:rPr>
            <w:color w:val="247F87"/>
            <w:u w:val="single"/>
            <w:rFonts w:ascii="Noto Serif" w:eastAsia="Noto Serif"/>
            <w:sz w:val="18"/>
          </w:rPr>
          <w:t>Purdue, Popol Vuh Book 4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переводная текстовая версия для проверки мотива кукурузы; это не оригинал K’iche’.</w:t>
      </w:r>
    </w:p>
    <w:p>
      <w:pPr>
        <w:spacing w:before="40" w:after="40" w:line="252" w:lineRule="auto"/>
        <w:ind w:firstLine="0"/>
        <w:shd w:fill="E9EEF0"/>
        <w:pBdr>
          <w:left w:val="single" w:sz="18" w:space="8" w:color="B28B45"/>
        </w:pBdr>
      </w:pPr>
      <w:r>
        <w:rPr>
          <w:rFonts w:ascii="Noto Serif" w:hAnsi="Noto Serif" w:eastAsia="Noto Serif"/>
          <w:b/>
          <w:color w:val="252B42"/>
          <w:sz w:val="18"/>
        </w:rPr>
        <w:t>Поздняя историческая часть и живой язык</w:t>
      </w:r>
    </w:p>
    <w:p>
      <w:pPr>
        <w:pStyle w:val="ListBullet"/>
        <w:spacing w:after="20" w:line="259" w:lineRule="auto"/>
        <w:ind w:left="397" w:firstLine="0"/>
      </w:pPr>
      <w:hyperlink r:id="rId25">
        <w:r>
          <w:rPr>
            <w:color w:val="247F87"/>
            <w:u w:val="single"/>
            <w:rFonts w:ascii="Noto Serif" w:eastAsia="Noto Serif"/>
            <w:sz w:val="18"/>
          </w:rPr>
          <w:t>University Press of Colorado, The Title of Totonicapán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контекст земельного документа 1554 года.</w:t>
      </w:r>
    </w:p>
    <w:p>
      <w:pPr>
        <w:pStyle w:val="ListBullet"/>
        <w:spacing w:after="20" w:line="259" w:lineRule="auto"/>
        <w:ind w:left="397" w:firstLine="0"/>
      </w:pPr>
      <w:hyperlink r:id="rId26">
        <w:r>
          <w:rPr>
            <w:color w:val="247F87"/>
            <w:u w:val="single"/>
            <w:rFonts w:ascii="Noto Serif" w:eastAsia="Noto Serif"/>
            <w:sz w:val="18"/>
          </w:rPr>
          <w:t>Néstor I. Quiroa, “Revisiting the Highland Guatemala Títulos”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колониальная юридическая функция títulos.</w:t>
      </w:r>
    </w:p>
    <w:p>
      <w:pPr>
        <w:pStyle w:val="ListBullet"/>
        <w:spacing w:after="20" w:line="259" w:lineRule="auto"/>
        <w:ind w:left="397" w:firstLine="0"/>
      </w:pPr>
      <w:hyperlink r:id="rId27">
        <w:r>
          <w:rPr>
            <w:color w:val="247F87"/>
            <w:u w:val="single"/>
            <w:rFonts w:ascii="Noto Serif" w:eastAsia="Noto Serif"/>
            <w:sz w:val="18"/>
          </w:rPr>
          <w:t>R. W. van Akkeren, “Authors of the Popol Wuj”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атрибутированная гипотеза об авторах и политическом контексте.</w:t>
      </w:r>
    </w:p>
    <w:p>
      <w:pPr>
        <w:pStyle w:val="ListBullet"/>
        <w:spacing w:after="20" w:line="259" w:lineRule="auto"/>
        <w:ind w:left="397" w:firstLine="0"/>
      </w:pPr>
      <w:hyperlink r:id="rId28">
        <w:r>
          <w:rPr>
            <w:color w:val="247F87"/>
            <w:u w:val="single"/>
            <w:rFonts w:ascii="Noto Serif" w:eastAsia="Noto Serif"/>
            <w:sz w:val="18"/>
          </w:rPr>
          <w:t>University of New Mexico, K’iche’ Maya Oral History Project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аудиозаписи и транскрипции современных устных историй.</w:t>
      </w:r>
    </w:p>
    <w:p>
      <w:pPr>
        <w:pStyle w:val="ListBullet"/>
        <w:spacing w:after="20" w:line="259" w:lineRule="auto"/>
        <w:ind w:left="397" w:firstLine="0"/>
      </w:pPr>
      <w:hyperlink r:id="rId29">
        <w:r>
          <w:rPr>
            <w:color w:val="247F87"/>
            <w:u w:val="single"/>
            <w:rFonts w:ascii="Noto Serif" w:eastAsia="Noto Serif"/>
            <w:sz w:val="18"/>
          </w:rPr>
          <w:t>Academia de Lenguas Mayas de Guatemala, “Idioma Maya K’iche’”</w:t>
        </w:r>
      </w:hyperlink>
      <w:r>
        <w:rPr>
          <w:rFonts w:ascii="Noto Serif" w:hAnsi="Noto Serif" w:eastAsia="Noto Serif"/>
          <w:color w:val="252B42"/>
          <w:sz w:val="18"/>
        </w:rPr>
        <w:t xml:space="preserve"> — языковые сведения и данные переписи 2018 года.</w:t>
      </w:r>
    </w:p>
    <w:sectPr w:rsidR="00FC693F" w:rsidRPr="0006063C" w:rsidSect="00034616">
      <w:headerReference w:type="default" r:id="rId9"/>
      <w:footerReference w:type="default" r:id="rId10"/>
      <w:pgSz w:w="9638" w:h="13606"/>
      <w:pgMar w:top="1077" w:right="1020" w:bottom="1077" w:left="1020" w:header="454" w:footer="454" w:gutter="0"/>
      <w:cols w:space="720"/>
      <w:titlePg/>
      <w:docGrid w:linePitch="360"/>
      <w:pgBorders w:offsetFrom="page" w:display="allPages">
        <w:top w:val="double" w:sz="5" w:space="9" w:color="D1BE94"/>
        <w:left w:val="double" w:sz="5" w:space="9" w:color="D1BE94"/>
        <w:bottom w:val="double" w:sz="5" w:space="9" w:color="D1BE94"/>
        <w:right w:val="double" w:sz="5" w:space="9" w:color="D1BE9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624B7D"/>
        <w:sz w:val="16"/>
      </w:rPr>
      <w:t xml:space="preserve">—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Noto Sans" w:hAnsi="Noto Sans" w:eastAsia="Noto Sans"/>
        <w:color w:val="624B7D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</w:pPr>
    <w:r>
      <w:rPr>
        <w:rFonts w:ascii="Noto Sans" w:hAnsi="Noto Sans" w:eastAsia="Noto Sans"/>
        <w:color w:val="526184"/>
        <w:sz w:val="14"/>
      </w:rPr>
      <w:t>HARVYRÐ  ·  POPOL VUH / POPOL WUJ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  <w:ind w:firstLine="238"/>
    </w:pPr>
    <w:rPr>
      <w:rFonts w:ascii="Noto Serif" w:hAnsi="Noto Serif" w:eastAsia="Noto Serif"/>
      <w:color w:val="252B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253C7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624B7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47F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erif" w:hAnsi="Noto Serif" w:eastAsia="Noto Serif"/>
      <w:b/>
      <w:color w:val="1826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20"/>
      <w:contextualSpacing/>
    </w:pPr>
    <w:rPr>
      <w:rFonts w:ascii="Noto Serif" w:hAnsi="Noto Serif" w:eastAsia="Noto Serif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hyperlink" Target="https://www.newberry.org/collection/research-guide/popol-vuh" TargetMode="External"/><Relationship Id="rId17" Type="http://schemas.openxmlformats.org/officeDocument/2006/relationships/hyperlink" Target="https://www.loc.gov/item/2021668226/" TargetMode="External"/><Relationship Id="rId18" Type="http://schemas.openxmlformats.org/officeDocument/2006/relationships/hyperlink" Target="https://revista.drclas.harvard.edu/translating-the-maya-popol-wuj/" TargetMode="External"/><Relationship Id="rId19" Type="http://schemas.openxmlformats.org/officeDocument/2006/relationships/hyperlink" Target="https://multepal.spanitalport.virginia.edu/" TargetMode="External"/><Relationship Id="rId20" Type="http://schemas.openxmlformats.org/officeDocument/2006/relationships/hyperlink" Target="https://www.historians.org/resource/popol-vuh/" TargetMode="External"/><Relationship Id="rId21" Type="http://schemas.openxmlformats.org/officeDocument/2006/relationships/hyperlink" Target="https://maya.nmai.si.edu/the-maya/creation-story-maya" TargetMode="External"/><Relationship Id="rId22" Type="http://schemas.openxmlformats.org/officeDocument/2006/relationships/hyperlink" Target="https://smarthistory.org/mesoamerican-art-in-context-origin-story-popol-vuh/" TargetMode="External"/><Relationship Id="rId23" Type="http://schemas.openxmlformats.org/officeDocument/2006/relationships/hyperlink" Target="https://www.mesoweb.com/features/twins/twins_text.html" TargetMode="External"/><Relationship Id="rId24" Type="http://schemas.openxmlformats.org/officeDocument/2006/relationships/hyperlink" Target="https://web.ics.purdue.edu/~kdickson/pvbk4.html" TargetMode="External"/><Relationship Id="rId25" Type="http://schemas.openxmlformats.org/officeDocument/2006/relationships/hyperlink" Target="https://upcolorado.com/university-press-of-colorado/the-title-of-totonicapan" TargetMode="External"/><Relationship Id="rId26" Type="http://schemas.openxmlformats.org/officeDocument/2006/relationships/hyperlink" Target="https://read.dukeupress.edu/ethnohistory/article/58/2/293/26207/Revisiting-the-Highland-Guatemala-Titulos-How-the" TargetMode="External"/><Relationship Id="rId27" Type="http://schemas.openxmlformats.org/officeDocument/2006/relationships/hyperlink" Target="https://www.cambridge.org/core/journals/ancient-mesoamerica/article/authors-of-the-popol-wuj/FD3D13058C533FCE32C2B8EC7C5BAC40" TargetMode="External"/><Relationship Id="rId28" Type="http://schemas.openxmlformats.org/officeDocument/2006/relationships/hyperlink" Target="https://laii.unm.edu/kiche.html" TargetMode="External"/><Relationship Id="rId29" Type="http://schemas.openxmlformats.org/officeDocument/2006/relationships/hyperlink" Target="https://almg.org.gt/idioma_kich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Popol Vuh / Popol Wuj — голоса, испытания и память К’иче’</dc:title>
  <dc:subject>Иллюстрированный авторский русский пересказ с источниками</dc:subject>
  <dc:creator>HARVYRÐ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