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Noto Sans" w:hAnsi="Noto Sans"/>
          <w:b/>
          <w:color w:val="40265C"/>
          <w:sz w:val="17"/>
        </w:rPr>
        <w:t>ПСИХОЛОГИЯ · НЕЙРОНАУКА · ТЕОРИЯ ОБУЧЕНИЯ</w:t>
      </w:r>
    </w:p>
    <w:p>
      <w:pPr>
        <w:pStyle w:val="Title"/>
        <w:spacing w:before="0" w:after="140"/>
        <w:jc w:val="center"/>
      </w:pPr>
      <w:r>
        <w:rPr>
          <w:sz w:val="70"/>
        </w:rPr>
        <w:t>Книги</w:t>
        <w:br/>
        <w:t>о познании</w:t>
      </w:r>
    </w:p>
    <w:p>
      <w:pPr>
        <w:pStyle w:val="Subtitle"/>
        <w:spacing w:before="0" w:after="200"/>
        <w:jc w:val="center"/>
      </w:pPr>
      <w:r>
        <w:rPr>
          <w:sz w:val="27"/>
        </w:rPr>
        <w:t>12 классических работ</w:t>
        <w:br/>
        <w:t>о памяти, мышлении и обучении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09"/>
        <w:gridCol w:w="3798"/>
      </w:tblGrid>
      <w:tr>
        <w:trPr>
          <w:cantSplit/>
        </w:trPr>
        <w:tc>
          <w:tcPr>
            <w:tcW w:type="dxa" w:w="600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36000" cy="48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48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Heading2"/>
              <w:spacing w:before="0" w:after="60"/>
            </w:pPr>
            <w:r>
              <w:rPr>
                <w:sz w:val="32"/>
              </w:rPr>
              <w:t>Аннотированный каталог</w:t>
            </w:r>
          </w:p>
          <w:p>
            <w:pPr>
              <w:spacing w:before="0" w:after="60"/>
            </w:pPr>
            <w:r>
              <w:rPr>
                <w:sz w:val="20"/>
              </w:rPr>
              <w:t>От экспериментальной психологии XIX века</w:t>
              <w:br/>
              <w:t>к математическим моделям обобщения.</w:t>
            </w:r>
          </w:p>
          <w:p>
            <w:pPr>
              <w:spacing w:line="324" w:lineRule="auto" w:before="0" w:after="60"/>
            </w:pPr>
            <w:r>
              <w:rPr>
                <w:sz w:val="20"/>
              </w:rPr>
              <w:t>Четыре тематических раздела</w:t>
              <w:br/>
              <w:t>Краткие аннотации на русском языке</w:t>
              <w:br/>
              <w:t>Названия и годы с оговорками об изданиях</w:t>
            </w:r>
          </w:p>
        </w:tc>
      </w:tr>
    </w:tbl>
    <w:p>
      <w:pPr>
        <w:pStyle w:val="Caption"/>
        <w:spacing w:before="120" w:after="60"/>
        <w:jc w:val="center"/>
      </w:pPr>
      <w:r>
        <w:rPr>
          <w:sz w:val="16"/>
        </w:rPr>
        <w:t>Подборка к «Энциклопедии познания», версия 4.1</w:t>
      </w:r>
    </w:p>
    <w:p>
      <w:pPr>
        <w:pStyle w:val="Caption"/>
        <w:spacing w:before="120" w:after="60"/>
        <w:jc w:val="center"/>
      </w:pPr>
      <w:r>
        <w:rPr>
          <w:sz w:val="16"/>
        </w:rPr>
        <w:t>Это каталог, а не собрание полных текстов книг.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НАВИГАЦИЯ</w:t>
      </w:r>
    </w:p>
    <w:p>
      <w:pPr>
        <w:pStyle w:val="Heading1"/>
      </w:pPr>
      <w:r>
        <w:t>Как устроена подборка</w:t>
      </w:r>
    </w:p>
    <w:p>
      <w:pPr>
        <w:spacing w:line="276" w:lineRule="auto" w:after="140"/>
        <w:ind w:left="369" w:right="369"/>
      </w:pPr>
      <w:r>
        <w:rPr>
          <w:sz w:val="24"/>
        </w:rPr>
        <w:t>Эти книги предлагают разные способы понять познание: измерить память, объяснить научение, исследовать развитие речи и описать обучение математически. Разделы объединяют близкие вопросы, а не выстраивают единственную историю науки.</w:t>
      </w:r>
    </w:p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2EDF7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73549A"/>
                <w:sz w:val="18"/>
              </w:rPr>
              <w:t>01  /  СТРАНИЦА 3</w:t>
            </w:r>
          </w:p>
          <w:p>
            <w:pPr>
              <w:pStyle w:val="Heading2"/>
              <w:spacing w:before="0" w:after="60"/>
            </w:pPr>
            <w:r>
              <w:rPr>
                <w:color w:val="73549A"/>
                <w:sz w:val="24"/>
              </w:rPr>
              <w:t>Память и внимание</w:t>
            </w:r>
          </w:p>
          <w:p>
            <w:pPr>
              <w:spacing w:before="0" w:after="60"/>
            </w:pPr>
            <w:r>
              <w:t>Эббингауз · Джеймс · Бродбент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2EDF7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AF4F2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287D83"/>
                <w:sz w:val="18"/>
              </w:rPr>
              <w:t>02  /  СТРАНИЦА 5</w:t>
            </w:r>
          </w:p>
          <w:p>
            <w:pPr>
              <w:pStyle w:val="Heading2"/>
              <w:spacing w:before="0" w:after="60"/>
            </w:pPr>
            <w:r>
              <w:rPr>
                <w:color w:val="287D83"/>
                <w:sz w:val="24"/>
              </w:rPr>
              <w:t>Научение и целостное восприятие</w:t>
            </w:r>
          </w:p>
          <w:p>
            <w:pPr>
              <w:spacing w:before="0" w:after="60"/>
            </w:pPr>
            <w:r>
              <w:t>Павлов · Кёлер · Кёлер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AF4F2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AF0E9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B16B51"/>
                <w:sz w:val="18"/>
              </w:rPr>
              <w:t>03  /  СТРАНИЦА 7</w:t>
            </w:r>
          </w:p>
          <w:p>
            <w:pPr>
              <w:pStyle w:val="Heading2"/>
              <w:spacing w:before="0" w:after="60"/>
            </w:pPr>
            <w:r>
              <w:rPr>
                <w:color w:val="B16B51"/>
                <w:sz w:val="24"/>
              </w:rPr>
              <w:t>Речь, развитие и мозг</w:t>
            </w:r>
          </w:p>
          <w:p>
            <w:pPr>
              <w:spacing w:before="0" w:after="60"/>
            </w:pPr>
            <w:r>
              <w:t>Пиаже · Выготский · Лурия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AF0E9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DF1F8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4C6295"/>
                <w:sz w:val="18"/>
              </w:rPr>
              <w:t>04  /  СТРАНИЦА 9</w:t>
            </w:r>
          </w:p>
          <w:p>
            <w:pPr>
              <w:pStyle w:val="Heading2"/>
              <w:spacing w:before="0" w:after="60"/>
            </w:pPr>
            <w:r>
              <w:rPr>
                <w:color w:val="4C6295"/>
                <w:sz w:val="24"/>
              </w:rPr>
              <w:t>Управление и предсказание</w:t>
            </w:r>
          </w:p>
          <w:p>
            <w:pPr>
              <w:spacing w:before="0" w:after="60"/>
            </w:pPr>
            <w:r>
              <w:t>Винер · Мишел · Вапник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DF1F8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io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</w:pPr>
      <w:r>
        <w:t>Что важно знать</w:t>
      </w:r>
    </w:p>
    <w:p>
      <w:pPr>
        <w:shd w:fill="F4F0F7"/>
        <w:spacing w:before="0" w:after="140" w:line="276" w:lineRule="auto"/>
        <w:ind w:left="369" w:right="369"/>
      </w:pPr>
      <w:r>
        <w:rPr>
          <w:sz w:val="24"/>
        </w:rPr>
        <w:t>В подборке — 12 самостоятельных произведений. Две архивные записи Выготского представляют переводы одной книги «Мышление и речь»; здесь она приведена один раз.</w:t>
      </w:r>
    </w:p>
    <w:p>
      <w:pPr>
        <w:shd w:fill="F4F0F7"/>
        <w:spacing w:before="0" w:after="140" w:line="276" w:lineRule="auto"/>
        <w:ind w:left="369" w:right="369"/>
      </w:pPr>
      <w:r>
        <w:rPr>
          <w:sz w:val="24"/>
        </w:rPr>
        <w:t>Годы могут относиться к оригиналу или к англоязычному изданию. Часть архивных сведений о конкретном издании и переводе не проверена до конца. Неуточнённые данные отмечены в карточках и не дополнены догадками.</w:t>
      </w:r>
    </w:p>
    <w:p>
      <w:pPr>
        <w:pStyle w:val="Caption"/>
        <w:shd w:fill="F4F0F7"/>
        <w:spacing w:before="0" w:after="100" w:line="269" w:lineRule="auto"/>
      </w:pPr>
      <w:r>
        <w:rPr>
          <w:sz w:val="20"/>
        </w:rPr>
        <w:t>Названия сохранены на языке исходного списка. Аннотации — краткий тематический пересказ, а не цитаты из книг. Историческое значение работы не означает, что все её положения принимаются современной наукой.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73549A"/>
                <w:sz w:val="17"/>
              </w:rPr>
              <w:t>РАЗДЕЛ 01</w:t>
            </w:r>
          </w:p>
          <w:p>
            <w:pPr>
              <w:pStyle w:val="Heading1"/>
              <w:spacing w:before="0" w:after="60"/>
            </w:pPr>
            <w:r>
              <w:rPr>
                <w:color w:val="73549A"/>
                <w:sz w:val="36"/>
              </w:rPr>
              <w:t>Память и внимание</w:t>
            </w:r>
          </w:p>
          <w:p>
            <w:pPr>
              <w:spacing w:before="0" w:after="60"/>
            </w:pPr>
            <w:r>
              <w:rPr>
                <w:sz w:val="18"/>
              </w:rPr>
              <w:t>Как измерять сохранение опыта и объяснять отбор информации.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F2EDF7"/>
        <w:keepNext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01  /  Герман Эббингауз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Memory: A Contribution to Experimental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1885 — оригинальная работа; 1913 — английский перевод.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ПАМЯТЬ · ПОВТОРЕНИЕ · ЗАБЫВАНИЕ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Одна из первых систематических экспериментальных работ о памяти. Эббингауз использует преимущественно бессмысленные слоги, чтобы уменьшить влияние прежних знаний, и количественно исследует заучивание, забывание и повторное обучение. Книга показывает, как процессы памяти можно изучать с помощью воспроизводимых процедур и численных показателей. Её центральная тема — связь между условиями учения и сохранением материала.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Важное различие: английское название относится к переводу немецкой работы 1885 года.</w:t>
      </w:r>
    </w:p>
    <w:p>
      <w:pPr>
        <w:pStyle w:val="Heading2"/>
        <w:spacing w:before="300" w:after="120"/>
        <w:shd w:fill="F2EDF7"/>
        <w:keepNext/>
        <w:pageBreakBefore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02  /  Уильям Джеймс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Principles of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1890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СОЗНАНИЕ · ВНИМАНИЕ · ПРИВЫЧКА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Масштабный труд о сознании, памяти, привычке, эмоциях и воле. Для этой подборки особенно важен анализ внимания как выбора между возможными объектами и направлениями мысли. Джеймс соединяет наблюдение за опытом, философскую аргументацию и результаты ранних исследований. Книга помогает увидеть, как формировался язык научной психологии до появления современных когнитивных моделей.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В материалах V4.1 отдельно выделена глава XI «Attention» первого тома; карточка здесь описывает весь труд.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F2EDF7"/>
        <w:keepNext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03  /  Дональд Бродбент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Perception and Communication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1958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ВНИМАНИЕ · ОТБОР · ОБРАБОТКА ИНФОРМАЦИИ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Бродбент рассматривает восприятие как переработку информации при ограниченной пропускной способности. На основе исследований слухового внимания он развивает модель фильтра, отбирающего сообщения для дальнейшей обработки. Книга стала важной вехой когнитивной психологии: вместо общего описания внимательности она предлагает проверяемую схему отбора сигналов. Это историческая модель, которую позднейшие исследования уточняли и пересматривали.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Год приведён по исходной подборке; конкретный архивный экземпляр здесь не идентифицирован.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287D83"/>
                <w:sz w:val="17"/>
              </w:rPr>
              <w:t>РАЗДЕЛ 02</w:t>
            </w:r>
          </w:p>
          <w:p>
            <w:pPr>
              <w:pStyle w:val="Heading1"/>
              <w:spacing w:before="0" w:after="60"/>
            </w:pPr>
            <w:r>
              <w:rPr>
                <w:color w:val="287D83"/>
                <w:sz w:val="36"/>
              </w:rPr>
              <w:t>Научение и целостное восприятие</w:t>
            </w:r>
          </w:p>
          <w:p>
            <w:pPr>
              <w:spacing w:before="0" w:after="60"/>
            </w:pPr>
            <w:r>
              <w:rPr>
                <w:sz w:val="18"/>
              </w:rPr>
              <w:t>От условных связей к структуре задачи и инсайту.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EAF4F2"/>
        <w:keepNext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04  /  Иван Павлов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Conditioned Reflexes: An Investigation of the Physiological Activity of the Cerebral Cortex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1927 — английское издание.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УСЛОВНЫЕ РЕФЛЕКСЫ · СИГНАЛЫ · ТОРМОЖЕНИЕ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Павлов обобщает физиологические исследования условных рефлексов и рассматривает образование, торможение и взаимодействие условных связей. Центральный вопрос — как ранее нейтральный сигнал начинает вызывать реакцию в определённых условиях обучения. Труд оказал большое влияние на экспериментальное изучение поведения. При чтении важно различать результаты конкретных опытов и более широкие психологические объяснения человеческой деятельности.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В архивном аудите отдельно обсуждается лекция II; транскрипция и поздняя перепечатка не равнозначны первому изданию.</w:t>
      </w:r>
    </w:p>
    <w:p>
      <w:pPr>
        <w:pStyle w:val="Heading2"/>
        <w:spacing w:before="300" w:after="120"/>
        <w:shd w:fill="EAF4F2"/>
        <w:keepNext/>
        <w:pageBreakBefore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05  /  Вольфганг Кёлер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Mentality of Apes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1925 — англоязычное издание в исходной подборке.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ИНСАЙТ · РЕШЕНИЕ ЗАДАЧ · СРАВНИТЕЛЬНАЯ ПСИХОЛОГИЯ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Кёлер исследует, как человекообразные обезьяны решают задачи с предметами и орудиями. Особое место занимает инсайт — обнаружение отношений, позволяющее перестроить ситуацию и найти решение. Наблюдения над использованием палок и ящиков стали классическим материалом гештальт-психологии. Книга ставит вопрос о том, когда поведение можно объяснить постепенным научением, а когда требуется анализ структуры задачи.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Дату не следует автоматически считать годом первой публикации оригинального немецкого текста.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EAF4F2"/>
        <w:keepNext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06  /  Вольфганг Кёлер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Gestalt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1929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ЦЕЛОСТНОСТЬ · ОРГАНИЗАЦИЯ ВОСПРИЯТИЯ · СТРУКТУРА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Книга излагает основы гештальт-подхода: психические явления нельзя удовлетворительно объяснить простым сложением изолированных элементов. Кёлер рассматривает восприятие и мышление как организованные процессы, в которых свойства части зависят от целого. Работа помогает понять теоретический контекст исследований инсайта и споры о природе психологического объяснения. Это классика гештальт-психологии, а не руководство по гештальт-терапии.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Название и год сохранены по исходной подборке; сведения о конкретном издании не расширялись.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B16B51"/>
                <w:sz w:val="17"/>
              </w:rPr>
              <w:t>РАЗДЕЛ 03</w:t>
            </w:r>
          </w:p>
          <w:p>
            <w:pPr>
              <w:pStyle w:val="Heading1"/>
              <w:spacing w:before="0" w:after="60"/>
            </w:pPr>
            <w:r>
              <w:rPr>
                <w:color w:val="B16B51"/>
                <w:sz w:val="36"/>
              </w:rPr>
              <w:t>Речь, развитие и мозг</w:t>
            </w:r>
          </w:p>
          <w:p>
            <w:pPr>
              <w:spacing w:before="0" w:after="60"/>
            </w:pPr>
            <w:r>
              <w:rPr>
                <w:sz w:val="18"/>
              </w:rPr>
              <w:t>Как формируются мысль и речь — и как они организованы в мозге.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FAF0E9"/>
        <w:keepNext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07  /  Жан Пиаже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Language and Thought of the Child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1923 — год в архивном реестре.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ДЕТСКАЯ РЕЧЬ · РАССУЖДЕНИЕ · РАЗВИТИЕ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Пиаже исследует детскую речь, объяснения, вопросы и способы рассуждения, сравнивая их с мышлением взрослого. В центре внимания — особенности детской точки зрения и изменения, сопровождающие интеллектуальное развитие. Работа относится к раннему этапу его исследований и связана с формированием клинического метода беседы с ребёнком. Её полезно читать как исторический источник вопросов о развитии, а не как окончательную картину детского мышления.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Связь года 1923 с конкретным англоязычным переводом не подтверждена; оригинал и перевод нельзя смешивать.</w:t>
      </w:r>
    </w:p>
    <w:p>
      <w:pPr>
        <w:pStyle w:val="Heading2"/>
        <w:spacing w:before="300" w:after="120"/>
        <w:shd w:fill="FAF0E9"/>
        <w:keepNext/>
        <w:pageBreakBefore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08  /  Лев Выготский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Мышление и речь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1934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ПОНЯТИЯ · ВНУТРЕННЯЯ РЕЧЬ · РАЗВИТИЕ МЫШЛЕНИЯ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Выготский рассматривает отношения мышления и речи как развивающуюся систему, а не как простое совпадение двух процессов. Он анализирует образование понятий, значения слов и внутреннюю речь, показывая, как язык участвует в организации мысли. Книга помогает связать развитие ребёнка с общением и культурными средствами. Это один из центральных текстов культурно-исторического подхода к психологии.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Две архивные записи — переводы одного произведения. В каталоге это одна книга, а не две независимые работы.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FAF0E9"/>
        <w:keepNext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09  /  Александр Лурия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Higher Cortical Functions in Man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Год в исходной подборке не указан.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НЕЙРОПСИХОЛОГИЯ · ФУНКЦИОНАЛЬНЫЕ СИСТЕМЫ · НАРУШЕНИЯ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Лурия описывает высшие психические функции через работу взаимодействующих мозговых систем. Речь, восприятие, память и произвольное действие рассматриваются не как способности одного изолированного участка, а как сложные процессы с несколькими звеньями. Анализ нарушений после локальных поражений мозга связывает теорию с клиническим наблюдением. Книга важна для понимания системного подхода к мозговой организации психической деятельности.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Год, издатель и идентификатор конкретного английского перевода требуют уточнения; здесь они намеренно не восстановлены.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4C6295"/>
                <w:sz w:val="17"/>
              </w:rPr>
              <w:t>РАЗДЕЛ 04</w:t>
            </w:r>
          </w:p>
          <w:p>
            <w:pPr>
              <w:pStyle w:val="Heading1"/>
              <w:spacing w:before="0" w:after="60"/>
            </w:pPr>
            <w:r>
              <w:rPr>
                <w:color w:val="4C6295"/>
                <w:sz w:val="36"/>
              </w:rPr>
              <w:t>Управление и предсказание</w:t>
            </w:r>
          </w:p>
          <w:p>
            <w:pPr>
              <w:spacing w:before="0" w:after="60"/>
            </w:pPr>
            <w:r>
              <w:rPr>
                <w:sz w:val="18"/>
              </w:rPr>
              <w:t>Обратная связь, контекст поведения и обучение по данным.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io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EDF1F8"/>
        <w:keepNext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10  /  Норберт Винер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Cybernetics: Or Control and Communication in the Animal and the Machine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1948 — первое издание.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ОБРАТНАЯ СВЯЗЬ · УПРАВЛЕНИЕ · КОММУНИКАЦИЯ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Винер предлагает общий язык для описания управления и связи в живых организмах и машинах. Обратная связь позволяет системе изменять действия с учётом полученного результата; вероятностные методы помогают анализировать сигналы и неопределённость. Книга объединяет инженерные, математические и физиологические вопросы. Её значение для изучения познания — в системном подходе к регулированию поведения и обмену информацией.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Архивная ссылка может вести к более позднему изданию. Год 1948 не удостоверяет идентичность конкретной цифровой копии.</w:t>
      </w:r>
    </w:p>
    <w:p>
      <w:pPr>
        <w:pStyle w:val="Heading2"/>
        <w:spacing w:before="300" w:after="120"/>
        <w:shd w:fill="EDF1F8"/>
        <w:keepNext/>
        <w:pageBreakBefore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11  /  Уолтер Мишел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Personality and Assessment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1968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ЛИЧНОСТЬ · СИТУАЦИЯ · ПРЕДСКАЗАНИЕ ПОВЕДЕНИЯ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Мишел критически рассматривает возможность предсказывать поведение только по обобщённым личностным чертам. Он подчёркивает значение ситуации и ограниченность переноса результатов оценки между разными обстоятельствами. Книга стала одним из источников дискуссии о согласованности поведения и подготовила развитие социально-когнитивных подходов к личности. Её главный вопрос — какие сведения о человеке действительно помогают предсказать его поступки в определённом контексте.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Библиографическая идентификация в архиве не означает, что полный текст оригинала находится в открытом доступе.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EDF1F8"/>
        <w:keepNext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12  /  Владимир Вапник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Nature of Statistical Learning Theory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1995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ОБОБЩЕНИЕ · СЛОЖНОСТЬ МОДЕЛИ · СТАТИСТИЧЕСКОЕ ОБУЧЕНИЕ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Вапник излагает математические основания обучения по данным и исследует, при каких условиях модель способна работать за пределами обучающей выборки. Важны понятия эмпирического и структурного риска, сложности класса функций и размерности Вапника—Червоненкиса. Книга связывает статистику и машинное обучение. В отличие от остальных работ подборки, она требует заметной математической подготовки и посвящена формальной теории, а не описанию человеческого опыта.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Запись сохранена как отдельная монография; её нельзя подменять тематически близкой статьёй или обзором.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spacing w:after="140" w:line="276" w:lineRule="auto"/>
        <w:ind w:left="369" w:right="369"/>
      </w:pPr>
      <w:r>
        <w:rPr>
          <w:rFonts w:ascii="Noto Sans" w:hAnsi="Noto Sans"/>
          <w:b/>
          <w:color w:val="40265C"/>
          <w:sz w:val="18"/>
        </w:rPr>
        <w:t>ИСТОЧНИКИ И ОГОВОРКИ</w:t>
      </w:r>
    </w:p>
    <w:p>
      <w:pPr>
        <w:pStyle w:val="Heading1"/>
      </w:pPr>
      <w:r>
        <w:t>Библиографические примечания</w:t>
      </w:r>
    </w:p>
    <w:p>
      <w:pPr>
        <w:spacing w:line="276" w:lineRule="auto" w:after="140"/>
        <w:ind w:left="369" w:right="369"/>
      </w:pPr>
      <w:r>
        <w:rPr>
          <w:sz w:val="24"/>
        </w:rPr>
        <w:t>Основа каталога — переданная подборка из 12 произведений и материалы проекта «Энциклопедия познания» V4.1. Архивные статусы относятся к конкретным записям и цифровым копиям: они не означают автоматической проверки каждого издания, перевода или всех тезисов книги.</w:t>
      </w:r>
    </w:p>
    <w:p>
      <w:pPr>
        <w:pStyle w:val="Heading2"/>
      </w:pPr>
      <w:r>
        <w:t>Материалы проекта</w:t>
      </w:r>
    </w:p>
    <w:p>
      <w:pPr>
        <w:spacing w:before="0" w:after="140" w:line="276" w:lineRule="auto"/>
        <w:ind w:left="369" w:right="369"/>
      </w:pPr>
      <w:hyperlink r:id="rId11">
        <w:r>
          <w:rPr>
            <w:color w:val="40265C"/>
          </w:rPr>
          <w:t>«Энциклопедия познания» V4.1 — документ Word</w:t>
        </w:r>
      </w:hyperlink>
    </w:p>
    <w:p>
      <w:pPr>
        <w:spacing w:before="0" w:after="140" w:line="276" w:lineRule="auto"/>
        <w:ind w:left="369" w:right="369"/>
      </w:pPr>
      <w:hyperlink r:id="rId12">
        <w:r>
          <w:rPr>
            <w:color w:val="40265C"/>
          </w:rPr>
          <w:t>Архивный реестр библиографии V4.1 — таблица Excel</w:t>
        </w:r>
      </w:hyperlink>
    </w:p>
    <w:p>
      <w:pPr>
        <w:spacing w:before="0" w:after="140" w:line="276" w:lineRule="auto"/>
        <w:ind w:left="369" w:right="369"/>
      </w:pPr>
      <w:hyperlink r:id="rId13">
        <w:r>
          <w:rPr>
            <w:color w:val="40265C"/>
          </w:rPr>
          <w:t>Папка проекта в GitHub</w:t>
        </w:r>
      </w:hyperlink>
    </w:p>
    <w:p>
      <w:pPr>
        <w:pStyle w:val="Caption"/>
        <w:spacing w:line="269" w:lineRule="auto"/>
      </w:pPr>
      <w:r>
        <w:rPr>
          <w:sz w:val="20"/>
        </w:rPr>
        <w:t>Репозиторий приватный: для открытия ссылок нужен доступ к нему.</w:t>
      </w:r>
    </w:p>
    <w:p>
      <w:pPr>
        <w:pStyle w:val="Heading2"/>
      </w:pPr>
      <w:r>
        <w:t>Открытая библиографическая опора</w:t>
      </w:r>
    </w:p>
    <w:p>
      <w:pPr>
        <w:spacing w:before="0" w:after="140" w:line="276" w:lineRule="auto"/>
        <w:ind w:left="369" w:right="369"/>
      </w:pPr>
      <w:hyperlink r:id="rId14">
        <w:r>
          <w:rPr>
            <w:color w:val="40265C"/>
          </w:rPr>
          <w:t>Эббингауз: оригинал 1885 года, перевод Ruger и Bussenius 1913 года — York University</w:t>
        </w:r>
      </w:hyperlink>
    </w:p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</w:pPr>
      <w:r>
        <w:t>Что остаётся уточнить</w:t>
      </w:r>
    </w:p>
    <w:p>
      <w:pPr>
        <w:shd w:fill="F2EDF7"/>
        <w:spacing w:before="80" w:after="140" w:line="276" w:lineRule="auto"/>
        <w:ind w:left="369" w:right="369"/>
      </w:pPr>
      <w:r>
        <w:rPr>
          <w:sz w:val="24"/>
        </w:rPr>
        <w:t>— Пиаже: год 1923 сохранён как архивная дата; конкретный английский перевод и его год требуют отдельной сверки.</w:t>
      </w:r>
    </w:p>
    <w:p>
      <w:pPr>
        <w:shd w:fill="EAF4F2"/>
        <w:spacing w:before="80" w:after="140" w:line="276" w:lineRule="auto"/>
        <w:ind w:left="369" w:right="369"/>
      </w:pPr>
      <w:r>
        <w:rPr>
          <w:sz w:val="24"/>
        </w:rPr>
        <w:t>— Лурия: год и данные английского издания в исходном списке отсутствуют; они не добавлены предположительно.</w:t>
      </w:r>
    </w:p>
    <w:p>
      <w:pPr>
        <w:shd w:fill="FAF0E9"/>
        <w:spacing w:before="80" w:after="140" w:line="276" w:lineRule="auto"/>
        <w:ind w:left="369" w:right="369"/>
      </w:pPr>
      <w:r>
        <w:rPr>
          <w:sz w:val="24"/>
        </w:rPr>
        <w:t>— Винер и другие архивные копии: дата первой публикации не гарантирует, что доступный файл воспроизводит именно первое издание.</w:t>
      </w:r>
    </w:p>
    <w:p>
      <w:pPr>
        <w:shd w:fill="EDF1F8"/>
        <w:spacing w:before="80" w:after="140" w:line="276" w:lineRule="auto"/>
        <w:ind w:left="369" w:right="369"/>
      </w:pPr>
      <w:r>
        <w:rPr>
          <w:sz w:val="24"/>
        </w:rPr>
        <w:t>— Выготский: переводные названия могут различаться, но обе архивные записи относятся к «Мышлению и речи» (1934).</w:t>
      </w:r>
    </w:p>
    <w:p>
      <w:pPr>
        <w:pStyle w:val="Heading2"/>
      </w:pPr>
      <w:r>
        <w:t>Об использовании</w:t>
      </w:r>
    </w:p>
    <w:p>
      <w:pPr>
        <w:shd w:fill="F4F0F7"/>
        <w:pBdr>
          <w:left w:val="single" w:sz="12" w:color="B18A47" w:space="5"/>
        </w:pBdr>
        <w:spacing w:line="276" w:lineRule="auto" w:after="140"/>
        <w:ind w:left="369" w:right="369"/>
      </w:pPr>
      <w:r>
        <w:rPr>
          <w:sz w:val="24"/>
        </w:rPr>
        <w:t>Каталог содержит только библиографические сведения и краткие авторские аннотации. Полные тексты, сканы и обложки книг не включены. Наличие архивной ссылки само по себе не подтверждает свободный правовой статус цифровой копии.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ДОПОЛНЕНИЕ  /  ОТ КЛАССИКИ К ИИ-АГЕНТАМ</w:t>
      </w:r>
    </w:p>
    <w:p>
      <w:pPr>
        <w:pStyle w:val="Heading1"/>
      </w:pPr>
      <w:r>
        <w:t>Карта исследовательских пробелов</w:t>
      </w:r>
    </w:p>
    <w:p>
      <w:pPr>
        <w:spacing w:after="140" w:line="269" w:lineRule="auto"/>
      </w:pPr>
      <w:r>
        <w:rPr>
          <w:sz w:val="26"/>
        </w:rPr>
        <w:t>Классические работы помогают ставить вопросы о памяти, обучении и инициативе. Современные исследования ниже предлагают способы проверять эти способности у ИИ-агентов — но не дают основания приравнивать их к человеческому переживанию.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1. Память: хранить — не значит использовать</w:t>
      </w:r>
    </w:p>
    <w:p>
      <w:pPr>
        <w:spacing w:after="140" w:line="269" w:lineRule="auto"/>
      </w:pPr>
      <w:r>
        <w:rPr>
          <w:sz w:val="26"/>
        </w:rPr>
        <w:t>Разделяйте сохранение опыта, извлечение нужного воспоминания и его применение в действии. Проверяйте актуальность сведений, устойчивость к нерелевантным и отвлекающим воспоминаниям, а также отказ от ответа при недостатке данных. Опора: LongMemEval и MemoryAgentBench.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2. Меняет ли опыт выбор?</w:t>
      </w:r>
    </w:p>
    <w:p>
      <w:pPr>
        <w:spacing w:after="140" w:line="269" w:lineRule="auto"/>
      </w:pPr>
      <w:r>
        <w:rPr>
          <w:sz w:val="26"/>
        </w:rPr>
        <w:t>Чтобы проверить причинный вклад памяти, сравнивайте одинаковые задачи с правильной, отсутствующей, нерелевантной и ошибочной памятью. Оценивайте не только воспроизведение истории, но и перенос на новые задачи, включая отрицательный перенос — случаи, когда прошлый опыт мешает. Опора: MemoryArena и LongMemEval-V2.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3. Вопросы, поручения и собственные цели</w:t>
      </w:r>
    </w:p>
    <w:p>
      <w:pPr>
        <w:spacing w:after="140" w:line="269" w:lineRule="auto"/>
      </w:pPr>
      <w:r>
        <w:rPr>
          <w:sz w:val="26"/>
        </w:rPr>
        <w:t>Не смешивайте формирование вопросов, исполнение отложенных поручений и самостоятельное принятие целей. Это разные способности; оценивать их нужно раздельно. Успешное выполнение намерения пользователя в нужный момент не показывает, что агент сам выбрал цель. Опора для отложенных поручений: PM-Bench.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4. Самомодель — ещё не субъективный опыт</w:t>
      </w:r>
    </w:p>
    <w:p>
      <w:pPr>
        <w:spacing w:after="140" w:line="269" w:lineRule="auto"/>
      </w:pPr>
      <w:r>
        <w:rPr>
          <w:sz w:val="26"/>
        </w:rPr>
        <w:t>Функциональные проявления самомодели и инициативы сами по себе не доказывают сознание. Для вывода о субъективном опыте нужна отдельная теоретическая аргументация. Индикаторы, связанные с теориями сознания, следует обсуждать с учётом неопределённости, а не как бинарный тест.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НОВЫЕ ИСТОЧНИКИ  /  1–3 ИЗ 8</w:t>
      </w:r>
    </w:p>
    <w:p>
      <w:pPr>
        <w:pStyle w:val="Heading1"/>
      </w:pPr>
      <w:r>
        <w:t>Как устроена память агентов</w:t>
      </w:r>
    </w:p>
    <w:p>
      <w:pPr>
        <w:spacing w:after="140" w:line="269" w:lineRule="auto"/>
      </w:pPr>
      <w:r>
        <w:rPr>
          <w:sz w:val="24"/>
        </w:rPr>
        <w:t>Это исследовательские статьи и обзор, а не дополнительные классические книги. Даты препринтов и конференций указаны раздельно.</w:t>
      </w:r>
    </w:p>
    <w:p>
      <w:pPr>
        <w:pStyle w:val="Heading2"/>
        <w:spacing w:before="180" w:after="100"/>
      </w:pPr>
      <w:r>
        <w:rPr>
          <w:color w:val="287D83"/>
          <w:sz w:val="28"/>
        </w:rPr>
        <w:t>01  /  Memory in the Age of AI Agents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2025</w:t>
      </w:r>
    </w:p>
    <w:p>
      <w:pPr>
        <w:spacing w:after="140" w:line="269" w:lineRule="auto"/>
      </w:pPr>
      <w:r>
        <w:rPr>
          <w:sz w:val="26"/>
        </w:rPr>
        <w:t>Обзор форм, функций и динамики памяти агентов. Различает фактическую, опытную и рабочую память; рассматривает формирование, обновление и извлечение сведений. Подходит как словарь и структура для всего раздела.</w:t>
      </w:r>
    </w:p>
    <w:p>
      <w:pPr>
        <w:keepNext w:val="0"/>
        <w:spacing w:after="180"/>
      </w:pPr>
      <w:hyperlink r:id="rId20">
        <w:r>
          <w:rPr>
            <w:rFonts w:ascii="Noto Sans" w:hAnsi="Noto Sans"/>
            <w:color w:val="287D83"/>
            <w:sz w:val="21"/>
            <w:u w:val="single"/>
          </w:rPr>
          <w:t>https://arxiv.org/abs/2512.13564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02  /  A-MEM: Agentic Memory for LLM Agents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2025</w:t>
      </w:r>
    </w:p>
    <w:p>
      <w:pPr>
        <w:spacing w:after="140" w:line="269" w:lineRule="auto"/>
      </w:pPr>
      <w:r>
        <w:rPr>
          <w:sz w:val="26"/>
        </w:rPr>
        <w:t>Система организует опыт в сеть связанных заметок. Новое воспоминание не просто сохраняется: оно связывается с прежними и может обновлять их контекст и атрибуты. Полезна как пример механизма, но сама архитектура ещё не доказывает надёжность памяти в любых задачах.</w:t>
      </w:r>
    </w:p>
    <w:p>
      <w:pPr>
        <w:keepNext w:val="0"/>
        <w:spacing w:after="180"/>
      </w:pPr>
      <w:hyperlink r:id="rId21">
        <w:r>
          <w:rPr>
            <w:rFonts w:ascii="Noto Sans" w:hAnsi="Noto Sans"/>
            <w:color w:val="287D83"/>
            <w:sz w:val="21"/>
            <w:u w:val="single"/>
          </w:rPr>
          <w:t>https://arxiv.org/abs/2502.12110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03  /  LongMemEval: Benchmarking Chat Assistants on Long-Term Interactive Memory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2024 — препринт; ICLR 2025</w:t>
      </w:r>
    </w:p>
    <w:p>
      <w:pPr>
        <w:spacing w:after="140" w:line="269" w:lineRule="auto"/>
      </w:pPr>
      <w:r>
        <w:rPr>
          <w:sz w:val="26"/>
        </w:rPr>
        <w:t>Бенчмарк долгосрочной интерактивной памяти: извлечение информации, рассуждение между сессиями и во времени, обновление знаний и отказ от неподтверждённого ответа. Помогает отделить доступность истории от способности дать обоснованный ответ.</w:t>
      </w:r>
    </w:p>
    <w:p>
      <w:pPr>
        <w:keepNext w:val="0"/>
        <w:spacing w:after="180"/>
      </w:pPr>
      <w:hyperlink r:id="rId22">
        <w:r>
          <w:rPr>
            <w:rFonts w:ascii="Noto Sans" w:hAnsi="Noto Sans"/>
            <w:color w:val="287D83"/>
            <w:sz w:val="21"/>
            <w:u w:val="single"/>
          </w:rPr>
          <w:t>https://arxiv.org/abs/2410.10813</w:t>
        </w:r>
      </w:hyperlink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НОВЫЕ ИСТОЧНИКИ  /  4–6 ИЗ 8</w:t>
      </w:r>
    </w:p>
    <w:p>
      <w:pPr>
        <w:pStyle w:val="Heading1"/>
      </w:pPr>
      <w:r>
        <w:t>Когда опыт помогает действовать</w:t>
      </w:r>
    </w:p>
    <w:p>
      <w:pPr>
        <w:pStyle w:val="Heading2"/>
        <w:spacing w:before="180" w:after="100"/>
      </w:pPr>
      <w:r>
        <w:rPr>
          <w:color w:val="287D83"/>
          <w:sz w:val="28"/>
        </w:rPr>
        <w:t>04  /  Evaluating Memory in LLM Agents via Incremental Multi-Turn Interactions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2025 — препринт; ICLR 2026. Бенчмарк: MemoryAgentBench.</w:t>
      </w:r>
    </w:p>
    <w:p>
      <w:pPr>
        <w:spacing w:after="140" w:line="269" w:lineRule="auto"/>
      </w:pPr>
      <w:r>
        <w:rPr>
          <w:sz w:val="26"/>
        </w:rPr>
        <w:t>Проверяет четыре способности: точное извлечение, обучение на ходу, понимание дальних связей и избирательное забывание. Информация поступает постепенно в многошаговом взаимодействии, а не единым готовым текстом. Полезен для раздельной диагностики слабых звеньев памяти.</w:t>
      </w:r>
    </w:p>
    <w:p>
      <w:pPr>
        <w:keepNext w:val="0"/>
        <w:spacing w:after="180"/>
      </w:pPr>
      <w:hyperlink r:id="rId23">
        <w:r>
          <w:rPr>
            <w:rFonts w:ascii="Noto Sans" w:hAnsi="Noto Sans"/>
            <w:color w:val="287D83"/>
            <w:sz w:val="21"/>
            <w:u w:val="single"/>
          </w:rPr>
          <w:t>https://arxiv.org/abs/2507.05257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05  /  MemoryArena: Benchmarking Agent Memory in Interdependent Multi-Session Agentic Tasks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2026 — препринт</w:t>
      </w:r>
    </w:p>
    <w:p>
      <w:pPr>
        <w:spacing w:after="140" w:line="269" w:lineRule="auto"/>
      </w:pPr>
      <w:r>
        <w:rPr>
          <w:sz w:val="26"/>
        </w:rPr>
        <w:t>Связывает память с действиями в нескольких сессиях: агент должен использовать опыт ранних действий и обратную связь в последующих взаимозависимых задачах. Помогает проверить разрыв между хорошим воспроизведением прошлого и практической пользой памяти.</w:t>
      </w:r>
    </w:p>
    <w:p>
      <w:pPr>
        <w:keepNext w:val="0"/>
        <w:spacing w:after="180"/>
      </w:pPr>
      <w:hyperlink r:id="rId24">
        <w:r>
          <w:rPr>
            <w:rFonts w:ascii="Noto Sans" w:hAnsi="Noto Sans"/>
            <w:color w:val="287D83"/>
            <w:sz w:val="21"/>
            <w:u w:val="single"/>
          </w:rPr>
          <w:t>https://arxiv.org/abs/2602.16313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06  /  LongMemEval-V2: Evaluating Long-Term Agent Memory Toward Experienced Colleagues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2026 — препринт</w:t>
      </w:r>
    </w:p>
    <w:p>
      <w:pPr>
        <w:spacing w:after="140" w:line="269" w:lineRule="auto"/>
      </w:pPr>
      <w:r>
        <w:rPr>
          <w:sz w:val="26"/>
        </w:rPr>
        <w:t>Оценивает усвоение особенностей рабочей среды: состояния интерфейса, изменения, рабочие процедуры и типичные ловушки. Вопрос не только в том, помнит ли агент историю, но и в том, накопил ли он полезный опыт работы в конкретном окружении.</w:t>
      </w:r>
    </w:p>
    <w:p>
      <w:pPr>
        <w:keepNext w:val="0"/>
        <w:spacing w:after="180"/>
      </w:pPr>
      <w:hyperlink r:id="rId25">
        <w:r>
          <w:rPr>
            <w:rFonts w:ascii="Noto Sans" w:hAnsi="Noto Sans"/>
            <w:color w:val="287D83"/>
            <w:sz w:val="21"/>
            <w:u w:val="single"/>
          </w:rPr>
          <w:t>https://arxiv.org/abs/2605.12493</w:t>
        </w:r>
      </w:hyperlink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НОВЫЕ ИСТОЧНИКИ  /  7–8 ИЗ 8</w:t>
      </w:r>
    </w:p>
    <w:p>
      <w:pPr>
        <w:pStyle w:val="Heading1"/>
      </w:pPr>
      <w:r>
        <w:t>Намерения и границы выводов</w:t>
      </w:r>
    </w:p>
    <w:p>
      <w:pPr>
        <w:pStyle w:val="Heading2"/>
        <w:spacing w:before="180" w:after="100"/>
      </w:pPr>
      <w:r>
        <w:rPr>
          <w:color w:val="287D83"/>
          <w:sz w:val="28"/>
        </w:rPr>
        <w:t>07  /  PM-Bench: Evaluating Prospective Memory in LLM Agents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2026 — препринт</w:t>
      </w:r>
    </w:p>
    <w:p>
      <w:pPr>
        <w:spacing w:after="140" w:line="269" w:lineRule="auto"/>
      </w:pPr>
      <w:r>
        <w:rPr>
          <w:sz w:val="26"/>
        </w:rPr>
        <w:t>Бенчмарк проспективной памяти — исполнения намерений в нужное время или при нужном условии на фоне текущих дел. Для карты пробелов важны также отмены и переносы поручений. Это проверка удержания и исполнения намерений, а не самостоятельного происхождения целей.</w:t>
      </w:r>
    </w:p>
    <w:p>
      <w:pPr>
        <w:keepNext w:val="0"/>
        <w:spacing w:after="180"/>
      </w:pPr>
      <w:hyperlink r:id="rId26">
        <w:r>
          <w:rPr>
            <w:rFonts w:ascii="Noto Sans" w:hAnsi="Noto Sans"/>
            <w:color w:val="287D83"/>
            <w:sz w:val="21"/>
            <w:u w:val="single"/>
          </w:rPr>
          <w:t>https://arxiv.org/abs/2607.12385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08  /  Identifying indicators of consciousness in AI systems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2025</w:t>
      </w:r>
    </w:p>
    <w:p>
      <w:pPr>
        <w:spacing w:after="140" w:line="269" w:lineRule="auto"/>
      </w:pPr>
      <w:r>
        <w:rPr>
          <w:sz w:val="26"/>
        </w:rPr>
        <w:t>Методологическая рамка для обсуждения индикаторов сознания, выводимых из нейронаучных теорий. Такие индикаторы могут менять оценку вероятности сознания, но не превращаются в бинарное доказательство. Полезна для отделения наблюдаемой функции от вывода о субъективном опыте.</w:t>
      </w:r>
    </w:p>
    <w:p>
      <w:pPr>
        <w:keepNext w:val="0"/>
        <w:spacing w:after="180"/>
      </w:pPr>
      <w:hyperlink r:id="rId27">
        <w:r>
          <w:rPr>
            <w:rFonts w:ascii="Noto Sans" w:hAnsi="Noto Sans"/>
            <w:color w:val="287D83"/>
            <w:sz w:val="21"/>
            <w:u w:val="single"/>
          </w:rPr>
          <w:t>https://doi.org/10.1016/j.tics.2025.10.011</w:t>
        </w:r>
      </w:hyperlink>
    </w:p>
    <w:p>
      <w:pPr>
        <w:pStyle w:val="Heading2"/>
        <w:spacing w:before="180" w:after="100"/>
      </w:pPr>
      <w:r>
        <w:rPr>
          <w:color w:val="40265C"/>
          <w:sz w:val="28"/>
        </w:rPr>
        <w:t>В каком порядке читать</w:t>
      </w:r>
    </w:p>
    <w:p>
      <w:pPr>
        <w:spacing w:after="140" w:line="269" w:lineRule="auto"/>
      </w:pPr>
      <w:r>
        <w:rPr>
          <w:sz w:val="26"/>
        </w:rPr>
        <w:t>MemoryArena → MemoryAgentBench → PM-Bench → Identifying indicators of consciousness in AI systems. Сначала — связь опыта с действием, затем отдельные способности памяти и отложенные намерения; в конце — методологические границы выводов о сознании.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Главная оговорка</w:t>
      </w:r>
    </w:p>
    <w:p>
      <w:pPr>
        <w:spacing w:after="140" w:line="269" w:lineRule="auto"/>
      </w:pPr>
      <w:r>
        <w:rPr>
          <w:b/>
          <w:sz w:val="26"/>
        </w:rPr>
        <w:t>Бенчмарки памяти и поведения не доказывают сознание. Правильное извлечение сведений, успешный перенос опыта и исполнение поручений — результаты функциональных проверок, а не свидетельство субъективного переживания.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22" w:left="964" w:header="340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40265C"/>
        <w:sz w:val="16"/>
      </w:rPr>
      <w:t xml:space="preserve">КНИГИ О ПОЗНАНИИ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4" w:color="B18A47" w:space="5"/>
      </w:pBdr>
    </w:pPr>
    <w:r>
      <w:rPr>
        <w:color w:val="40265C"/>
      </w:rPr>
      <w:t>БИБЛИОТЕКА ПОЗНАНИЯ  /  12 КЛАССИЧЕСКИХ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Noto Serif" w:hAnsi="Noto Serif"/>
      <w:color w:val="282333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Noto Sans" w:hAnsi="Noto Sans"/>
      <w:b/>
      <w:bCs/>
      <w:color w:val="40265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Noto Sans" w:hAnsi="Noto Sans"/>
      <w:b/>
      <w:bCs/>
      <w:color w:val="4026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4026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Noto Sans" w:hAnsi="Noto Sans"/>
      <w:color w:val="40265C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80" w:after="80"/>
    </w:pPr>
    <w:rPr>
      <w:rFonts w:asciiTheme="majorHAnsi" w:eastAsiaTheme="majorEastAsia" w:hAnsiTheme="majorHAnsi" w:cstheme="majorBidi" w:ascii="Noto Sans" w:hAnsi="Noto Sans"/>
      <w:i/>
      <w:iCs/>
      <w:color w:val="40265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83" w:lineRule="auto"/>
    </w:pPr>
    <w:rPr>
      <w:rFonts w:ascii="Noto Serif" w:hAnsi="Noto Serif"/>
      <w:color w:val="282333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80" w:after="80"/>
    </w:pPr>
    <w:rPr>
      <w:rFonts w:ascii="Noto Sans" w:hAnsi="Noto Sans"/>
      <w:b/>
      <w:bCs/>
      <w:color w:val="62596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elantrian/Velantrim-Memory-Ruslan/blob/main/Encyclopedia_of_Cognition_Project/Encyclopedia_of_Cognition_V4.1.docx" TargetMode="External"/><Relationship Id="rId12" Type="http://schemas.openxmlformats.org/officeDocument/2006/relationships/hyperlink" Target="https://github.com/velantrian/Velantrim-Memory-Ruslan/blob/main/Encyclopedia_of_Cognition_Project/Bibliography_Audit_V4.1.xlsx" TargetMode="External"/><Relationship Id="rId13" Type="http://schemas.openxmlformats.org/officeDocument/2006/relationships/hyperlink" Target="https://github.com/velantrian/Velantrim-Memory-Ruslan/tree/main/Encyclopedia_of_Cognition_Project" TargetMode="External"/><Relationship Id="rId14" Type="http://schemas.openxmlformats.org/officeDocument/2006/relationships/hyperlink" Target="https://psychclassics.yorku.ca/Ebbinghaus/index.htm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Relationship Id="rId18" Type="http://schemas.openxmlformats.org/officeDocument/2006/relationships/image" Target="media/image4.jpg"/><Relationship Id="rId19" Type="http://schemas.openxmlformats.org/officeDocument/2006/relationships/image" Target="media/image5.jpg"/><Relationship Id="rId20" Type="http://schemas.openxmlformats.org/officeDocument/2006/relationships/hyperlink" Target="https://arxiv.org/abs/2512.13564" TargetMode="External"/><Relationship Id="rId21" Type="http://schemas.openxmlformats.org/officeDocument/2006/relationships/hyperlink" Target="https://arxiv.org/abs/2502.12110" TargetMode="External"/><Relationship Id="rId22" Type="http://schemas.openxmlformats.org/officeDocument/2006/relationships/hyperlink" Target="https://arxiv.org/abs/2410.10813" TargetMode="External"/><Relationship Id="rId23" Type="http://schemas.openxmlformats.org/officeDocument/2006/relationships/hyperlink" Target="https://arxiv.org/abs/2507.05257" TargetMode="External"/><Relationship Id="rId24" Type="http://schemas.openxmlformats.org/officeDocument/2006/relationships/hyperlink" Target="https://arxiv.org/abs/2602.16313" TargetMode="External"/><Relationship Id="rId25" Type="http://schemas.openxmlformats.org/officeDocument/2006/relationships/hyperlink" Target="https://arxiv.org/abs/2605.12493" TargetMode="External"/><Relationship Id="rId26" Type="http://schemas.openxmlformats.org/officeDocument/2006/relationships/hyperlink" Target="https://arxiv.org/abs/2607.12385" TargetMode="External"/><Relationship Id="rId27" Type="http://schemas.openxmlformats.org/officeDocument/2006/relationships/hyperlink" Target="https://doi.org/10.1016/j.tics.2025.10.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Книги о познании — расширенный иллюстрированный каталог</dc:title>
  <dc:subject>12 классических работ, карта исследовательских пробелов и 8 новых источников</dc:subject>
  <dc:creator>Cue</dc:creator>
  <cp:keywords>познание, психология, библиография, нейропсихология, машинное обучение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