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7F3E9"/>
  <w:body>
    <w:p>
      <w:pPr>
        <w:spacing w:before="160" w:after="100"/>
        <w:jc w:val="center"/>
      </w:pPr>
      <w:r>
        <w:rPr>
          <w:rFonts w:ascii="DejaVu Sans" w:hAnsi="DejaVu Sans" w:eastAsia="DejaVu Sans" w:cs="DejaVu Sans"/>
          <w:b/>
          <w:color w:val="338F91"/>
          <w:sz w:val="18"/>
        </w:rPr>
        <w:t>HARVYRÐ  ·  ЧИТАТЕЛЬСКИЙ ТОМ</w:t>
      </w:r>
    </w:p>
    <w:p>
      <w:pPr>
        <w:spacing w:after="100"/>
        <w:jc w:val="center"/>
      </w:pPr>
      <w:r>
        <w:drawing>
          <wp:inline xmlns:a="http://schemas.openxmlformats.org/drawingml/2006/main" xmlns:pic="http://schemas.openxmlformats.org/drawingml/2006/picture">
            <wp:extent cx="3063240" cy="4084320"/>
            <wp:docPr id="1" name="Picture 1"/>
            <wp:cNvGraphicFramePr>
              <a:graphicFrameLocks noChangeAspect="1"/>
            </wp:cNvGraphicFramePr>
            <a:graphic>
              <a:graphicData uri="http://schemas.openxmlformats.org/drawingml/2006/picture">
                <pic:pic>
                  <pic:nvPicPr>
                    <pic:cNvPr id="0" name="01-cover.jpg"/>
                    <pic:cNvPicPr/>
                  </pic:nvPicPr>
                  <pic:blipFill>
                    <a:blip r:embed="rId13"/>
                    <a:stretch>
                      <a:fillRect/>
                    </a:stretch>
                  </pic:blipFill>
                  <pic:spPr>
                    <a:xfrm>
                      <a:off x="0" y="0"/>
                      <a:ext cx="3063240" cy="4084320"/>
                    </a:xfrm>
                    <a:prstGeom prst="rect"/>
                  </pic:spPr>
                </pic:pic>
              </a:graphicData>
            </a:graphic>
          </wp:inline>
        </w:drawing>
      </w:r>
    </w:p>
    <w:p>
      <w:pPr>
        <w:spacing w:before="60" w:after="60"/>
        <w:jc w:val="center"/>
      </w:pPr>
      <w:r>
        <w:rPr>
          <w:rFonts w:ascii="DejaVu Sans" w:hAnsi="DejaVu Sans" w:eastAsia="DejaVu Sans" w:cs="DejaVu Sans"/>
          <w:b/>
          <w:color w:val="24345B"/>
          <w:sz w:val="46"/>
        </w:rPr>
        <w:t>Qolasta: книга, которая живёт между рукописью и молитвой</w:t>
      </w:r>
    </w:p>
    <w:p>
      <w:pPr>
        <w:spacing w:after="80"/>
        <w:jc w:val="center"/>
      </w:pPr>
      <w:r>
        <w:rPr>
          <w:rFonts w:ascii="DejaVu Sans" w:hAnsi="DejaVu Sans" w:eastAsia="DejaVu Sans" w:cs="DejaVu Sans"/>
          <w:color w:val="70518B"/>
          <w:sz w:val="22"/>
        </w:rPr>
        <w:t>Канонический молитвенник мандаев — история текста, голосов и границ знания</w:t>
      </w:r>
    </w:p>
    <w:p>
      <w:pPr>
        <w:jc w:val="center"/>
      </w:pPr>
      <w:r>
        <w:rPr>
          <w:rFonts w:ascii="DejaVu Sans" w:hAnsi="DejaVu Sans" w:eastAsia="DejaVu Sans" w:cs="DejaVu Sans"/>
          <w:color w:val="686A72"/>
          <w:sz w:val="17"/>
        </w:rPr>
        <w:t>История текста, молитвенных голосов и живой литургии</w:t>
      </w:r>
    </w:p>
    <w:p>
      <w:pPr>
        <w:pStyle w:val="Heading1"/>
        <w:pageBreakBefore/>
      </w:pPr>
      <w:r>
        <w:t>Содержание</w:t>
      </w:r>
    </w:p>
    <w:p>
      <w:pPr>
        <w:spacing w:after="80"/>
      </w:pPr>
      <w:r>
        <w:rPr>
          <w:rFonts w:ascii="DejaVu Serif" w:hAnsi="DejaVu Serif" w:eastAsia="DejaVu Serif" w:cs="DejaVu Serif"/>
          <w:color w:val="24345B"/>
          <w:sz w:val="20"/>
        </w:rPr>
        <w:t>Глава 1. Что называют Qolasta</w:t>
      </w:r>
    </w:p>
    <w:p>
      <w:pPr>
        <w:spacing w:after="80"/>
      </w:pPr>
      <w:r>
        <w:rPr>
          <w:rFonts w:ascii="DejaVu Serif" w:hAnsi="DejaVu Serif" w:eastAsia="DejaVu Serif" w:cs="DejaVu Serif"/>
          <w:color w:val="24345B"/>
          <w:sz w:val="20"/>
        </w:rPr>
        <w:t>Глава 2. Книга, компиляция и названия</w:t>
      </w:r>
    </w:p>
    <w:p>
      <w:pPr>
        <w:spacing w:after="80"/>
      </w:pPr>
      <w:r>
        <w:rPr>
          <w:rFonts w:ascii="DejaVu Serif" w:hAnsi="DejaVu Serif" w:eastAsia="DejaVu Serif" w:cs="DejaVu Serif"/>
          <w:color w:val="24345B"/>
          <w:sz w:val="20"/>
        </w:rPr>
        <w:t>Глава 3. Голоса, жанры и повтор</w:t>
      </w:r>
    </w:p>
    <w:p>
      <w:pPr>
        <w:spacing w:after="80"/>
      </w:pPr>
      <w:r>
        <w:rPr>
          <w:rFonts w:ascii="DejaVu Serif" w:hAnsi="DejaVu Serif" w:eastAsia="DejaVu Serif" w:cs="DejaVu Serif"/>
          <w:color w:val="24345B"/>
          <w:sz w:val="20"/>
        </w:rPr>
        <w:t>Глава 4. О чём говорит молитва, если не цитировать её</w:t>
      </w:r>
    </w:p>
    <w:p>
      <w:pPr>
        <w:spacing w:after="80"/>
      </w:pPr>
      <w:r>
        <w:rPr>
          <w:rFonts w:ascii="DejaVu Serif" w:hAnsi="DejaVu Serif" w:eastAsia="DejaVu Serif" w:cs="DejaVu Serif"/>
          <w:color w:val="24345B"/>
          <w:sz w:val="20"/>
        </w:rPr>
        <w:t>Глава 5. Рукопись как история передачи</w:t>
      </w:r>
    </w:p>
    <w:p>
      <w:pPr>
        <w:spacing w:after="80"/>
      </w:pPr>
      <w:r>
        <w:rPr>
          <w:rFonts w:ascii="DejaVu Serif" w:hAnsi="DejaVu Serif" w:eastAsia="DejaVu Serif" w:cs="DejaVu Serif"/>
          <w:color w:val="24345B"/>
          <w:sz w:val="20"/>
        </w:rPr>
        <w:t>Глава 6. Как Qolasta стала печатно доступной</w:t>
      </w:r>
    </w:p>
    <w:p>
      <w:pPr>
        <w:spacing w:after="80"/>
      </w:pPr>
      <w:r>
        <w:rPr>
          <w:rFonts w:ascii="DejaVu Serif" w:hAnsi="DejaVu Serif" w:eastAsia="DejaVu Serif" w:cs="DejaVu Serif"/>
          <w:color w:val="24345B"/>
          <w:sz w:val="20"/>
        </w:rPr>
        <w:t>Глава 7. Между молитвенником и живой литургией</w:t>
      </w:r>
    </w:p>
    <w:p>
      <w:pPr>
        <w:spacing w:after="80"/>
      </w:pPr>
      <w:r>
        <w:rPr>
          <w:rFonts w:ascii="DejaVu Serif" w:hAnsi="DejaVu Serif" w:eastAsia="DejaVu Serif" w:cs="DejaVu Serif"/>
          <w:color w:val="24345B"/>
          <w:sz w:val="20"/>
        </w:rPr>
        <w:t>Глава 8. Qolasta и Ginza Rabba: два разных типа книги</w:t>
      </w:r>
    </w:p>
    <w:p>
      <w:pPr>
        <w:spacing w:after="80"/>
      </w:pPr>
      <w:r>
        <w:rPr>
          <w:rFonts w:ascii="DejaVu Serif" w:hAnsi="DejaVu Serif" w:eastAsia="DejaVu Serif" w:cs="DejaVu Serif"/>
          <w:color w:val="24345B"/>
          <w:sz w:val="20"/>
        </w:rPr>
        <w:t>Глава 9. Что мы знаем — и чего не должны утверждать</w:t>
      </w:r>
    </w:p>
    <w:p>
      <w:pPr>
        <w:pStyle w:val="Heading3"/>
      </w:pPr>
      <w:r>
        <w:rPr>
          <w:rFonts w:ascii="DejaVu Serif" w:hAnsi="DejaVu Serif" w:eastAsia="DejaVu Serif" w:cs="DejaVu Serif"/>
          <w:sz w:val="20"/>
        </w:rPr>
        <w:t>Редакторское пояснение</w:t>
      </w:r>
    </w:p>
    <w:p>
      <w:r>
        <w:rPr>
          <w:rFonts w:ascii="DejaVu Serif" w:hAnsi="DejaVu Serif" w:eastAsia="DejaVu Serif" w:cs="DejaVu Serif"/>
          <w:sz w:val="20"/>
        </w:rPr>
        <w:t>Qolasta — мандаейский молитвенник, известный читателю через рукописи, научные издания и переводы. В академическом описании это собрание литургических гимнов, молитв и ритуальных текстов. Но перед нами не один прозрачный авторский том и не руководство к обряду. Это книга о книге: о том, как рукописный материал был собран, прочитан, восполнен, переведён и помещён в печатную форму; о том, что можно увидеть в этой форме и чего она не позволяет утверждать.</w:t>
      </w:r>
    </w:p>
    <w:p>
      <w:r>
        <w:rPr>
          <w:rFonts w:ascii="DejaVu Serif" w:hAnsi="DejaVu Serif" w:eastAsia="DejaVu Serif" w:cs="DejaVu Serif"/>
          <w:sz w:val="20"/>
        </w:rPr>
        <w:t xml:space="preserve">Здесь особенно важно различать четыре уровня. </w:t>
      </w:r>
      <w:r>
        <w:rPr>
          <w:rFonts w:ascii="DejaVu Serif" w:hAnsi="DejaVu Serif" w:eastAsia="DejaVu Serif" w:cs="DejaVu Serif"/>
          <w:b/>
          <w:sz w:val="20"/>
        </w:rPr>
        <w:t>Рукописное свидетельство</w:t>
      </w:r>
      <w:r>
        <w:rPr>
          <w:rFonts w:ascii="DejaVu Serif" w:hAnsi="DejaVu Serif" w:eastAsia="DejaVu Serif" w:cs="DejaVu Serif"/>
          <w:sz w:val="20"/>
        </w:rPr>
        <w:t xml:space="preserve"> — это конкретный кодекс, фрагмент, колофон или опубликованная транскрипция. </w:t>
      </w:r>
      <w:r>
        <w:rPr>
          <w:rFonts w:ascii="DejaVu Serif" w:hAnsi="DejaVu Serif" w:eastAsia="DejaVu Serif" w:cs="DejaVu Serif"/>
          <w:b/>
          <w:sz w:val="20"/>
        </w:rPr>
        <w:t>Редакторское решение</w:t>
      </w:r>
      <w:r>
        <w:rPr>
          <w:rFonts w:ascii="DejaVu Serif" w:hAnsi="DejaVu Serif" w:eastAsia="DejaVu Serif" w:cs="DejaVu Serif"/>
          <w:sz w:val="20"/>
        </w:rPr>
        <w:t xml:space="preserve"> — выбор основного свидетеля, порядок разделов, нумерация, восстановление лакун и перевод. </w:t>
      </w:r>
      <w:r>
        <w:rPr>
          <w:rFonts w:ascii="DejaVu Serif" w:hAnsi="DejaVu Serif" w:eastAsia="DejaVu Serif" w:cs="DejaVu Serif"/>
          <w:b/>
          <w:sz w:val="20"/>
        </w:rPr>
        <w:t>Практика и община</w:t>
      </w:r>
      <w:r>
        <w:rPr>
          <w:rFonts w:ascii="DejaVu Serif" w:hAnsi="DejaVu Serif" w:eastAsia="DejaVu Serif" w:cs="DejaVu Serif"/>
          <w:sz w:val="20"/>
        </w:rPr>
        <w:t xml:space="preserve"> — сведения о том, как книга связана с литургией и живой мандаейской традицией; такие сведения нельзя безоговорочно распространить на каждую общину. </w:t>
      </w:r>
      <w:r>
        <w:rPr>
          <w:rFonts w:ascii="DejaVu Serif" w:hAnsi="DejaVu Serif" w:eastAsia="DejaVu Serif" w:cs="DejaVu Serif"/>
          <w:b/>
          <w:sz w:val="20"/>
        </w:rPr>
        <w:t>Исследовательское чтение</w:t>
      </w:r>
      <w:r>
        <w:rPr>
          <w:rFonts w:ascii="DejaVu Serif" w:hAnsi="DejaVu Serif" w:eastAsia="DejaVu Serif" w:cs="DejaVu Serif"/>
          <w:sz w:val="20"/>
        </w:rPr>
        <w:t xml:space="preserve"> — интерпретация жанров, повторов, слоёв и компиляции. Эти уровни соприкасаются, но не заменяют друг друга.</w:t>
      </w:r>
    </w:p>
    <w:p>
      <w:r>
        <w:rPr>
          <w:rFonts w:ascii="DejaVu Serif" w:hAnsi="DejaVu Serif" w:eastAsia="DejaVu Serif" w:cs="DejaVu Serif"/>
          <w:sz w:val="20"/>
        </w:rPr>
        <w:t>Qolasta читается в этой книге без воспроизведения молитвенных формул и современных защищённых переводов. Не реконструируется последовательность masbuta или masiqta, не извлекается закрытое жреческое знание и не предполагается, что открытый скан отменяет границы традиции. Цель — дать ясный читательский рассказ о составе, жанрах, рукописной истории, публикации, литургической функции и сравнении с Ginza Rabba.</w:t>
      </w:r>
    </w:p>
    <w:p>
      <w:pPr>
        <w:pStyle w:val="Heading2"/>
      </w:pPr>
      <w:r>
        <w:rPr>
          <w:rFonts w:ascii="DejaVu Serif" w:hAnsi="DejaVu Serif" w:eastAsia="DejaVu Serif" w:cs="DejaVu Serif"/>
          <w:sz w:val="20"/>
        </w:rPr>
        <w:t>Как читать эту книгу</w:t>
      </w:r>
    </w:p>
    <w:p>
      <w:r>
        <w:rPr>
          <w:rFonts w:ascii="DejaVu Serif" w:hAnsi="DejaVu Serif" w:eastAsia="DejaVu Serif" w:cs="DejaVu Serif"/>
          <w:sz w:val="20"/>
        </w:rPr>
        <w:t>Слово «книга» в случае Qolasta имеет несколько смыслов. Оно может обозначать рукописную традицию, отдельный экземпляр, редакцию учёного, печатный том или корпус, который продолжает действовать в общине. Поэтому любая фраза о составе должна отвечать на вопрос: о каком свидетеле, издании или описании идёт речь?</w:t>
      </w:r>
    </w:p>
    <w:p>
      <w:r>
        <w:rPr>
          <w:rFonts w:ascii="DejaVu Serif" w:hAnsi="DejaVu Serif" w:eastAsia="DejaVu Serif" w:cs="DejaVu Serif"/>
          <w:sz w:val="20"/>
        </w:rPr>
        <w:t>В следующих главах рассматриваются устройство и жанры Qolasta, её рукописная и издательская история, связь с литургией, отличие от Ginza Rabba и пределы внешнего чтения. Оригинальные иллюстрации сопровождают рассказ, но не подменяют источники.</w:t>
      </w:r>
    </w:p>
    <w:p>
      <w:pPr>
        <w:pStyle w:val="Heading2"/>
      </w:pPr>
      <w:r>
        <w:rPr>
          <w:rFonts w:ascii="DejaVu Serif" w:hAnsi="DejaVu Serif" w:eastAsia="DejaVu Serif" w:cs="DejaVu Serif"/>
          <w:sz w:val="20"/>
        </w:rPr>
        <w:t>Глава 1. Что называют Qolasta</w:t>
      </w:r>
    </w:p>
    <w:p>
      <w:r>
        <w:rPr>
          <w:rFonts w:ascii="DejaVu Serif" w:hAnsi="DejaVu Serif" w:eastAsia="DejaVu Serif" w:cs="DejaVu Serif"/>
          <w:sz w:val="20"/>
        </w:rPr>
        <w:t xml:space="preserve">В справочном описании Encyclopaedia Iranica Qolasta названа канонической молитвенной книгой мандаев: в ней собраны литургические гимны, молитвы и ритуальные тексты </w:t>
      </w:r>
      <w:hyperlink r:id="rId14">
        <w:r>
          <w:rPr>
            <w:color w:val="338F91"/>
            <w:u w:val="single"/>
          </w:rPr>
          <w:t>[1]</w:t>
        </w:r>
      </w:hyperlink>
      <w:r>
        <w:rPr>
          <w:rFonts w:ascii="DejaVu Serif" w:hAnsi="DejaVu Serif" w:eastAsia="DejaVu Serif" w:cs="DejaVu Serif"/>
          <w:sz w:val="20"/>
        </w:rPr>
        <w:t>. Уже это определение задаёт правильный масштаб. Qolasta не просто хранит сведения о вере и не является случайной антологией песен. Она связана с действием — с теми формами богослужения, где речь произносится, повторяется, слушается и передаётся.</w:t>
      </w:r>
    </w:p>
    <w:p>
      <w:r>
        <w:rPr>
          <w:rFonts w:ascii="DejaVu Serif" w:hAnsi="DejaVu Serif" w:eastAsia="DejaVu Serif" w:cs="DejaVu Serif"/>
          <w:sz w:val="20"/>
        </w:rPr>
        <w:t>Слово «каноническая» требует осторожности. В данном контексте оно описывает статус молитвенника в научной и общинной рамке, но не доказывает существования единого неизменного тома в смысле западной истории канона. Источник позволяет говорить о признанном молитвенном корпусе, но не даёт основания утверждать, что во все времена и во всех местах существовал один и тот же порядок, состав и объём.</w:t>
      </w:r>
    </w:p>
    <w:p>
      <w:r>
        <w:rPr>
          <w:rFonts w:ascii="DejaVu Serif" w:hAnsi="DejaVu Serif" w:eastAsia="DejaVu Serif" w:cs="DejaVu Serif"/>
          <w:sz w:val="20"/>
        </w:rPr>
        <w:t xml:space="preserve">Первые крупные функциональные области книги связываются с </w:t>
      </w:r>
      <w:r>
        <w:rPr>
          <w:rFonts w:ascii="DejaVu Serif" w:hAnsi="DejaVu Serif" w:eastAsia="DejaVu Serif" w:cs="DejaVu Serif"/>
          <w:b/>
          <w:sz w:val="20"/>
        </w:rPr>
        <w:t>masbuta</w:t>
      </w:r>
      <w:r>
        <w:rPr>
          <w:rFonts w:ascii="DejaVu Serif" w:hAnsi="DejaVu Serif" w:eastAsia="DejaVu Serif" w:cs="DejaVu Serif"/>
          <w:sz w:val="20"/>
        </w:rPr>
        <w:t xml:space="preserve">, крещением, и </w:t>
      </w:r>
      <w:r>
        <w:rPr>
          <w:rFonts w:ascii="DejaVu Serif" w:hAnsi="DejaVu Serif" w:eastAsia="DejaVu Serif" w:cs="DejaVu Serif"/>
          <w:b/>
          <w:sz w:val="20"/>
        </w:rPr>
        <w:t>masiqta</w:t>
      </w:r>
      <w:r>
        <w:rPr>
          <w:rFonts w:ascii="DejaVu Serif" w:hAnsi="DejaVu Serif" w:eastAsia="DejaVu Serif" w:cs="DejaVu Serif"/>
          <w:sz w:val="20"/>
        </w:rPr>
        <w:t xml:space="preserve">, заупокойной мессой, которую в переводах также передают через образ восхождения души </w:t>
      </w:r>
      <w:hyperlink r:id="rId14">
        <w:r>
          <w:rPr>
            <w:color w:val="338F91"/>
            <w:u w:val="single"/>
          </w:rPr>
          <w:t>[1]</w:t>
        </w:r>
      </w:hyperlink>
      <w:r>
        <w:rPr>
          <w:rFonts w:ascii="DejaVu Serif" w:hAnsi="DejaVu Serif" w:eastAsia="DejaVu Serif" w:cs="DejaVu Serif"/>
          <w:sz w:val="20"/>
        </w:rPr>
        <w:t>. Такое различение важно не как схема действий, а как ключ к назначению материалов. Qolasta организует молитвенную речь вокруг разных литургических задач. При этом функциональная связь не превращает печатную книгу в сценарий обряда. Между текстом на странице и совершаемым действием находятся язык, рубрики, жреческая передача, конкретная община и ситуация.</w:t>
      </w:r>
    </w:p>
    <w:p>
      <w:r>
        <w:rPr>
          <w:rFonts w:ascii="DejaVu Serif" w:hAnsi="DejaVu Serif" w:eastAsia="DejaVu Serif" w:cs="DejaVu Serif"/>
          <w:sz w:val="20"/>
        </w:rPr>
        <w:t xml:space="preserve">В справочном описании мандаейская литература в целом включает ранние и поздние материалы, которые нередко переплетаются; авторы, редакторы и компиляторы часто неизвестны </w:t>
      </w:r>
      <w:hyperlink r:id="rId14">
        <w:r>
          <w:rPr>
            <w:color w:val="338F91"/>
            <w:u w:val="single"/>
          </w:rPr>
          <w:t>[1]</w:t>
        </w:r>
      </w:hyperlink>
      <w:r>
        <w:rPr>
          <w:rFonts w:ascii="DejaVu Serif" w:hAnsi="DejaVu Serif" w:eastAsia="DejaVu Serif" w:cs="DejaVu Serif"/>
          <w:sz w:val="20"/>
        </w:rPr>
        <w:t>. Поэтому Qolasta разумнее понимать как исторически сложившееся собрание, чем как произведение одного автора, созданное в один момент. Её части могли иметь разные истории, а поздняя редакция могла соединить их в читаемую последовательность.</w:t>
      </w:r>
    </w:p>
    <w:p>
      <w:r>
        <w:rPr>
          <w:rFonts w:ascii="DejaVu Serif" w:hAnsi="DejaVu Serif" w:eastAsia="DejaVu Serif" w:cs="DejaVu Serif"/>
          <w:sz w:val="20"/>
        </w:rPr>
        <w:t>Печатная книга делает эту последовательность видимой, но одновременно скрывает часть её предыстории. Нумерация, заголовки и переходы помогают ориентироваться, однако принадлежат конкретной редакции. Они не являются автоматически первоначальным порядком рукописной традиции. Читатель, который удерживает это различие, видит в Qolasta не только содержание, но и работу передачи.</w:t>
      </w:r>
    </w:p>
    <w:p>
      <w:r>
        <w:rPr>
          <w:rFonts w:ascii="DejaVu Serif" w:hAnsi="DejaVu Serif" w:eastAsia="DejaVu Serif" w:cs="DejaVu Serif"/>
          <w:sz w:val="20"/>
        </w:rPr>
        <w:t>Итак, начальное определение можно сформулировать так: Qolasta — исторически сложившееся мандаейское литургическое собрание, известное через разные рукописные и печатные представления. Оно связано с masbuta и masiqta, объединяет молитвенные и гимнические формы, но не сводится к перечню обрядов и не исчерпывает всю мандаейскую письменность.</w:t>
      </w:r>
    </w:p>
    <w:p>
      <w:pPr>
        <w:keepLines/>
        <w:spacing w:before="100" w:after="40"/>
        <w:jc w:val="center"/>
      </w:pPr>
      <w:r>
        <w:drawing>
          <wp:inline xmlns:a="http://schemas.openxmlformats.org/drawingml/2006/main" xmlns:pic="http://schemas.openxmlformats.org/drawingml/2006/picture">
            <wp:extent cx="3977639" cy="2651759"/>
            <wp:docPr id="2" name="Picture 2"/>
            <wp:cNvGraphicFramePr>
              <a:graphicFrameLocks noChangeAspect="1"/>
            </wp:cNvGraphicFramePr>
            <a:graphic>
              <a:graphicData uri="http://schemas.openxmlformats.org/drawingml/2006/picture">
                <pic:pic>
                  <pic:nvPicPr>
                    <pic:cNvPr id="0" name="02-manuscript-and-edition.jpg"/>
                    <pic:cNvPicPr/>
                  </pic:nvPicPr>
                  <pic:blipFill>
                    <a:blip r:embed="rId15"/>
                    <a:stretch>
                      <a:fillRect/>
                    </a:stretch>
                  </pic:blipFill>
                  <pic:spPr>
                    <a:xfrm>
                      <a:off x="0" y="0"/>
                      <a:ext cx="3977639" cy="2651759"/>
                    </a:xfrm>
                    <a:prstGeom prst="rect"/>
                  </pic:spPr>
                </pic:pic>
              </a:graphicData>
            </a:graphic>
          </wp:inline>
        </w:drawing>
      </w:r>
    </w:p>
    <w:p>
      <w:pPr>
        <w:spacing w:after="160"/>
        <w:jc w:val="center"/>
      </w:pPr>
      <w:r>
        <w:rPr>
          <w:rFonts w:ascii="DejaVu Sans" w:hAnsi="DejaVu Sans" w:eastAsia="DejaVu Sans" w:cs="DejaVu Sans"/>
          <w:i/>
          <w:color w:val="686A72"/>
          <w:sz w:val="16"/>
        </w:rPr>
        <w:t>Рукопись, печатная редакция и литургическая функция</w:t>
      </w:r>
    </w:p>
    <w:p>
      <w:pPr>
        <w:pStyle w:val="Heading2"/>
      </w:pPr>
      <w:r>
        <w:rPr>
          <w:rFonts w:ascii="DejaVu Serif" w:hAnsi="DejaVu Serif" w:eastAsia="DejaVu Serif" w:cs="DejaVu Serif"/>
          <w:sz w:val="20"/>
        </w:rPr>
        <w:t>Глава 2. Книга, компиляция и названия</w:t>
      </w:r>
    </w:p>
    <w:p>
      <w:r>
        <w:rPr>
          <w:rFonts w:ascii="DejaVu Serif" w:hAnsi="DejaVu Serif" w:eastAsia="DejaVu Serif" w:cs="DejaVu Serif"/>
          <w:sz w:val="20"/>
        </w:rPr>
        <w:t>Современный читатель открывает том и видит последовательность страниц. Историк видит за ней несколько вопросов: какой кодекс лежит в основе, какие лакуны восполнены, какие материалы соседствуют только благодаря редактору, а какие связи уже присутствовали в рукописи? В случае Qolasta нельзя ответить на эти вопросы одной общей формулой.</w:t>
      </w:r>
    </w:p>
    <w:p>
      <w:r>
        <w:rPr>
          <w:rFonts w:ascii="DejaVu Serif" w:hAnsi="DejaVu Serif" w:eastAsia="DejaVu Serif" w:cs="DejaVu Serif"/>
          <w:sz w:val="20"/>
        </w:rPr>
        <w:t xml:space="preserve">Библиотечная запись HathiTrust описывает неизменённое переиздание труда Марка Лидцбарского и отмечает, что оригинал вышел в Берлине в 1920 году. В том вошли Qolasta и отдельная «Оксфордская коллекция», связанная с рукописью Marsh 691 из Bodleian Library </w:t>
      </w:r>
      <w:hyperlink r:id="rId16">
        <w:r>
          <w:rPr>
            <w:color w:val="338F91"/>
            <w:u w:val="single"/>
          </w:rPr>
          <w:t>[2]</w:t>
        </w:r>
      </w:hyperlink>
      <w:r>
        <w:rPr>
          <w:rFonts w:ascii="DejaVu Serif" w:hAnsi="DejaVu Serif" w:eastAsia="DejaVu Serif" w:cs="DejaVu Serif"/>
          <w:sz w:val="20"/>
        </w:rPr>
        <w:t>. Это свидетельствует об издательской рамке, но не доказывает, что соседствующие комплексы образуют один авторский оригинал.</w:t>
      </w:r>
    </w:p>
    <w:p>
      <w:r>
        <w:rPr>
          <w:rFonts w:ascii="DejaVu Serif" w:hAnsi="DejaVu Serif" w:eastAsia="DejaVu Serif" w:cs="DejaVu Serif"/>
          <w:sz w:val="20"/>
        </w:rPr>
        <w:t>Это не означает, что Lidzbarski произвольно создал корпус. Напротив, его работа сохраняет большое количество мандаейского материала и показывает, как рукописные комплексы могли быть представлены европейскому читателю. Но издание — посредник. Транслитерация уже выбирает, какие особенности письма передать; перевод предлагает смысловые соответствия; порядок страниц создаёт отношения соседства; заголовок помогает читателю увидеть функциональную группу.</w:t>
      </w:r>
    </w:p>
    <w:p>
      <w:r>
        <w:rPr>
          <w:rFonts w:ascii="DejaVu Serif" w:hAnsi="DejaVu Serif" w:eastAsia="DejaVu Serif" w:cs="DejaVu Serif"/>
          <w:sz w:val="20"/>
        </w:rPr>
        <w:t xml:space="preserve">Внутри молитвенника можно говорить о разделах, связанных с крещением, заупокойной литургией, хвалой, ответами, ежедневной молитвой и специальными сериями, если ясно, что это карта конкретной редакции Drower, а не универсальная схема всех рукописей. Доступный OCR Drower показывает именно такую редакторскую организацию: молитвенные материалы соседствуют с хвалебными, ответными и другими группами </w:t>
      </w:r>
      <w:hyperlink r:id="rId17">
        <w:r>
          <w:rPr>
            <w:color w:val="338F91"/>
            <w:u w:val="single"/>
          </w:rPr>
          <w:t>[3]</w:t>
        </w:r>
      </w:hyperlink>
      <w:r>
        <w:rPr>
          <w:rFonts w:ascii="DejaVu Serif" w:hAnsi="DejaVu Serif" w:eastAsia="DejaVu Serif" w:cs="DejaVu Serif"/>
          <w:sz w:val="20"/>
        </w:rPr>
        <w:t>. Эти названия полезны для разговора о жанрах, но не превращают английское оглавление в мандаейский автограф.</w:t>
      </w:r>
    </w:p>
    <w:p>
      <w:r>
        <w:rPr>
          <w:rFonts w:ascii="DejaVu Serif" w:hAnsi="DejaVu Serif" w:eastAsia="DejaVu Serif" w:cs="DejaVu Serif"/>
          <w:sz w:val="20"/>
        </w:rPr>
        <w:t>Внутренние термины также не следует механически заменять европейскими. В исследовательской литературе рядом с русскими словами «молитва» и «гимн» появляются мандаейские обозначения различных речевых и функциональных форм. Их точный перевод зависит от контекста и от исследовательского решения. Поэтому безопаснее описывать, что делает текст: обращается, восхваляет, отвечает, задаёт рамку, сопровождает действие, — чем объявлять каждую форму полным эквивалентом привычного литературного жанра.</w:t>
      </w:r>
    </w:p>
    <w:p>
      <w:r>
        <w:rPr>
          <w:rFonts w:ascii="DejaVu Serif" w:hAnsi="DejaVu Serif" w:eastAsia="DejaVu Serif" w:cs="DejaVu Serif"/>
          <w:sz w:val="20"/>
        </w:rPr>
        <w:t>Так возникает несколько уровней единства. Есть библиотечное единство тома. Есть редакторское единство последовательности. Есть функциональное единство молитвенника, связанного с литургией. Есть возможное историческое родство текстовых слоёв, которое требует отдельного доказательства. Нельзя автоматически считать их одним и тем же.</w:t>
      </w:r>
    </w:p>
    <w:p>
      <w:r>
        <w:rPr>
          <w:rFonts w:ascii="DejaVu Serif" w:hAnsi="DejaVu Serif" w:eastAsia="DejaVu Serif" w:cs="DejaVu Serif"/>
          <w:sz w:val="20"/>
        </w:rPr>
        <w:t>«Компиляция» здесь не означает небрежную подборку. Компиляция может быть способом сохранить разнотипный материал, приспособить его к употреблению и сделать доступной память традиции. Но она предупреждает читателя: порядок — результат истории. Если рядом стоят молитва, хвалебный текст и ответ, это может отражать древнюю связь, позднюю организацию или оба процесса сразу.</w:t>
      </w:r>
    </w:p>
    <w:p>
      <w:pPr>
        <w:pStyle w:val="Heading2"/>
      </w:pPr>
      <w:r>
        <w:rPr>
          <w:rFonts w:ascii="DejaVu Serif" w:hAnsi="DejaVu Serif" w:eastAsia="DejaVu Serif" w:cs="DejaVu Serif"/>
          <w:sz w:val="20"/>
        </w:rPr>
        <w:t>Глава 3. Голоса, жанры и повтор</w:t>
      </w:r>
    </w:p>
    <w:p>
      <w:r>
        <w:rPr>
          <w:rFonts w:ascii="DejaVu Serif" w:hAnsi="DejaVu Serif" w:eastAsia="DejaVu Serif" w:cs="DejaVu Serif"/>
          <w:sz w:val="20"/>
        </w:rPr>
        <w:t xml:space="preserve">Qolasta лучше читать не как длинную речь одного говорящего, а как собрание речевых режимов. В редакции Drower различаются молитвы, хвалебные тексты и responses; отдельные пометы указывают на ответную или антифонную организацию </w:t>
      </w:r>
      <w:hyperlink r:id="rId17">
        <w:r>
          <w:rPr>
            <w:color w:val="338F91"/>
            <w:u w:val="single"/>
          </w:rPr>
          <w:t>[3]</w:t>
        </w:r>
      </w:hyperlink>
      <w:r>
        <w:rPr>
          <w:rFonts w:ascii="DejaVu Serif" w:hAnsi="DejaVu Serif" w:eastAsia="DejaVu Serif" w:cs="DejaVu Serif"/>
          <w:sz w:val="20"/>
        </w:rPr>
        <w:t>. Это позволяет говорить о чередовании голосов, но не о полной музыкальной партитуре. Из книги нельзя надёжно восстановить мелодию, тембр, распределение певцов или конкретную манеру исполнения.</w:t>
      </w:r>
    </w:p>
    <w:p>
      <w:r>
        <w:rPr>
          <w:rFonts w:ascii="DejaVu Serif" w:hAnsi="DejaVu Serif" w:eastAsia="DejaVu Serif" w:cs="DejaVu Serif"/>
          <w:sz w:val="20"/>
        </w:rPr>
        <w:t>Голос в молитвеннике — не только вопрос о том, кто произносит строку. Это также способ построить отношение между говорящим, адресатом и миром. Один текст может быть обращением к высшей силе, другой — восхвалением светового порядка, третий — ответом на предшествующую речь. В некоторых гимнических фрагментах вода, река или природный образ входят в поэтическое пространство как участники космического отклика. Это литературно-религиозное наблюдение, а не утверждение, что природные предметы образуют простой перечень самостоятельных богов.</w:t>
      </w:r>
    </w:p>
    <w:p>
      <w:r>
        <w:rPr>
          <w:rFonts w:ascii="DejaVu Serif" w:hAnsi="DejaVu Serif" w:eastAsia="DejaVu Serif" w:cs="DejaVu Serif"/>
          <w:sz w:val="20"/>
        </w:rPr>
        <w:t>Ответная структура создаёт движение. Вопрос не обязательно требует бытового объяснения; он может быть способом вызвать подтверждение, развернуть хвалу или перевести внимание от человеческого голоса к более широкому порядку. Когда вопрос и ответ находятся внутри одного текста, редакция показывает не сцену в театральном смысле, а форму риторического взаимодействия.</w:t>
      </w:r>
    </w:p>
    <w:p>
      <w:r>
        <w:rPr>
          <w:rFonts w:ascii="DejaVu Serif" w:hAnsi="DejaVu Serif" w:eastAsia="DejaVu Serif" w:cs="DejaVu Serif"/>
          <w:sz w:val="20"/>
        </w:rPr>
        <w:t>Повтор действует на нескольких уровнях. Возвращаться может хвалебная формула, название, рефрен, структура просьбы или целая близкая последовательность. Для текста, связанного с произнесением, повтор удерживает память и распознаваемость. Он соединяет соседние части и задаёт ритм внимания. Повтор может быть и способом показать, что различные литургические ситуации соприкасаются.</w:t>
      </w:r>
    </w:p>
    <w:p>
      <w:r>
        <w:rPr>
          <w:rFonts w:ascii="DejaVu Serif" w:hAnsi="DejaVu Serif" w:eastAsia="DejaVu Serif" w:cs="DejaVu Serif"/>
          <w:sz w:val="20"/>
        </w:rPr>
        <w:t xml:space="preserve">Но повтор не всегда принадлежит одному уровню. Он может быть свойством исходного текста, особенностью отдельной рукописи, результатом объединения вариантов или последствием редакторского расположения. Drower описывала свою работу как построенную на основном рукописном свидетеле с дополнением пропусков по другим материалам; её перевод в некоторых местах расходится с Lidzbarski </w:t>
      </w:r>
      <w:hyperlink r:id="rId17">
        <w:r>
          <w:rPr>
            <w:color w:val="338F91"/>
            <w:u w:val="single"/>
          </w:rPr>
          <w:t>[3]</w:t>
        </w:r>
      </w:hyperlink>
      <w:r>
        <w:rPr>
          <w:rFonts w:ascii="DejaVu Serif" w:hAnsi="DejaVu Serif" w:eastAsia="DejaVu Serif" w:cs="DejaVu Serif"/>
          <w:sz w:val="20"/>
        </w:rPr>
        <w:t>. Значит, сходство двух мест ещё не объясняет, почему оно возникло.</w:t>
      </w:r>
    </w:p>
    <w:p>
      <w:r>
        <w:rPr>
          <w:rFonts w:ascii="DejaVu Serif" w:hAnsi="DejaVu Serif" w:eastAsia="DejaVu Serif" w:cs="DejaVu Serif"/>
          <w:sz w:val="20"/>
        </w:rPr>
        <w:t>Жанр в Qolasta проявляется не только в содержании, но и в рубрике, месте, повторе и предполагаемой функции. «Молитва» может быть обращением; «гимн» — хвалебной речью; «ответ» — частью чередующейся структуры. Однако такие названия остаются редакторскими инструментами, если мы не можем проверить их в каждом рукописном свидетеле. Научная осторожность здесь не обедняет чтение: она позволяет видеть форму, не выдавая её за готовую теорию исполнения.</w:t>
      </w:r>
    </w:p>
    <w:p>
      <w:r>
        <w:rPr>
          <w:rFonts w:ascii="DejaVu Serif" w:hAnsi="DejaVu Serif" w:eastAsia="DejaVu Serif" w:cs="DejaVu Serif"/>
          <w:sz w:val="20"/>
        </w:rPr>
        <w:t>Точно так же нельзя превращать повтор в доказательство одной неизменной литургической партитуры. Открытая книга передаёт текст и редакторские указания, но живое исполнение включает знания, которых публикация не фиксирует полностью. Мы можем говорить о памяти, перекличке и ритме; должны оставить открытыми вопросы о мелодии, голосах и местных вариантах.</w:t>
      </w:r>
    </w:p>
    <w:p>
      <w:pPr>
        <w:keepLines/>
        <w:spacing w:before="100" w:after="40"/>
        <w:jc w:val="center"/>
      </w:pPr>
      <w:r>
        <w:drawing>
          <wp:inline xmlns:a="http://schemas.openxmlformats.org/drawingml/2006/main" xmlns:pic="http://schemas.openxmlformats.org/drawingml/2006/picture">
            <wp:extent cx="3977639" cy="2651759"/>
            <wp:docPr id="3" name="Picture 3"/>
            <wp:cNvGraphicFramePr>
              <a:graphicFrameLocks noChangeAspect="1"/>
            </wp:cNvGraphicFramePr>
            <a:graphic>
              <a:graphicData uri="http://schemas.openxmlformats.org/drawingml/2006/picture">
                <pic:pic>
                  <pic:nvPicPr>
                    <pic:cNvPr id="0" name="03-voices-and-refrains.jpg"/>
                    <pic:cNvPicPr/>
                  </pic:nvPicPr>
                  <pic:blipFill>
                    <a:blip r:embed="rId18"/>
                    <a:stretch>
                      <a:fillRect/>
                    </a:stretch>
                  </pic:blipFill>
                  <pic:spPr>
                    <a:xfrm>
                      <a:off x="0" y="0"/>
                      <a:ext cx="3977639" cy="2651759"/>
                    </a:xfrm>
                    <a:prstGeom prst="rect"/>
                  </pic:spPr>
                </pic:pic>
              </a:graphicData>
            </a:graphic>
          </wp:inline>
        </w:drawing>
      </w:r>
    </w:p>
    <w:p>
      <w:pPr>
        <w:spacing w:after="160"/>
        <w:jc w:val="center"/>
      </w:pPr>
      <w:r>
        <w:rPr>
          <w:rFonts w:ascii="DejaVu Sans" w:hAnsi="DejaVu Sans" w:eastAsia="DejaVu Sans" w:cs="DejaVu Sans"/>
          <w:i/>
          <w:color w:val="686A72"/>
          <w:sz w:val="16"/>
        </w:rPr>
        <w:t>Перекличка голосов и ритм повтора</w:t>
      </w:r>
    </w:p>
    <w:p>
      <w:pPr>
        <w:pStyle w:val="Heading2"/>
      </w:pPr>
      <w:r>
        <w:rPr>
          <w:rFonts w:ascii="DejaVu Serif" w:hAnsi="DejaVu Serif" w:eastAsia="DejaVu Serif" w:cs="DejaVu Serif"/>
          <w:sz w:val="20"/>
        </w:rPr>
        <w:t>Глава 4. О чём говорит молитва, если не цитировать её</w:t>
      </w:r>
    </w:p>
    <w:p>
      <w:r>
        <w:rPr>
          <w:rFonts w:ascii="DejaVu Serif" w:hAnsi="DejaVu Serif" w:eastAsia="DejaVu Serif" w:cs="DejaVu Serif"/>
          <w:sz w:val="20"/>
        </w:rPr>
        <w:t>Отсутствие прямых цитат не делает содержание невидимым. Можно описать, как молитвенная речь связывает человека с образами света, воды, пути, памяти и порядка. Можно увидеть, как она восхваляет, просит, отвечает и помещает действие в литургический контекст. Но тематическое описание не должно превращаться в реконструкцию полной богословской системы.</w:t>
      </w:r>
    </w:p>
    <w:p>
      <w:r>
        <w:rPr>
          <w:rFonts w:ascii="DejaVu Serif" w:hAnsi="DejaVu Serif" w:eastAsia="DejaVu Serif" w:cs="DejaVu Serif"/>
          <w:sz w:val="20"/>
        </w:rPr>
        <w:t>Материалы, связанные с masbuta, указывают на молитвенник, сопровождающий крещение. Для читателя это означает прежде всего связь текста и действия. Открытая публикация помогает понять, что молитва не существует в вакууме, но не даёт права составлять по ней пошаговую инструкцию. Даже если рубрика сообщает о функции, она не обязательно описывает все условия, роли и значения живого обряда.</w:t>
      </w:r>
    </w:p>
    <w:p>
      <w:r>
        <w:rPr>
          <w:rFonts w:ascii="DejaVu Serif" w:hAnsi="DejaVu Serif" w:eastAsia="DejaVu Serif" w:cs="DejaVu Serif"/>
          <w:sz w:val="20"/>
        </w:rPr>
        <w:t>Материалы, связанные с masiqta, соотносятся с заупокойной мессой и образом восхождения души. Здесь особенно заметен язык пути, ориентации и отношения к световому миру. Однако переводное выражение «восхождение души» не следует превращать в подробную карту посмертного пространства. Источники, использованные для этой книги, поддерживают функциональную характеристику, но не такую реконструкцию.</w:t>
      </w:r>
    </w:p>
    <w:p>
      <w:r>
        <w:rPr>
          <w:rFonts w:ascii="DejaVu Serif" w:hAnsi="DejaVu Serif" w:eastAsia="DejaVu Serif" w:cs="DejaVu Serif"/>
          <w:sz w:val="20"/>
        </w:rPr>
        <w:t>Хвалебная речь помещает говорящего в превосходящий порядок. Она не просто перечисляет качества высшего мира, а совершает акт признания: человек говорит из определённого места в космосе, где свет, вода и небесные силы связаны отношениями. Образы природы здесь работают поэтически; они создают среду ответа и восхвалы. Это чтение доступных переводных и редакторских материалов, не исчерпывающее описание мандаейской теологии.</w:t>
      </w:r>
    </w:p>
    <w:p>
      <w:r>
        <w:rPr>
          <w:rFonts w:ascii="DejaVu Serif" w:hAnsi="DejaVu Serif" w:eastAsia="DejaVu Serif" w:cs="DejaVu Serif"/>
          <w:sz w:val="20"/>
        </w:rPr>
        <w:t>Повтор помогает молитве быть памятью. В рукописной культуре узнаваемая формула или последовательность облегчает передачу, а в литургическом контексте возвращение к знакомой конструкции соединяет настоящее с предшествующей практикой. Но воспроизводимость не равна буквальной неизменности. Разные свидетели, лакуны и редакторские дополнения показывают, что текст живёт через передачу, а не вопреки ей.</w:t>
      </w:r>
    </w:p>
    <w:p>
      <w:r>
        <w:rPr>
          <w:rFonts w:ascii="DejaVu Serif" w:hAnsi="DejaVu Serif" w:eastAsia="DejaVu Serif" w:cs="DejaVu Serif"/>
          <w:sz w:val="20"/>
        </w:rPr>
        <w:t xml:space="preserve">В этом смысле молитва является ещё и социальной памятью. Она сохраняется не только на листе, но и в отношениях между книгой, переписчиком, жрецом и общиной. Аннотация M. Arabestani связывает ритуальную чистоту с передачей религиозных норм, идентичностью и изменениями диаспоры; из неё можно брать этот общий тезис, но не подробности о конкретных молитвах </w:t>
      </w:r>
      <w:hyperlink r:id="rId19">
        <w:r>
          <w:rPr>
            <w:color w:val="338F91"/>
            <w:u w:val="single"/>
          </w:rPr>
          <w:t>[4]</w:t>
        </w:r>
      </w:hyperlink>
      <w:r>
        <w:rPr>
          <w:rFonts w:ascii="DejaVu Serif" w:hAnsi="DejaVu Serif" w:eastAsia="DejaVu Serif" w:cs="DejaVu Serif"/>
          <w:sz w:val="20"/>
        </w:rPr>
        <w:t>. Книга помогает поддерживать границы и преемственность, однако её употребление всегда происходит в определённой социальной среде.</w:t>
      </w:r>
    </w:p>
    <w:p>
      <w:r>
        <w:rPr>
          <w:rFonts w:ascii="DejaVu Serif" w:hAnsi="DejaVu Serif" w:eastAsia="DejaVu Serif" w:cs="DejaVu Serif"/>
          <w:sz w:val="20"/>
        </w:rPr>
        <w:t xml:space="preserve">Drower различала литургическую литературу и ритуальные тексты с традиционными объяснениями символики и смысла обрядов. В её источниковом контексте часть такого материала описывалась как ограниченная для мирян </w:t>
      </w:r>
      <w:hyperlink r:id="rId17">
        <w:r>
          <w:rPr>
            <w:color w:val="338F91"/>
            <w:u w:val="single"/>
          </w:rPr>
          <w:t>[3]</w:t>
        </w:r>
      </w:hyperlink>
      <w:r>
        <w:rPr>
          <w:rFonts w:ascii="DejaVu Serif" w:hAnsi="DejaVu Serif" w:eastAsia="DejaVu Serif" w:cs="DejaVu Serif"/>
          <w:sz w:val="20"/>
        </w:rPr>
        <w:t>. Это нужно атрибутировать именно её публикации середины XX века. Нельзя превращать эту формулировку в универсальный закон для всех современных мандаейских общин, но нельзя и игнорировать её как предупреждение о неполноте открытой книги.</w:t>
      </w:r>
    </w:p>
    <w:p>
      <w:pPr>
        <w:keepLines/>
        <w:spacing w:before="100" w:after="40"/>
        <w:jc w:val="center"/>
      </w:pPr>
      <w:r>
        <w:drawing>
          <wp:inline xmlns:a="http://schemas.openxmlformats.org/drawingml/2006/main" xmlns:pic="http://schemas.openxmlformats.org/drawingml/2006/picture">
            <wp:extent cx="3977639" cy="2651759"/>
            <wp:docPr id="4" name="Picture 4"/>
            <wp:cNvGraphicFramePr>
              <a:graphicFrameLocks noChangeAspect="1"/>
            </wp:cNvGraphicFramePr>
            <a:graphic>
              <a:graphicData uri="http://schemas.openxmlformats.org/drawingml/2006/picture">
                <pic:pic>
                  <pic:nvPicPr>
                    <pic:cNvPr id="0" name="04-water-and-living-tradition.jpg"/>
                    <pic:cNvPicPr/>
                  </pic:nvPicPr>
                  <pic:blipFill>
                    <a:blip r:embed="rId20"/>
                    <a:stretch>
                      <a:fillRect/>
                    </a:stretch>
                  </pic:blipFill>
                  <pic:spPr>
                    <a:xfrm>
                      <a:off x="0" y="0"/>
                      <a:ext cx="3977639" cy="2651759"/>
                    </a:xfrm>
                    <a:prstGeom prst="rect"/>
                  </pic:spPr>
                </pic:pic>
              </a:graphicData>
            </a:graphic>
          </wp:inline>
        </w:drawing>
      </w:r>
    </w:p>
    <w:p>
      <w:pPr>
        <w:spacing w:after="160"/>
        <w:jc w:val="center"/>
      </w:pPr>
      <w:r>
        <w:rPr>
          <w:rFonts w:ascii="DejaVu Sans" w:hAnsi="DejaVu Sans" w:eastAsia="DejaVu Sans" w:cs="DejaVu Sans"/>
          <w:i/>
          <w:color w:val="686A72"/>
          <w:sz w:val="16"/>
        </w:rPr>
        <w:t>Образ воды, света и рукописной памяти</w:t>
      </w:r>
    </w:p>
    <w:p>
      <w:pPr>
        <w:pStyle w:val="Heading2"/>
      </w:pPr>
      <w:r>
        <w:rPr>
          <w:rFonts w:ascii="DejaVu Serif" w:hAnsi="DejaVu Serif" w:eastAsia="DejaVu Serif" w:cs="DejaVu Serif"/>
          <w:sz w:val="20"/>
        </w:rPr>
        <w:t>Глава 5. Рукопись как история передачи</w:t>
      </w:r>
    </w:p>
    <w:p>
      <w:r>
        <w:rPr>
          <w:rFonts w:ascii="DejaVu Serif" w:hAnsi="DejaVu Serif" w:eastAsia="DejaVu Serif" w:cs="DejaVu Serif"/>
          <w:sz w:val="20"/>
        </w:rPr>
        <w:t xml:space="preserve">Издание Drower 1959 года основано прежде всего на рукописи Drower Collection no. 53, или DC 53. В редакторском введении сообщается, что этот экземпляр был получен у мандаейского священнослужителя, а небольшие пропуски восполнялись по DC 3 и другим фрагментам </w:t>
      </w:r>
      <w:hyperlink r:id="rId17">
        <w:r>
          <w:rPr>
            <w:color w:val="338F91"/>
            <w:u w:val="single"/>
          </w:rPr>
          <w:t>[3]</w:t>
        </w:r>
      </w:hyperlink>
      <w:r>
        <w:rPr>
          <w:rFonts w:ascii="DejaVu Serif" w:hAnsi="DejaVu Serif" w:eastAsia="DejaVu Serif" w:cs="DejaVu Serif"/>
          <w:sz w:val="20"/>
        </w:rPr>
        <w:t>. Это важное свидетельство о конкретной работе редактора. Печатный молитвенник не является механической фотографией DC 53: он представляет чтение основного свидетеля и сопоставление с дополнительными материалами.</w:t>
      </w:r>
    </w:p>
    <w:p>
      <w:r>
        <w:rPr>
          <w:rFonts w:ascii="DejaVu Serif" w:hAnsi="DejaVu Serif" w:eastAsia="DejaVu Serif" w:cs="DejaVu Serif"/>
          <w:sz w:val="20"/>
        </w:rPr>
        <w:t>Такой факт меняет отношение к гладкой странице. Если в печати лакуна уже заполнена, читатель может не увидеть, где рукопись прерывалась и где редактор предложил решение. Если рядом помещён перевод, невидимыми остаются выбор синтаксиса и смысловых соответствий. Научная добросовестность начинается с признания посредничества, а не с требования, чтобы посредник исчез.</w:t>
      </w:r>
    </w:p>
    <w:p>
      <w:r>
        <w:rPr>
          <w:rFonts w:ascii="DejaVu Serif" w:hAnsi="DejaVu Serif" w:eastAsia="DejaVu Serif" w:cs="DejaVu Serif"/>
          <w:sz w:val="20"/>
        </w:rPr>
        <w:t xml:space="preserve">Предисловие Drower также связывает европейский этап изучения с работой Julius Euting, который в XIX веке транскрибировал Qulasta по рукописям, находившимся в Париже и Лондоне; значительная часть этого материала затем вошла в работу Lidzbarski </w:t>
      </w:r>
      <w:hyperlink r:id="rId17">
        <w:r>
          <w:rPr>
            <w:color w:val="338F91"/>
            <w:u w:val="single"/>
          </w:rPr>
          <w:t>[3]</w:t>
        </w:r>
      </w:hyperlink>
      <w:r>
        <w:rPr>
          <w:rFonts w:ascii="DejaVu Serif" w:hAnsi="DejaVu Serif" w:eastAsia="DejaVu Serif" w:cs="DejaVu Serif"/>
          <w:sz w:val="20"/>
        </w:rPr>
        <w:t>. Здесь видна цепь, но не тождество стадий: кодекс, транскрипция, редакция и перевод — разные формы существования текста.</w:t>
      </w:r>
    </w:p>
    <w:p>
      <w:r>
        <w:rPr>
          <w:rFonts w:ascii="DejaVu Serif" w:hAnsi="DejaVu Serif" w:eastAsia="DejaVu Serif" w:cs="DejaVu Serif"/>
          <w:sz w:val="20"/>
        </w:rPr>
        <w:t xml:space="preserve">Колофоны — отдельный предмет исследования Buckley именно в связи с </w:t>
      </w:r>
      <w:r>
        <w:rPr>
          <w:rFonts w:ascii="DejaVu Serif" w:hAnsi="DejaVu Serif" w:eastAsia="DejaVu Serif" w:cs="DejaVu Serif"/>
          <w:i/>
          <w:sz w:val="20"/>
        </w:rPr>
        <w:t>Canonical Prayerbook</w:t>
      </w:r>
      <w:r>
        <w:rPr>
          <w:rFonts w:ascii="DejaVu Serif" w:hAnsi="DejaVu Serif" w:eastAsia="DejaVu Serif" w:cs="DejaVu Serif"/>
          <w:sz w:val="20"/>
        </w:rPr>
        <w:t xml:space="preserve"> </w:t>
      </w:r>
      <w:hyperlink r:id="rId21">
        <w:r>
          <w:rPr>
            <w:color w:val="338F91"/>
            <w:u w:val="single"/>
          </w:rPr>
          <w:t>[5]</w:t>
        </w:r>
      </w:hyperlink>
      <w:r>
        <w:rPr>
          <w:rFonts w:ascii="DejaVu Serif" w:hAnsi="DejaVu Serif" w:eastAsia="DejaVu Serif" w:cs="DejaVu Serif"/>
          <w:sz w:val="20"/>
        </w:rPr>
        <w:t xml:space="preserve">. В открытой статье о </w:t>
      </w:r>
      <w:r>
        <w:rPr>
          <w:rFonts w:ascii="DejaVu Serif" w:hAnsi="DejaVu Serif" w:eastAsia="DejaVu Serif" w:cs="DejaVu Serif"/>
          <w:i/>
          <w:sz w:val="20"/>
        </w:rPr>
        <w:t>Sidra Rabba</w:t>
      </w:r>
      <w:r>
        <w:rPr>
          <w:rFonts w:ascii="DejaVu Serif" w:hAnsi="DejaVu Serif" w:eastAsia="DejaVu Serif" w:cs="DejaVu Serif"/>
          <w:sz w:val="20"/>
        </w:rPr>
        <w:t xml:space="preserve"> она показывает, как такие записи помогают изучать переписчиков и линии передачи; это общий контекст, а не свидетельство о конкретном экземпляре Qolasta </w:t>
      </w:r>
      <w:hyperlink r:id="rId22">
        <w:r>
          <w:rPr>
            <w:color w:val="338F91"/>
            <w:u w:val="single"/>
          </w:rPr>
          <w:t>[6]</w:t>
        </w:r>
      </w:hyperlink>
      <w:r>
        <w:rPr>
          <w:rFonts w:ascii="DejaVu Serif" w:hAnsi="DejaVu Serif" w:eastAsia="DejaVu Serif" w:cs="DejaVu Serif"/>
          <w:sz w:val="20"/>
        </w:rPr>
        <w:t>.</w:t>
      </w:r>
    </w:p>
    <w:p>
      <w:r>
        <w:rPr>
          <w:rFonts w:ascii="DejaVu Serif" w:hAnsi="DejaVu Serif" w:eastAsia="DejaVu Serif" w:cs="DejaVu Serif"/>
          <w:sz w:val="20"/>
        </w:rPr>
        <w:t xml:space="preserve">В частности, Buckley объясняет, что обозначение «сын» в некоторых линиях переписчиков может указывать на связь посвящения, а не только на биологическое родство </w:t>
      </w:r>
      <w:hyperlink r:id="rId22">
        <w:r>
          <w:rPr>
            <w:color w:val="338F91"/>
            <w:u w:val="single"/>
          </w:rPr>
          <w:t>[6]</w:t>
        </w:r>
      </w:hyperlink>
      <w:r>
        <w:rPr>
          <w:rFonts w:ascii="DejaVu Serif" w:hAnsi="DejaVu Serif" w:eastAsia="DejaVu Serif" w:cs="DejaVu Serif"/>
          <w:sz w:val="20"/>
        </w:rPr>
        <w:t>. Такую формулу следует читать в контексте, а не автоматически превращать в семейное дерево.</w:t>
      </w:r>
    </w:p>
    <w:p>
      <w:r>
        <w:rPr>
          <w:rFonts w:ascii="DejaVu Serif" w:hAnsi="DejaVu Serif" w:eastAsia="DejaVu Serif" w:cs="DejaVu Serif"/>
          <w:sz w:val="20"/>
        </w:rPr>
        <w:t>Рукопись сохраняет следы труда. Почерк, лист, лакуна, колофон и порядок — материальные признаки, через которые видна история. Но отдельный свидетель не равен всей традиции. Даже подробная запись о переписчике прежде всего рассказывает об экземпляре и его линии; она не датирует автоматически происхождение каждой молитвы и не доказывает неизменность состава.</w:t>
      </w:r>
    </w:p>
    <w:p>
      <w:pPr>
        <w:keepLines/>
        <w:spacing w:before="100" w:after="40"/>
        <w:jc w:val="center"/>
      </w:pPr>
      <w:r>
        <w:drawing>
          <wp:inline xmlns:a="http://schemas.openxmlformats.org/drawingml/2006/main" xmlns:pic="http://schemas.openxmlformats.org/drawingml/2006/picture">
            <wp:extent cx="3977639" cy="2651759"/>
            <wp:docPr id="5" name="Picture 5"/>
            <wp:cNvGraphicFramePr>
              <a:graphicFrameLocks noChangeAspect="1"/>
            </wp:cNvGraphicFramePr>
            <a:graphic>
              <a:graphicData uri="http://schemas.openxmlformats.org/drawingml/2006/picture">
                <pic:pic>
                  <pic:nvPicPr>
                    <pic:cNvPr id="0" name="02-manuscript-and-edition.jpg"/>
                    <pic:cNvPicPr/>
                  </pic:nvPicPr>
                  <pic:blipFill>
                    <a:blip r:embed="rId15"/>
                    <a:stretch>
                      <a:fillRect/>
                    </a:stretch>
                  </pic:blipFill>
                  <pic:spPr>
                    <a:xfrm>
                      <a:off x="0" y="0"/>
                      <a:ext cx="3977639" cy="2651759"/>
                    </a:xfrm>
                    <a:prstGeom prst="rect"/>
                  </pic:spPr>
                </pic:pic>
              </a:graphicData>
            </a:graphic>
          </wp:inline>
        </w:drawing>
      </w:r>
    </w:p>
    <w:p>
      <w:pPr>
        <w:spacing w:after="160"/>
        <w:jc w:val="center"/>
      </w:pPr>
      <w:r>
        <w:rPr>
          <w:rFonts w:ascii="DejaVu Sans" w:hAnsi="DejaVu Sans" w:eastAsia="DejaVu Sans" w:cs="DejaVu Sans"/>
          <w:i/>
          <w:color w:val="686A72"/>
          <w:sz w:val="16"/>
        </w:rPr>
        <w:t>Рукопись и следы передачи</w:t>
      </w:r>
    </w:p>
    <w:p>
      <w:pPr>
        <w:pStyle w:val="Heading2"/>
      </w:pPr>
      <w:r>
        <w:rPr>
          <w:rFonts w:ascii="DejaVu Serif" w:hAnsi="DejaVu Serif" w:eastAsia="DejaVu Serif" w:cs="DejaVu Serif"/>
          <w:sz w:val="20"/>
        </w:rPr>
        <w:t>Глава 6. Как Qolasta стала печатно доступной</w:t>
      </w:r>
    </w:p>
    <w:p>
      <w:r>
        <w:rPr>
          <w:rFonts w:ascii="DejaVu Serif" w:hAnsi="DejaVu Serif" w:eastAsia="DejaVu Serif" w:cs="DejaVu Serif"/>
          <w:sz w:val="20"/>
        </w:rPr>
        <w:t>Печатная история Qolasta — это не простая история «утраты рукописи и её спасения». Публикация одновременно сохраняет, упорядочивает, переводит и интерпретирует. Поэтому каждый том нужно читать как результат работы с конкретными свидетелями.</w:t>
      </w:r>
    </w:p>
    <w:p>
      <w:r>
        <w:rPr>
          <w:rFonts w:ascii="DejaVu Serif" w:hAnsi="DejaVu Serif" w:eastAsia="DejaVu Serif" w:cs="DejaVu Serif"/>
          <w:i/>
          <w:sz w:val="20"/>
        </w:rPr>
        <w:t>Mandäische Liturgien</w:t>
      </w:r>
      <w:r>
        <w:rPr>
          <w:rFonts w:ascii="DejaVu Serif" w:hAnsi="DejaVu Serif" w:eastAsia="DejaVu Serif" w:cs="DejaVu Serif"/>
          <w:sz w:val="20"/>
        </w:rPr>
        <w:t xml:space="preserve"> Марка Лидцбарского впервые вышла в Берлине в 1920 году. Каталог HathiTrust описывает её неизменённое переиздание 1962 года и сообщает, что книга включает Qolasta и отдельную Oxford Collection </w:t>
      </w:r>
      <w:hyperlink r:id="rId16">
        <w:r>
          <w:rPr>
            <w:color w:val="338F91"/>
            <w:u w:val="single"/>
          </w:rPr>
          <w:t>[2]</w:t>
        </w:r>
      </w:hyperlink>
      <w:r>
        <w:rPr>
          <w:rFonts w:ascii="DejaVu Serif" w:hAnsi="DejaVu Serif" w:eastAsia="DejaVu Serif" w:cs="DejaVu Serif"/>
          <w:sz w:val="20"/>
        </w:rPr>
        <w:t>. Каталог подтверждает библиографические сведения и рамку тома, но не заменяет критического сопоставления рукописей.</w:t>
      </w:r>
    </w:p>
    <w:p>
      <w:r>
        <w:rPr>
          <w:rFonts w:ascii="DejaVu Serif" w:hAnsi="DejaVu Serif" w:eastAsia="DejaVu Serif" w:cs="DejaVu Serif"/>
          <w:sz w:val="20"/>
        </w:rPr>
        <w:t xml:space="preserve">Drower, </w:t>
      </w:r>
      <w:r>
        <w:rPr>
          <w:rFonts w:ascii="DejaVu Serif" w:hAnsi="DejaVu Serif" w:eastAsia="DejaVu Serif" w:cs="DejaVu Serif"/>
          <w:i/>
          <w:sz w:val="20"/>
        </w:rPr>
        <w:t>The Canonical Prayerbook of the Mandaeans</w:t>
      </w:r>
      <w:r>
        <w:rPr>
          <w:rFonts w:ascii="DejaVu Serif" w:hAnsi="DejaVu Serif" w:eastAsia="DejaVu Serif" w:cs="DejaVu Serif"/>
          <w:sz w:val="20"/>
        </w:rPr>
        <w:t xml:space="preserve">, вышла в Лейдене в 1959 году как издание с переводом и примечаниями </w:t>
      </w:r>
      <w:hyperlink r:id="rId17">
        <w:r>
          <w:rPr>
            <w:color w:val="338F91"/>
            <w:u w:val="single"/>
          </w:rPr>
          <w:t>[3]</w:t>
        </w:r>
      </w:hyperlink>
      <w:r>
        <w:rPr>
          <w:rFonts w:ascii="DejaVu Serif" w:hAnsi="DejaVu Serif" w:eastAsia="DejaVu Serif" w:cs="DejaVu Serif"/>
          <w:sz w:val="20"/>
        </w:rPr>
        <w:t>. Её значение не сводится к тому, что английский читатель получил доступ к молитвеннику. Drower работала с DC 53, дополняла пропуски по другим материалам и предлагала собственные решения там, где её чтение расходилось с Lidzbarski. Её книга поэтому является самостоятельной редакторской базой, а не простым переложением предыдущего тома.</w:t>
      </w:r>
    </w:p>
    <w:p>
      <w:r>
        <w:rPr>
          <w:rFonts w:ascii="DejaVu Serif" w:hAnsi="DejaVu Serif" w:eastAsia="DejaVu Serif" w:cs="DejaVu Serif"/>
          <w:sz w:val="20"/>
        </w:rPr>
        <w:t>Нужно различать оригинальную письменность, транслитерацию и перевод. Оригинал сохраняет графическую и языковую специфику. Транслитерация создаёт технический мост для исследователя. Перевод переносит смысл в другой язык и неизбежно выбирает между буквальностью, ясностью и интерпретацией. Русский пересказ в этой книге — ещё один уровень, предназначенный для ориентации, а не замена мандаейской странице.</w:t>
      </w:r>
    </w:p>
    <w:p>
      <w:r>
        <w:rPr>
          <w:rFonts w:ascii="DejaVu Serif" w:hAnsi="DejaVu Serif" w:eastAsia="DejaVu Serif" w:cs="DejaVu Serif"/>
          <w:sz w:val="20"/>
        </w:rPr>
        <w:t>Сравнение Lidzbarski и Drower полезно именно потому, что показывает редакторскую работу. Совпадение заголовка или номера ещё не доказывает полной идентичности текста. Расхождение может объясняться другим свидетелем, восполнением лакуны, чтением слова или особенностями целевого языка. Без постраничной проверки нельзя превращать каждый разрыв в ошибку одного редактора.</w:t>
      </w:r>
    </w:p>
    <w:p>
      <w:r>
        <w:rPr>
          <w:rFonts w:ascii="DejaVu Serif" w:hAnsi="DejaVu Serif" w:eastAsia="DejaVu Serif" w:cs="DejaVu Serif"/>
          <w:sz w:val="20"/>
        </w:rPr>
        <w:t xml:space="preserve">Библиотека HathiTrust фиксирует существование и библиографические параметры труда Lidzbarski, но каталог не является критическим аппаратом </w:t>
      </w:r>
      <w:hyperlink r:id="rId16">
        <w:r>
          <w:rPr>
            <w:color w:val="338F91"/>
            <w:u w:val="single"/>
          </w:rPr>
          <w:t>[2]</w:t>
        </w:r>
      </w:hyperlink>
      <w:r>
        <w:rPr>
          <w:rFonts w:ascii="DejaVu Serif" w:hAnsi="DejaVu Serif" w:eastAsia="DejaVu Serif" w:cs="DejaVu Serif"/>
          <w:sz w:val="20"/>
        </w:rPr>
        <w:t>. Архивная OCR-копия Drower открывает большой текстовый массив, однако OCR может ошибаться, а сам перевод остаётся переводом. Цифровая доступность расширяет круг читателей, но не стирает различия между сканом, распознанным текстом, редакцией и рукописью.</w:t>
      </w:r>
    </w:p>
    <w:p>
      <w:r>
        <w:rPr>
          <w:rFonts w:ascii="DejaVu Serif" w:hAnsi="DejaVu Serif" w:eastAsia="DejaVu Serif" w:cs="DejaVu Serif"/>
          <w:sz w:val="20"/>
        </w:rPr>
        <w:t>История изданий учит не недоверию к редакторам, а вниманию к их труду. Без них многие материалы оставались бы труднодоступными. Но чем удобнее книга, тем легче забыть, сколько решений стоит за её гладкой страницей. Честное чтение благодарно изданию и одновременно спрашивает о его основе.</w:t>
      </w:r>
    </w:p>
    <w:p>
      <w:pPr>
        <w:pStyle w:val="Heading2"/>
      </w:pPr>
      <w:r>
        <w:rPr>
          <w:rFonts w:ascii="DejaVu Serif" w:hAnsi="DejaVu Serif" w:eastAsia="DejaVu Serif" w:cs="DejaVu Serif"/>
          <w:sz w:val="20"/>
        </w:rPr>
        <w:t>Глава 7. Между молитвенником и живой литургией</w:t>
      </w:r>
    </w:p>
    <w:p>
      <w:r>
        <w:rPr>
          <w:rFonts w:ascii="DejaVu Serif" w:hAnsi="DejaVu Serif" w:eastAsia="DejaVu Serif" w:cs="DejaVu Serif"/>
          <w:sz w:val="20"/>
        </w:rPr>
        <w:t xml:space="preserve">Iranica сообщает, что функциональные области Qolasta, связанные с masbuta и masiqta, продолжают использоваться мандаейскими священнослужителями </w:t>
      </w:r>
      <w:hyperlink r:id="rId14">
        <w:r>
          <w:rPr>
            <w:color w:val="338F91"/>
            <w:u w:val="single"/>
          </w:rPr>
          <w:t>[1]</w:t>
        </w:r>
      </w:hyperlink>
      <w:r>
        <w:rPr>
          <w:rFonts w:ascii="DejaVu Serif" w:hAnsi="DejaVu Serif" w:eastAsia="DejaVu Serif" w:cs="DejaVu Serif"/>
          <w:sz w:val="20"/>
        </w:rPr>
        <w:t>. Это сильное свидетельство связи книги с живой литургией. Но оно не означает, что каждый опубликованный фрагмент читается одинаково во всех общинах, что порядок печатного тома совпадает с каждым обрядом или что внешний читатель может заменить собой носителя традиции.</w:t>
      </w:r>
    </w:p>
    <w:p>
      <w:r>
        <w:rPr>
          <w:rFonts w:ascii="DejaVu Serif" w:hAnsi="DejaVu Serif" w:eastAsia="DejaVu Serif" w:cs="DejaVu Serif"/>
          <w:sz w:val="20"/>
        </w:rPr>
        <w:t>Между страницей и литургией есть несколько посредников. Язык определяет, кто может читать. Рукописная редакция определяет, какие варианты доступны. Рубрика предлагает функциональную рамку. Жреческая передача сообщает знания, которые не обязаны быть напечатаны. Местная община соотносит текст с конкретным временем, участниками и обстоятельствами. Даже если книга сохраняет узнаваемое ядро, её жизнь не исчерпывается одной публикацией.</w:t>
      </w:r>
    </w:p>
    <w:p>
      <w:r>
        <w:rPr>
          <w:rFonts w:ascii="DejaVu Serif" w:hAnsi="DejaVu Serif" w:eastAsia="DejaVu Serif" w:cs="DejaVu Serif"/>
          <w:sz w:val="20"/>
        </w:rPr>
        <w:t xml:space="preserve">Drower писала, что доступный ранее печатный материал составлял лишь часть книги, которой располагали мандаейские священнослужители, и что некоторые важные разделы отсутствовали </w:t>
      </w:r>
      <w:hyperlink r:id="rId17">
        <w:r>
          <w:rPr>
            <w:color w:val="338F91"/>
            <w:u w:val="single"/>
          </w:rPr>
          <w:t>[3]</w:t>
        </w:r>
      </w:hyperlink>
      <w:r>
        <w:rPr>
          <w:rFonts w:ascii="DejaVu Serif" w:hAnsi="DejaVu Serif" w:eastAsia="DejaVu Serif" w:cs="DejaVu Serif"/>
          <w:sz w:val="20"/>
        </w:rPr>
        <w:t>. Это свидетельство о границах публикации в её источниковом контексте, а не полный каталог непубличного знания. Его значение — в том, что открытый молитвенник нельзя принимать за всю библиотеку и тем более за всю систему жреческого обучения.</w:t>
      </w:r>
    </w:p>
    <w:p>
      <w:r>
        <w:rPr>
          <w:rFonts w:ascii="DejaVu Serif" w:hAnsi="DejaVu Serif" w:eastAsia="DejaVu Serif" w:cs="DejaVu Serif"/>
          <w:sz w:val="20"/>
        </w:rPr>
        <w:t xml:space="preserve">История академического доступа подтверждает необходимость осторожности. Университетский проект Exeter отмечает, что исследователи сталкивались с трудностями при работе с живыми общинами; священнослужители не всегда были готовы делиться уникальным знанием с внешними исследователями и даже с мирянами, а создание рукописей описывается как ремесло, связанное с жреческой средой </w:t>
      </w:r>
      <w:hyperlink r:id="rId23">
        <w:r>
          <w:rPr>
            <w:color w:val="338F91"/>
            <w:u w:val="single"/>
          </w:rPr>
          <w:t>[7]</w:t>
        </w:r>
      </w:hyperlink>
      <w:r>
        <w:rPr>
          <w:rFonts w:ascii="DejaVu Serif" w:hAnsi="DejaVu Serif" w:eastAsia="DejaVu Serif" w:cs="DejaVu Serif"/>
          <w:sz w:val="20"/>
        </w:rPr>
        <w:t>. Это обзор истории исследования, не статистика о каждом современном священнике. Его урок прост: доступ исследователя всегда имеет социальные условия.</w:t>
      </w:r>
    </w:p>
    <w:p>
      <w:r>
        <w:rPr>
          <w:rFonts w:ascii="DejaVu Serif" w:hAnsi="DejaVu Serif" w:eastAsia="DejaVu Serif" w:cs="DejaVu Serif"/>
          <w:sz w:val="20"/>
        </w:rPr>
        <w:t>Этическая граница здесь не декоративна. Нельзя собирать практический порядок обряда из неполного оглавления. Нельзя представлять перевод как разрешение на участие в литургии. Нельзя обходить ограничение, если источник сообщает о непубличном материале. Открытый файл говорит о библиотечном доступе, но не автоматически о праве на всякое знание внутри традиции.</w:t>
      </w:r>
    </w:p>
    <w:p>
      <w:r>
        <w:rPr>
          <w:rFonts w:ascii="DejaVu Serif" w:hAnsi="DejaVu Serif" w:eastAsia="DejaVu Serif" w:cs="DejaVu Serif"/>
          <w:sz w:val="20"/>
        </w:rPr>
        <w:t>При этом осторожность не требует молчать о функции книги. Можно обсуждать связь текста с крещением и заупокойной литургией, роль хвалебной речи, передачу молитвенника и значение рукописного труда. Важно только называть уровень утверждения: где говорит справочник, где — редактор, где — описание академического доступа, а где начинается интерпретация.</w:t>
      </w:r>
    </w:p>
    <w:p>
      <w:r>
        <w:rPr>
          <w:rFonts w:ascii="DejaVu Serif" w:hAnsi="DejaVu Serif" w:eastAsia="DejaVu Serif" w:cs="DejaVu Serif"/>
          <w:sz w:val="20"/>
        </w:rPr>
        <w:t xml:space="preserve">Изменения диаспоры также не следует описывать как исчезновение или простое сохранение без изменений. Аннотация Arabestani связывает ритуальную чистоту, передачу норм и идентичность с меняющейся социальной средой </w:t>
      </w:r>
      <w:hyperlink r:id="rId19">
        <w:r>
          <w:rPr>
            <w:color w:val="338F91"/>
            <w:u w:val="single"/>
          </w:rPr>
          <w:t>[4]</w:t>
        </w:r>
      </w:hyperlink>
      <w:r>
        <w:rPr>
          <w:rFonts w:ascii="DejaVu Serif" w:hAnsi="DejaVu Serif" w:eastAsia="DejaVu Serif" w:cs="DejaVu Serif"/>
          <w:sz w:val="20"/>
        </w:rPr>
        <w:t>. Для Qolasta это означает, что книга участвует в поддержании традиции, но её социальная жизнь не может быть выведена из одного печатного перевода.</w:t>
      </w:r>
    </w:p>
    <w:p>
      <w:pPr>
        <w:pStyle w:val="Heading2"/>
      </w:pPr>
      <w:r>
        <w:rPr>
          <w:rFonts w:ascii="DejaVu Serif" w:hAnsi="DejaVu Serif" w:eastAsia="DejaVu Serif" w:cs="DejaVu Serif"/>
          <w:sz w:val="20"/>
        </w:rPr>
        <w:t>Глава 8. Qolasta и Ginza Rabba: два разных типа книги</w:t>
      </w:r>
    </w:p>
    <w:p>
      <w:r>
        <w:rPr>
          <w:rFonts w:ascii="DejaVu Serif" w:hAnsi="DejaVu Serif" w:eastAsia="DejaVu Serif" w:cs="DejaVu Serif"/>
          <w:sz w:val="20"/>
        </w:rPr>
        <w:t xml:space="preserve">Сравнение с Ginza Rabba помогает определить Qolasta через различие функций. Iranica описывает мандаейскую письменность как разнообразный корпус: в неё входят ритуальные книги, литургии, молитвы, гимны, комментарии, богословско-мифологические сочинения, легенды, иллюстрированные свитки и магические тексты </w:t>
      </w:r>
      <w:hyperlink r:id="rId14">
        <w:r>
          <w:rPr>
            <w:color w:val="338F91"/>
            <w:u w:val="single"/>
          </w:rPr>
          <w:t>[1]</w:t>
        </w:r>
      </w:hyperlink>
      <w:r>
        <w:rPr>
          <w:rFonts w:ascii="DejaVu Serif" w:hAnsi="DejaVu Serif" w:eastAsia="DejaVu Serif" w:cs="DejaVu Serif"/>
          <w:sz w:val="20"/>
        </w:rPr>
        <w:t>. «Мандаейская книга» поэтому не обозначает один жанр и один тип авторитета.</w:t>
      </w:r>
    </w:p>
    <w:p>
      <w:r>
        <w:rPr>
          <w:rFonts w:ascii="DejaVu Serif" w:hAnsi="DejaVu Serif" w:eastAsia="DejaVu Serif" w:cs="DejaVu Serif"/>
          <w:sz w:val="20"/>
        </w:rPr>
        <w:t xml:space="preserve">Ginza Rabba, также называемая Ginza или Sidra Rba, описывается как наиболее полный сборник мандаейских письменных материалов; в ней различаются правая и левая части </w:t>
      </w:r>
      <w:hyperlink r:id="rId14">
        <w:r>
          <w:rPr>
            <w:color w:val="338F91"/>
            <w:u w:val="single"/>
          </w:rPr>
          <w:t>[1]</w:t>
        </w:r>
      </w:hyperlink>
      <w:r>
        <w:rPr>
          <w:rFonts w:ascii="DejaVu Serif" w:hAnsi="DejaVu Serif" w:eastAsia="DejaVu Serif" w:cs="DejaVu Serif"/>
          <w:sz w:val="20"/>
        </w:rPr>
        <w:t>. Правая Ginza преимущественно связана с космологическими, богословскими и дидактическими темами, левая — с восхождением души. Это широкая книжная архитектура, ориентированная на развертывание религиозного знания.</w:t>
      </w:r>
    </w:p>
    <w:p>
      <w:r>
        <w:rPr>
          <w:rFonts w:ascii="DejaVu Serif" w:hAnsi="DejaVu Serif" w:eastAsia="DejaVu Serif" w:cs="DejaVu Serif"/>
          <w:sz w:val="20"/>
        </w:rPr>
        <w:t xml:space="preserve">Qolasta делает другую работу. Она является молитвенником: соединяет литургические гимны, молитвы и ритуальные тексты, а её крупные области связаны с masbuta и masiqta </w:t>
      </w:r>
      <w:hyperlink r:id="rId14">
        <w:r>
          <w:rPr>
            <w:color w:val="338F91"/>
            <w:u w:val="single"/>
          </w:rPr>
          <w:t>[1]</w:t>
        </w:r>
      </w:hyperlink>
      <w:r>
        <w:rPr>
          <w:rFonts w:ascii="DejaVu Serif" w:hAnsi="DejaVu Serif" w:eastAsia="DejaVu Serif" w:cs="DejaVu Serif"/>
          <w:sz w:val="20"/>
        </w:rPr>
        <w:t>. Если Ginza в справочном описании отвечает на вопросы о мире, учении и судьбе души, Qolasta организует речь, сопровождающую священное действие, восхваление, крещение и заупокойный контекст. Это не абсолютное разделение тем, но различие книжной функции.</w:t>
      </w:r>
    </w:p>
    <w:p>
      <w:r>
        <w:rPr>
          <w:rFonts w:ascii="DejaVu Serif" w:hAnsi="DejaVu Serif" w:eastAsia="DejaVu Serif" w:cs="DejaVu Serif"/>
          <w:sz w:val="20"/>
        </w:rPr>
        <w:t>Рядом существует Книга Иоанна, а также специальные свитки и сочинения. Одни повествуют и наставляют, другие оформляют отдельные обряды, третьи связаны с жреческим кругом. Само наличие разных типов текста показывает, что «священный» не означает «одинаково используемый» и «одинаково доступный». Нельзя превращать мандаейскую письменность в одну книгу, которая будто бы суммирует все остальные.</w:t>
      </w:r>
    </w:p>
    <w:p>
      <w:r>
        <w:rPr>
          <w:rFonts w:ascii="DejaVu Serif" w:hAnsi="DejaVu Serif" w:eastAsia="DejaVu Serif" w:cs="DejaVu Serif"/>
          <w:sz w:val="20"/>
        </w:rPr>
        <w:t>Сравнивать Qolasta и Ginza как соперничающие «главные книги» было бы ошибкой. Ginza не важнее потому, что шире, а Qolasta не менее значима потому, что функциональнее. Их различие продуктивно: один корпус разворачивает космологические и дидактические материалы, другой соединяет молитвенную речь с литургическим действием. Оба принадлежат общей традиции, но не выполняют одну книжную работу.</w:t>
      </w:r>
    </w:p>
    <w:p>
      <w:r>
        <w:rPr>
          <w:rFonts w:ascii="DejaVu Serif" w:hAnsi="DejaVu Serif" w:eastAsia="DejaVu Serif" w:cs="DejaVu Serif"/>
          <w:sz w:val="20"/>
        </w:rPr>
        <w:t xml:space="preserve">Рукописная история дополнительно смягчает слишком резкие границы. Авторы, редакторы и компиляторы часто неизвестны, ранние и поздние материалы могут переплетаться, а тексты передавались в книгах и свитках </w:t>
      </w:r>
      <w:hyperlink r:id="rId14">
        <w:r>
          <w:rPr>
            <w:color w:val="338F91"/>
            <w:u w:val="single"/>
          </w:rPr>
          <w:t>[1]</w:t>
        </w:r>
      </w:hyperlink>
      <w:r>
        <w:rPr>
          <w:rFonts w:ascii="DejaVu Serif" w:hAnsi="DejaVu Serif" w:eastAsia="DejaVu Serif" w:cs="DejaVu Serif"/>
          <w:sz w:val="20"/>
        </w:rPr>
        <w:t>. Поэтому названия корпусов — полезные ориентиры, но не доказательство идеально герметичных границ между всеми свидетелями.</w:t>
      </w:r>
    </w:p>
    <w:p>
      <w:r>
        <w:rPr>
          <w:rFonts w:ascii="DejaVu Serif" w:hAnsi="DejaVu Serif" w:eastAsia="DejaVu Serif" w:cs="DejaVu Serif"/>
          <w:sz w:val="20"/>
        </w:rPr>
        <w:t>Для читателя итог прост. Qolasta — не сокращённая Ginza и не энциклопедия мандаизма. Это литургическое собрание, в котором текст встречается с действием. Именно через это ограничение её место в мандаейской книжности становится яснее.</w:t>
      </w:r>
    </w:p>
    <w:p>
      <w:pPr>
        <w:keepLines/>
        <w:spacing w:before="100" w:after="40"/>
        <w:jc w:val="center"/>
      </w:pPr>
      <w:r>
        <w:drawing>
          <wp:inline xmlns:a="http://schemas.openxmlformats.org/drawingml/2006/main" xmlns:pic="http://schemas.openxmlformats.org/drawingml/2006/picture">
            <wp:extent cx="3977639" cy="2651759"/>
            <wp:docPr id="6" name="Picture 6"/>
            <wp:cNvGraphicFramePr>
              <a:graphicFrameLocks noChangeAspect="1"/>
            </wp:cNvGraphicFramePr>
            <a:graphic>
              <a:graphicData uri="http://schemas.openxmlformats.org/drawingml/2006/picture">
                <pic:pic>
                  <pic:nvPicPr>
                    <pic:cNvPr id="0" name="05-qolasta-and-ginza.jpg"/>
                    <pic:cNvPicPr/>
                  </pic:nvPicPr>
                  <pic:blipFill>
                    <a:blip r:embed="rId24"/>
                    <a:stretch>
                      <a:fillRect/>
                    </a:stretch>
                  </pic:blipFill>
                  <pic:spPr>
                    <a:xfrm>
                      <a:off x="0" y="0"/>
                      <a:ext cx="3977639" cy="2651759"/>
                    </a:xfrm>
                    <a:prstGeom prst="rect"/>
                  </pic:spPr>
                </pic:pic>
              </a:graphicData>
            </a:graphic>
          </wp:inline>
        </w:drawing>
      </w:r>
    </w:p>
    <w:p>
      <w:pPr>
        <w:spacing w:after="160"/>
        <w:jc w:val="center"/>
      </w:pPr>
      <w:r>
        <w:rPr>
          <w:rFonts w:ascii="DejaVu Sans" w:hAnsi="DejaVu Sans" w:eastAsia="DejaVu Sans" w:cs="DejaVu Sans"/>
          <w:i/>
          <w:color w:val="686A72"/>
          <w:sz w:val="16"/>
        </w:rPr>
        <w:t>Разные типы книжной функции: Qolasta и Ginza Rabba</w:t>
      </w:r>
    </w:p>
    <w:p>
      <w:pPr>
        <w:pStyle w:val="Heading2"/>
      </w:pPr>
      <w:r>
        <w:rPr>
          <w:rFonts w:ascii="DejaVu Serif" w:hAnsi="DejaVu Serif" w:eastAsia="DejaVu Serif" w:cs="DejaVu Serif"/>
          <w:sz w:val="20"/>
        </w:rPr>
        <w:t>Глава 9. Что мы знаем — и чего не должны утверждать</w:t>
      </w:r>
    </w:p>
    <w:p>
      <w:r>
        <w:rPr>
          <w:rFonts w:ascii="DejaVu Serif" w:hAnsi="DejaVu Serif" w:eastAsia="DejaVu Serif" w:cs="DejaVu Serif"/>
          <w:sz w:val="20"/>
        </w:rPr>
        <w:t>История Qolasta соблазняет чрезмерной уверенностью. Печатный том легко принять за древний оригинал, гладкий перевод — за сам текст, рубрику — за неизменную инструкцию, а датированный кодекс — за дату возникновения всего корпуса. Но проверенный корпус источников поддерживает более точный и скромный рассказ.</w:t>
      </w:r>
    </w:p>
    <w:p>
      <w:r>
        <w:rPr>
          <w:rFonts w:ascii="DejaVu Serif" w:hAnsi="DejaVu Serif" w:eastAsia="DejaVu Serif" w:cs="DejaVu Serif"/>
          <w:sz w:val="20"/>
        </w:rPr>
        <w:t xml:space="preserve">Мы знаем, что Qolasta описывается как каноническая мандаейская молитвенная книга, объединяющая гимны, молитвы и ритуальные тексты </w:t>
      </w:r>
      <w:hyperlink r:id="rId14">
        <w:r>
          <w:rPr>
            <w:color w:val="338F91"/>
            <w:u w:val="single"/>
          </w:rPr>
          <w:t>[1]</w:t>
        </w:r>
      </w:hyperlink>
      <w:r>
        <w:rPr>
          <w:rFonts w:ascii="DejaVu Serif" w:hAnsi="DejaVu Serif" w:eastAsia="DejaVu Serif" w:cs="DejaVu Serif"/>
          <w:sz w:val="20"/>
        </w:rPr>
        <w:t xml:space="preserve">. Знаем о её функциональной связи с masbuta и masiqta. Знаем о значении Lidzbarski и Drower как редакторов и переводчиков, о библиотечной рамке </w:t>
      </w:r>
      <w:r>
        <w:rPr>
          <w:rFonts w:ascii="DejaVu Serif" w:hAnsi="DejaVu Serif" w:eastAsia="DejaVu Serif" w:cs="DejaVu Serif"/>
          <w:i/>
          <w:sz w:val="20"/>
        </w:rPr>
        <w:t>Mandäische Liturgien</w:t>
      </w:r>
      <w:r>
        <w:rPr>
          <w:rFonts w:ascii="DejaVu Serif" w:hAnsi="DejaVu Serif" w:eastAsia="DejaVu Serif" w:cs="DejaVu Serif"/>
          <w:sz w:val="20"/>
        </w:rPr>
        <w:t xml:space="preserve">, о рукописной основе DC 53 и дополнительных материалах Drower </w:t>
      </w:r>
      <w:hyperlink r:id="rId16">
        <w:r>
          <w:rPr>
            <w:color w:val="338F91"/>
            <w:u w:val="single"/>
          </w:rPr>
          <w:t>[2]</w:t>
        </w:r>
      </w:hyperlink>
      <w:r>
        <w:rPr>
          <w:rFonts w:ascii="DejaVu Serif" w:hAnsi="DejaVu Serif" w:eastAsia="DejaVu Serif" w:cs="DejaVu Serif"/>
          <w:sz w:val="20"/>
        </w:rPr>
        <w:t xml:space="preserve"> </w:t>
      </w:r>
      <w:hyperlink r:id="rId17">
        <w:r>
          <w:rPr>
            <w:color w:val="338F91"/>
            <w:u w:val="single"/>
          </w:rPr>
          <w:t>[3]</w:t>
        </w:r>
      </w:hyperlink>
      <w:r>
        <w:rPr>
          <w:rFonts w:ascii="DejaVu Serif" w:hAnsi="DejaVu Serif" w:eastAsia="DejaVu Serif" w:cs="DejaVu Serif"/>
          <w:sz w:val="20"/>
        </w:rPr>
        <w:t xml:space="preserve">. Знаем, что колофоны помогают изучать переписчиков и линии передачи, а доступ к жреческому знанию исторически был неравномерным </w:t>
      </w:r>
      <w:hyperlink r:id="rId21">
        <w:r>
          <w:rPr>
            <w:color w:val="338F91"/>
            <w:u w:val="single"/>
          </w:rPr>
          <w:t>[5]</w:t>
        </w:r>
      </w:hyperlink>
      <w:r>
        <w:rPr>
          <w:rFonts w:ascii="DejaVu Serif" w:hAnsi="DejaVu Serif" w:eastAsia="DejaVu Serif" w:cs="DejaVu Serif"/>
          <w:sz w:val="20"/>
        </w:rPr>
        <w:t xml:space="preserve"> </w:t>
      </w:r>
      <w:hyperlink r:id="rId22">
        <w:r>
          <w:rPr>
            <w:color w:val="338F91"/>
            <w:u w:val="single"/>
          </w:rPr>
          <w:t>[6]</w:t>
        </w:r>
      </w:hyperlink>
      <w:r>
        <w:rPr>
          <w:rFonts w:ascii="DejaVu Serif" w:hAnsi="DejaVu Serif" w:eastAsia="DejaVu Serif" w:cs="DejaVu Serif"/>
          <w:sz w:val="20"/>
        </w:rPr>
        <w:t xml:space="preserve"> </w:t>
      </w:r>
      <w:hyperlink r:id="rId23">
        <w:r>
          <w:rPr>
            <w:color w:val="338F91"/>
            <w:u w:val="single"/>
          </w:rPr>
          <w:t>[7]</w:t>
        </w:r>
      </w:hyperlink>
      <w:r>
        <w:rPr>
          <w:rFonts w:ascii="DejaVu Serif" w:hAnsi="DejaVu Serif" w:eastAsia="DejaVu Serif" w:cs="DejaVu Serif"/>
          <w:sz w:val="20"/>
        </w:rPr>
        <w:t>.</w:t>
      </w:r>
    </w:p>
    <w:p>
      <w:r>
        <w:rPr>
          <w:rFonts w:ascii="DejaVu Serif" w:hAnsi="DejaVu Serif" w:eastAsia="DejaVu Serif" w:cs="DejaVu Serif"/>
          <w:sz w:val="20"/>
        </w:rPr>
        <w:t>Но мы не располагаем здесь полным критическим сопоставлением всех рукописей Qolasta. Не можем доказать единый первоначальный порядок всего корпуса. Не можем по дате отдельного экземпляра датировать возникновение молитв. Не можем восстановить полную музыку, тембр и распределение ролей. Не можем утверждать, что одна печатная редакция описывает каждую современную общину.</w:t>
      </w:r>
    </w:p>
    <w:p>
      <w:r>
        <w:rPr>
          <w:rFonts w:ascii="DejaVu Serif" w:hAnsi="DejaVu Serif" w:eastAsia="DejaVu Serif" w:cs="DejaVu Serif"/>
          <w:sz w:val="20"/>
        </w:rPr>
        <w:t>Четыре уровня свидетельств помогают не смешать выводы. Рукописный уровень сообщает о состоянии конкретного экземпляра, его письме, лакунах и колофоне. Редакторский уровень показывает, как из этих материалов создан читаемый текст. Уровень практики описывает связь книги с живой литургией и общиной. Исследовательский уровень предлагает объяснения слоёв, жанров и компиляции. Каждый уровень необходим, но ни один не поглощает остальные.</w:t>
      </w:r>
    </w:p>
    <w:p>
      <w:r>
        <w:rPr>
          <w:rFonts w:ascii="DejaVu Serif" w:hAnsi="DejaVu Serif" w:eastAsia="DejaVu Serif" w:cs="DejaVu Serif"/>
          <w:sz w:val="20"/>
        </w:rPr>
        <w:t>Например, рубрика в печатной книге может сообщать о функции текста в данной редакции. Из этого не следует, что такая рубрика одинаково записана во всех кодексах. Дата колофона сообщает о создании или переписывании экземпляра, но не обязательно о возрасте формулы. Описание употребления masbuta показывает связь молитвенника с обрядом, но не превращает читателя в исполнителя.</w:t>
      </w:r>
    </w:p>
    <w:p>
      <w:r>
        <w:rPr>
          <w:rFonts w:ascii="DejaVu Serif" w:hAnsi="DejaVu Serif" w:eastAsia="DejaVu Serif" w:cs="DejaVu Serif"/>
          <w:sz w:val="20"/>
        </w:rPr>
        <w:t>Есть и два разных вида неполноты. Материальная неполнота — утраченный лист, нечитабельная строка, лакуна. Её редактор может пытаться восполнить сравнением свидетелей. Институциональная неполнота — знание, которое существует, но не предназначено для публичного воспроизведения. Здесь пробел нельзя заполнять догадкой. В первом случае нужен критический аппарат; во втором — уважение к границе.</w:t>
      </w:r>
    </w:p>
    <w:p>
      <w:r>
        <w:rPr>
          <w:rFonts w:ascii="DejaVu Serif" w:hAnsi="DejaVu Serif" w:eastAsia="DejaVu Serif" w:cs="DejaVu Serif"/>
          <w:sz w:val="20"/>
        </w:rPr>
        <w:t>Эта граница не делает исследование холодным. Она возвращает книге объём. Мы видим труд переписчика, выбор редактора, ответственность переводчика, помощь каталога и присутствие общины. Понимаем, что цифровая открытость не стирает различий между доступностью файла и правом на ритуальное знание.</w:t>
      </w:r>
    </w:p>
    <w:p>
      <w:r>
        <w:rPr>
          <w:rFonts w:ascii="DejaVu Serif" w:hAnsi="DejaVu Serif" w:eastAsia="DejaVu Serif" w:cs="DejaVu Serif"/>
          <w:sz w:val="20"/>
        </w:rPr>
        <w:t>Хорошие вопросы остаются открытыми: как менялся порядок между свидетелями; какие рубрики древнее конкретной редакции; как соотносятся повторяющиеся места; какие колофонные формулы описывают родство, а какие — обучение; как разные общины используют литургический корпус. Для ответов нужны изображения кодексов, критические издания, языковая экспертиза и сотрудничество с носителями традиции.</w:t>
      </w:r>
    </w:p>
    <w:p>
      <w:r>
        <w:rPr>
          <w:rFonts w:ascii="DejaVu Serif" w:hAnsi="DejaVu Serif" w:eastAsia="DejaVu Serif" w:cs="DejaVu Serif"/>
          <w:sz w:val="20"/>
        </w:rPr>
        <w:t xml:space="preserve">Надёжно подтверждаются библиография изданий, рукописная основа DC 53 и общая связь молитвенника с литургией. Отдельные жанровые и редакторские решения требуют проверки по свидетелям; единый первоначальный порядок, полная история каждого текста и вся современная вариативность практики остаются открытыми вопросами </w:t>
      </w:r>
      <w:hyperlink r:id="rId14">
        <w:r>
          <w:rPr>
            <w:color w:val="338F91"/>
            <w:u w:val="single"/>
          </w:rPr>
          <w:t>[1]</w:t>
        </w:r>
      </w:hyperlink>
      <w:r>
        <w:rPr>
          <w:rFonts w:ascii="DejaVu Serif" w:hAnsi="DejaVu Serif" w:eastAsia="DejaVu Serif" w:cs="DejaVu Serif"/>
          <w:sz w:val="20"/>
        </w:rPr>
        <w:t xml:space="preserve"> </w:t>
      </w:r>
      <w:hyperlink r:id="rId17">
        <w:r>
          <w:rPr>
            <w:color w:val="338F91"/>
            <w:u w:val="single"/>
          </w:rPr>
          <w:t>[3]</w:t>
        </w:r>
      </w:hyperlink>
      <w:r>
        <w:rPr>
          <w:rFonts w:ascii="DejaVu Serif" w:hAnsi="DejaVu Serif" w:eastAsia="DejaVu Serif" w:cs="DejaVu Serif"/>
          <w:sz w:val="20"/>
        </w:rPr>
        <w:t xml:space="preserve"> </w:t>
      </w:r>
      <w:hyperlink r:id="rId22">
        <w:r>
          <w:rPr>
            <w:color w:val="338F91"/>
            <w:u w:val="single"/>
          </w:rPr>
          <w:t>[6]</w:t>
        </w:r>
      </w:hyperlink>
      <w:r>
        <w:rPr>
          <w:rFonts w:ascii="DejaVu Serif" w:hAnsi="DejaVu Serif" w:eastAsia="DejaVu Serif" w:cs="DejaVu Serif"/>
          <w:sz w:val="20"/>
        </w:rPr>
        <w:t>.</w:t>
      </w:r>
    </w:p>
    <w:p>
      <w:pPr>
        <w:pStyle w:val="Heading2"/>
      </w:pPr>
      <w:r>
        <w:rPr>
          <w:rFonts w:ascii="DejaVu Serif" w:hAnsi="DejaVu Serif" w:eastAsia="DejaVu Serif" w:cs="DejaVu Serif"/>
          <w:sz w:val="20"/>
        </w:rPr>
        <w:t>Краткое заключение. Книга, которую нельзя свести к странице</w:t>
      </w:r>
    </w:p>
    <w:p>
      <w:r>
        <w:rPr>
          <w:rFonts w:ascii="DejaVu Serif" w:hAnsi="DejaVu Serif" w:eastAsia="DejaVu Serif" w:cs="DejaVu Serif"/>
          <w:sz w:val="20"/>
        </w:rPr>
        <w:t>Qolasta приходит к современному читателю как книга, но её история сопротивляется простому единству. За страницей стоят рукописи, колофоны, переписчики, библиотеки, редакторы и переводчики. За рубрикой стоит литургическая функция. За справочным описанием остаётся живая община, в которой текст не существует как одинокий музейный предмет.</w:t>
      </w:r>
    </w:p>
    <w:p>
      <w:r>
        <w:rPr>
          <w:rFonts w:ascii="DejaVu Serif" w:hAnsi="DejaVu Serif" w:eastAsia="DejaVu Serif" w:cs="DejaVu Serif"/>
          <w:sz w:val="20"/>
        </w:rPr>
        <w:t>Её можно назвать канонической молитвенной книгой, если помнить, что это конкретная научная и общинная рамка, а не доказательство единого закрытого канона западного типа. Можно говорить о masbuta и masiqta, если не превращать функциональное описание в инструкцию. Можно обсуждать гимны, ответы и повтор, если не выдавать редакторскую помету за полную музыку. Можно сопоставлять Qolasta с Ginza Rabba, если различать литургический корпус и широкий сборник письменных материалов.</w:t>
      </w:r>
    </w:p>
    <w:p>
      <w:r>
        <w:rPr>
          <w:rFonts w:ascii="DejaVu Serif" w:hAnsi="DejaVu Serif" w:eastAsia="DejaVu Serif" w:cs="DejaVu Serif"/>
          <w:sz w:val="20"/>
        </w:rPr>
        <w:t>Самая честная книга о Qolasta оставляет видимыми свои пределы. Она не приписывает рукописи возраст молитвы, не принимает перевод за оригинал, не восстанавливает непроверенный порядок и не раскрывает непубличное жреческое знание. Но граница не означает пустоту. Доступно достаточно, чтобы увидеть главное: Qolasta — исторически сложившееся литургическое собрание, где память, похвала, обращение, повтор и редакторская работа связаны с жизнью мандаейской традиции.</w:t>
      </w:r>
    </w:p>
    <w:p>
      <w:r>
        <w:rPr>
          <w:rFonts w:ascii="DejaVu Serif" w:hAnsi="DejaVu Serif" w:eastAsia="DejaVu Serif" w:cs="DejaVu Serif"/>
          <w:sz w:val="20"/>
        </w:rPr>
        <w:t>Читать её — значит одновременно замечать голоса и тишину между ними. Тишина обозначает утраченное, непроверенное, закрытое или ещё не сопоставленное. В истории религиозной книги это не провал знания, а часть его ответственности.</w:t>
      </w:r>
    </w:p>
    <w:p>
      <w:pPr>
        <w:pStyle w:val="Heading2"/>
      </w:pPr>
      <w:r>
        <w:rPr>
          <w:rFonts w:ascii="DejaVu Serif" w:hAnsi="DejaVu Serif" w:eastAsia="DejaVu Serif" w:cs="DejaVu Serif"/>
          <w:sz w:val="20"/>
        </w:rPr>
        <w:t>Краткий словарь</w:t>
      </w:r>
    </w:p>
    <w:p>
      <w:r>
        <w:rPr>
          <w:rFonts w:ascii="DejaVu Serif" w:hAnsi="DejaVu Serif" w:eastAsia="DejaVu Serif" w:cs="DejaVu Serif"/>
          <w:b/>
          <w:sz w:val="20"/>
        </w:rPr>
        <w:t>Qolasta / Qulasta.</w:t>
      </w:r>
      <w:r>
        <w:rPr>
          <w:rFonts w:ascii="DejaVu Serif" w:hAnsi="DejaVu Serif" w:eastAsia="DejaVu Serif" w:cs="DejaVu Serif"/>
          <w:sz w:val="20"/>
        </w:rPr>
        <w:t xml:space="preserve"> Мандаейская каноническая молитвенная книга в академическом описании; собрание литургических гимнов, молитв и ритуальных текстов. Её состав и порядок зависят от свидетеля и редакции.</w:t>
      </w:r>
    </w:p>
    <w:p>
      <w:r>
        <w:rPr>
          <w:rFonts w:ascii="DejaVu Serif" w:hAnsi="DejaVu Serif" w:eastAsia="DejaVu Serif" w:cs="DejaVu Serif"/>
          <w:b/>
          <w:sz w:val="20"/>
        </w:rPr>
        <w:t>Мандаи.</w:t>
      </w:r>
      <w:r>
        <w:rPr>
          <w:rFonts w:ascii="DejaVu Serif" w:hAnsi="DejaVu Serif" w:eastAsia="DejaVu Serif" w:cs="DejaVu Serif"/>
          <w:sz w:val="20"/>
        </w:rPr>
        <w:t xml:space="preserve"> Название религиозной общины и её традиции в принятой научной передаче.</w:t>
      </w:r>
    </w:p>
    <w:p>
      <w:r>
        <w:rPr>
          <w:rFonts w:ascii="DejaVu Serif" w:hAnsi="DejaVu Serif" w:eastAsia="DejaVu Serif" w:cs="DejaVu Serif"/>
          <w:b/>
          <w:sz w:val="20"/>
        </w:rPr>
        <w:t>Maṣbuta / masbuta.</w:t>
      </w:r>
      <w:r>
        <w:rPr>
          <w:rFonts w:ascii="DejaVu Serif" w:hAnsi="DejaVu Serif" w:eastAsia="DejaVu Serif" w:cs="DejaVu Serif"/>
          <w:sz w:val="20"/>
        </w:rPr>
        <w:t xml:space="preserve"> Крещение; крупная литургическая область, с которой связываются части Qolasta.</w:t>
      </w:r>
    </w:p>
    <w:p>
      <w:r>
        <w:rPr>
          <w:rFonts w:ascii="DejaVu Serif" w:hAnsi="DejaVu Serif" w:eastAsia="DejaVu Serif" w:cs="DejaVu Serif"/>
          <w:b/>
          <w:sz w:val="20"/>
        </w:rPr>
        <w:t>Masiqta.</w:t>
      </w:r>
      <w:r>
        <w:rPr>
          <w:rFonts w:ascii="DejaVu Serif" w:hAnsi="DejaVu Serif" w:eastAsia="DejaVu Serif" w:cs="DejaVu Serif"/>
          <w:sz w:val="20"/>
        </w:rPr>
        <w:t xml:space="preserve"> Заупокойная месса, связанная в академических описаниях с восхождением души.</w:t>
      </w:r>
    </w:p>
    <w:p>
      <w:r>
        <w:rPr>
          <w:rFonts w:ascii="DejaVu Serif" w:hAnsi="DejaVu Serif" w:eastAsia="DejaVu Serif" w:cs="DejaVu Serif"/>
          <w:b/>
          <w:sz w:val="20"/>
        </w:rPr>
        <w:t>Ginza Rabba / Ginza / Sidra Rba.</w:t>
      </w:r>
      <w:r>
        <w:rPr>
          <w:rFonts w:ascii="DejaVu Serif" w:hAnsi="DejaVu Serif" w:eastAsia="DejaVu Serif" w:cs="DejaVu Serif"/>
          <w:sz w:val="20"/>
        </w:rPr>
        <w:t xml:space="preserve"> «Великий свиток» или «Великое сокровище»; большой сборник мандаейских письменных материалов, включающий правую и левую части.</w:t>
      </w:r>
    </w:p>
    <w:p>
      <w:r>
        <w:rPr>
          <w:rFonts w:ascii="DejaVu Serif" w:hAnsi="DejaVu Serif" w:eastAsia="DejaVu Serif" w:cs="DejaVu Serif"/>
          <w:b/>
          <w:sz w:val="20"/>
        </w:rPr>
        <w:t>Oxford Collection / Oxforder Sammlung.</w:t>
      </w:r>
      <w:r>
        <w:rPr>
          <w:rFonts w:ascii="DejaVu Serif" w:hAnsi="DejaVu Serif" w:eastAsia="DejaVu Serif" w:cs="DejaVu Serif"/>
          <w:sz w:val="20"/>
        </w:rPr>
        <w:t xml:space="preserve"> Отдельный комплекс, представленный в издательской рамке Lidzbarski; его структура зависит от редакции и рукописных свидетелей.</w:t>
      </w:r>
    </w:p>
    <w:p>
      <w:r>
        <w:rPr>
          <w:rFonts w:ascii="DejaVu Serif" w:hAnsi="DejaVu Serif" w:eastAsia="DejaVu Serif" w:cs="DejaVu Serif"/>
          <w:b/>
          <w:sz w:val="20"/>
        </w:rPr>
        <w:t>DC 53.</w:t>
      </w:r>
      <w:r>
        <w:rPr>
          <w:rFonts w:ascii="DejaVu Serif" w:hAnsi="DejaVu Serif" w:eastAsia="DejaVu Serif" w:cs="DejaVu Serif"/>
          <w:sz w:val="20"/>
        </w:rPr>
        <w:t xml:space="preserve"> Рукопись Drower Collection no. 53, основной свидетель издания Drower 1959; пропуски дополнялись по другим материалам.</w:t>
      </w:r>
    </w:p>
    <w:p>
      <w:r>
        <w:rPr>
          <w:rFonts w:ascii="DejaVu Serif" w:hAnsi="DejaVu Serif" w:eastAsia="DejaVu Serif" w:cs="DejaVu Serif"/>
          <w:b/>
          <w:sz w:val="20"/>
        </w:rPr>
        <w:t>Колофон.</w:t>
      </w:r>
      <w:r>
        <w:rPr>
          <w:rFonts w:ascii="DejaVu Serif" w:hAnsi="DejaVu Serif" w:eastAsia="DejaVu Serif" w:cs="DejaVu Serif"/>
          <w:sz w:val="20"/>
        </w:rPr>
        <w:t xml:space="preserve"> Запись в рукописи, связанная с переписчиком, временем, происхождением или линией передачи экземпляра.</w:t>
      </w:r>
    </w:p>
    <w:p>
      <w:r>
        <w:rPr>
          <w:rFonts w:ascii="DejaVu Serif" w:hAnsi="DejaVu Serif" w:eastAsia="DejaVu Serif" w:cs="DejaVu Serif"/>
          <w:b/>
          <w:sz w:val="20"/>
        </w:rPr>
        <w:t>Рубрика.</w:t>
      </w:r>
      <w:r>
        <w:rPr>
          <w:rFonts w:ascii="DejaVu Serif" w:hAnsi="DejaVu Serif" w:eastAsia="DejaVu Serif" w:cs="DejaVu Serif"/>
          <w:sz w:val="20"/>
        </w:rPr>
        <w:t xml:space="preserve"> Заголовок или помета, выделяющая функцию, раздел или литургический контекст.</w:t>
      </w:r>
    </w:p>
    <w:p>
      <w:r>
        <w:rPr>
          <w:rFonts w:ascii="DejaVu Serif" w:hAnsi="DejaVu Serif" w:eastAsia="DejaVu Serif" w:cs="DejaVu Serif"/>
          <w:b/>
          <w:sz w:val="20"/>
        </w:rPr>
        <w:t>Литургический текст.</w:t>
      </w:r>
      <w:r>
        <w:rPr>
          <w:rFonts w:ascii="DejaVu Serif" w:hAnsi="DejaVu Serif" w:eastAsia="DejaVu Serif" w:cs="DejaVu Serif"/>
          <w:sz w:val="20"/>
        </w:rPr>
        <w:t xml:space="preserve"> Текст, связанный с богослужебным действием; это не обязательно полный сценарий обряда.</w:t>
      </w:r>
    </w:p>
    <w:p>
      <w:r>
        <w:rPr>
          <w:rFonts w:ascii="DejaVu Serif" w:hAnsi="DejaVu Serif" w:eastAsia="DejaVu Serif" w:cs="DejaVu Serif"/>
          <w:b/>
          <w:sz w:val="20"/>
        </w:rPr>
        <w:t>Редакция.</w:t>
      </w:r>
      <w:r>
        <w:rPr>
          <w:rFonts w:ascii="DejaVu Serif" w:hAnsi="DejaVu Serif" w:eastAsia="DejaVu Serif" w:cs="DejaVu Serif"/>
          <w:sz w:val="20"/>
        </w:rPr>
        <w:t xml:space="preserve"> Подготовленное представление текста, в котором определены порядок, чтения, дополнения, нумерация и перевод.</w:t>
      </w:r>
    </w:p>
    <w:p>
      <w:pPr>
        <w:pStyle w:val="Heading2"/>
      </w:pPr>
      <w:r>
        <w:rPr>
          <w:rFonts w:ascii="DejaVu Serif" w:hAnsi="DejaVu Serif" w:eastAsia="DejaVu Serif" w:cs="DejaVu Serif"/>
          <w:sz w:val="20"/>
        </w:rPr>
        <w:t>Путеводитель по видам свидетельств</w:t>
      </w:r>
    </w:p>
    <w:p>
      <w:r>
        <w:rPr>
          <w:rFonts w:ascii="DejaVu Serif" w:hAnsi="DejaVu Serif" w:eastAsia="DejaVu Serif" w:cs="DejaVu Serif"/>
          <w:b/>
          <w:sz w:val="20"/>
        </w:rPr>
        <w:t>Рукописное и первичное.</w:t>
      </w:r>
      <w:r>
        <w:rPr>
          <w:rFonts w:ascii="DejaVu Serif" w:hAnsi="DejaVu Serif" w:eastAsia="DejaVu Serif" w:cs="DejaVu Serif"/>
          <w:sz w:val="20"/>
        </w:rPr>
        <w:t xml:space="preserve"> Кодексы, фрагменты, колофоны и опубликованные транскрипции. Они показывают состояние конкретных свидетелей, но не всегда историю всей традиции.</w:t>
      </w:r>
    </w:p>
    <w:p>
      <w:r>
        <w:rPr>
          <w:rFonts w:ascii="DejaVu Serif" w:hAnsi="DejaVu Serif" w:eastAsia="DejaVu Serif" w:cs="DejaVu Serif"/>
          <w:b/>
          <w:sz w:val="20"/>
        </w:rPr>
        <w:t>Редакторское и переводное.</w:t>
      </w:r>
      <w:r>
        <w:rPr>
          <w:rFonts w:ascii="DejaVu Serif" w:hAnsi="DejaVu Serif" w:eastAsia="DejaVu Serif" w:cs="DejaVu Serif"/>
          <w:sz w:val="20"/>
        </w:rPr>
        <w:t xml:space="preserve"> Работы Lidzbarski и Drower. Они делают корпус читаемым, но добавляют порядок, восстановление, нумерацию и интерпретацию.</w:t>
      </w:r>
    </w:p>
    <w:p>
      <w:r>
        <w:rPr>
          <w:rFonts w:ascii="DejaVu Serif" w:hAnsi="DejaVu Serif" w:eastAsia="DejaVu Serif" w:cs="DejaVu Serif"/>
          <w:b/>
          <w:sz w:val="20"/>
        </w:rPr>
        <w:t>Описание живой практики.</w:t>
      </w:r>
      <w:r>
        <w:rPr>
          <w:rFonts w:ascii="DejaVu Serif" w:hAnsi="DejaVu Serif" w:eastAsia="DejaVu Serif" w:cs="DejaVu Serif"/>
          <w:sz w:val="20"/>
        </w:rPr>
        <w:t xml:space="preserve"> Академические сведения о жрецах, обрядах, общинах и диаспорах. Они помогают понять функцию книги, но не доказывают одинаковую практику повсюду.</w:t>
      </w:r>
    </w:p>
    <w:p>
      <w:r>
        <w:rPr>
          <w:rFonts w:ascii="DejaVu Serif" w:hAnsi="DejaVu Serif" w:eastAsia="DejaVu Serif" w:cs="DejaVu Serif"/>
          <w:b/>
          <w:sz w:val="20"/>
        </w:rPr>
        <w:t>Научная интерпретация.</w:t>
      </w:r>
      <w:r>
        <w:rPr>
          <w:rFonts w:ascii="DejaVu Serif" w:hAnsi="DejaVu Serif" w:eastAsia="DejaVu Serif" w:cs="DejaVu Serif"/>
          <w:sz w:val="20"/>
        </w:rPr>
        <w:t xml:space="preserve"> Гипотезы о слоях, компиляции, жанрах и передаче. Их следует называть интерпретациями, а не голосом рукописи.</w:t>
      </w:r>
    </w:p>
    <w:p>
      <w:pPr>
        <w:pStyle w:val="Heading2"/>
      </w:pPr>
      <w:r>
        <w:rPr>
          <w:rFonts w:ascii="DejaVu Serif" w:hAnsi="DejaVu Serif" w:eastAsia="DejaVu Serif" w:cs="DejaVu Serif"/>
          <w:sz w:val="20"/>
        </w:rPr>
        <w:t>Источники</w:t>
      </w:r>
    </w:p>
    <w:p>
      <w:pPr>
        <w:pStyle w:val="ListBullet"/>
        <w:spacing w:after="40"/>
      </w:pPr>
      <w:hyperlink r:id="rId14">
        <w:r>
          <w:rPr>
            <w:color w:val="338F91"/>
            <w:u w:val="single"/>
          </w:rPr>
          <w:t>[1]</w:t>
        </w:r>
      </w:hyperlink>
      <w:r>
        <w:rPr>
          <w:rFonts w:ascii="DejaVu Serif" w:hAnsi="DejaVu Serif" w:eastAsia="DejaVu Serif" w:cs="DejaVu Serif"/>
          <w:sz w:val="20"/>
        </w:rPr>
        <w:t xml:space="preserve"> </w:t>
      </w:r>
      <w:hyperlink r:id="rId14">
        <w:r>
          <w:rPr>
            <w:color w:val="338F91"/>
            <w:u w:val="single"/>
          </w:rPr>
          <w:t>Kurt Rudolph, «Mandaeans II. The Mandaean Religion», Encyclopaedia Iranica</w:t>
        </w:r>
      </w:hyperlink>
    </w:p>
    <w:p>
      <w:pPr>
        <w:pStyle w:val="ListBullet"/>
        <w:spacing w:after="40"/>
      </w:pPr>
      <w:hyperlink r:id="rId16">
        <w:r>
          <w:rPr>
            <w:color w:val="338F91"/>
            <w:u w:val="single"/>
          </w:rPr>
          <w:t>[2]</w:t>
        </w:r>
      </w:hyperlink>
      <w:r>
        <w:rPr>
          <w:rFonts w:ascii="DejaVu Serif" w:hAnsi="DejaVu Serif" w:eastAsia="DejaVu Serif" w:cs="DejaVu Serif"/>
          <w:sz w:val="20"/>
        </w:rPr>
        <w:t xml:space="preserve"> </w:t>
      </w:r>
      <w:hyperlink r:id="rId16">
        <w:r>
          <w:rPr>
            <w:color w:val="338F91"/>
            <w:u w:val="single"/>
          </w:rPr>
          <w:t>Mark Lidzbarski, *Mandäische Liturgien*, запись HathiTrust</w:t>
        </w:r>
      </w:hyperlink>
    </w:p>
    <w:p>
      <w:pPr>
        <w:pStyle w:val="ListBullet"/>
        <w:spacing w:after="40"/>
      </w:pPr>
      <w:hyperlink r:id="rId17">
        <w:r>
          <w:rPr>
            <w:color w:val="338F91"/>
            <w:u w:val="single"/>
          </w:rPr>
          <w:t>[3]</w:t>
        </w:r>
      </w:hyperlink>
      <w:r>
        <w:rPr>
          <w:rFonts w:ascii="DejaVu Serif" w:hAnsi="DejaVu Serif" w:eastAsia="DejaVu Serif" w:cs="DejaVu Serif"/>
          <w:sz w:val="20"/>
        </w:rPr>
        <w:t xml:space="preserve"> </w:t>
      </w:r>
      <w:hyperlink r:id="rId17">
        <w:r>
          <w:rPr>
            <w:color w:val="338F91"/>
            <w:u w:val="single"/>
          </w:rPr>
          <w:t>E. S. Drower, *The Canonical Prayerbook of the Mandaeans*, 1959</w:t>
        </w:r>
      </w:hyperlink>
    </w:p>
    <w:p>
      <w:pPr>
        <w:pStyle w:val="ListBullet"/>
        <w:spacing w:after="40"/>
      </w:pPr>
      <w:hyperlink r:id="rId19">
        <w:r>
          <w:rPr>
            <w:color w:val="338F91"/>
            <w:u w:val="single"/>
          </w:rPr>
          <w:t>[4]</w:t>
        </w:r>
      </w:hyperlink>
      <w:r>
        <w:rPr>
          <w:rFonts w:ascii="DejaVu Serif" w:hAnsi="DejaVu Serif" w:eastAsia="DejaVu Serif" w:cs="DejaVu Serif"/>
          <w:sz w:val="20"/>
        </w:rPr>
        <w:t xml:space="preserve"> </w:t>
      </w:r>
      <w:hyperlink r:id="rId19">
        <w:r>
          <w:rPr>
            <w:color w:val="338F91"/>
            <w:u w:val="single"/>
          </w:rPr>
          <w:t>M. Arabestani, «Ritual purity and the Mandaeans’ identity», Brill (аннотация)</w:t>
        </w:r>
      </w:hyperlink>
    </w:p>
    <w:p>
      <w:pPr>
        <w:pStyle w:val="ListBullet"/>
        <w:spacing w:after="40"/>
      </w:pPr>
      <w:hyperlink r:id="rId21">
        <w:r>
          <w:rPr>
            <w:color w:val="338F91"/>
            <w:u w:val="single"/>
          </w:rPr>
          <w:t>[5]</w:t>
        </w:r>
      </w:hyperlink>
      <w:r>
        <w:rPr>
          <w:rFonts w:ascii="DejaVu Serif" w:hAnsi="DejaVu Serif" w:eastAsia="DejaVu Serif" w:cs="DejaVu Serif"/>
          <w:sz w:val="20"/>
        </w:rPr>
        <w:t xml:space="preserve"> </w:t>
      </w:r>
      <w:hyperlink r:id="rId21">
        <w:r>
          <w:rPr>
            <w:color w:val="338F91"/>
            <w:u w:val="single"/>
          </w:rPr>
          <w:t>Jorunn Jacobsen Buckley, «The Colophons in the Canonical Prayerbook of the Mandaeans», JSTOR</w:t>
        </w:r>
      </w:hyperlink>
    </w:p>
    <w:p>
      <w:pPr>
        <w:pStyle w:val="ListBullet"/>
        <w:spacing w:after="40"/>
      </w:pPr>
      <w:hyperlink r:id="rId22">
        <w:r>
          <w:rPr>
            <w:color w:val="338F91"/>
            <w:u w:val="single"/>
          </w:rPr>
          <w:t>[6]</w:t>
        </w:r>
      </w:hyperlink>
      <w:r>
        <w:rPr>
          <w:rFonts w:ascii="DejaVu Serif" w:hAnsi="DejaVu Serif" w:eastAsia="DejaVu Serif" w:cs="DejaVu Serif"/>
          <w:sz w:val="20"/>
        </w:rPr>
        <w:t xml:space="preserve"> </w:t>
      </w:r>
      <w:hyperlink r:id="rId22">
        <w:r>
          <w:rPr>
            <w:color w:val="338F91"/>
            <w:u w:val="single"/>
          </w:rPr>
          <w:t>Jorunn Jacobsen Buckley, «The Colophons in H. Petermann’s Sidra Rabba», Cambridge</w:t>
        </w:r>
      </w:hyperlink>
    </w:p>
    <w:p>
      <w:pPr>
        <w:pStyle w:val="ListBullet"/>
        <w:spacing w:after="40"/>
      </w:pPr>
      <w:hyperlink r:id="rId23">
        <w:r>
          <w:rPr>
            <w:color w:val="338F91"/>
            <w:u w:val="single"/>
          </w:rPr>
          <w:t>[7]</w:t>
        </w:r>
      </w:hyperlink>
      <w:r>
        <w:rPr>
          <w:rFonts w:ascii="DejaVu Serif" w:hAnsi="DejaVu Serif" w:eastAsia="DejaVu Serif" w:cs="DejaVu Serif"/>
          <w:sz w:val="20"/>
        </w:rPr>
        <w:t xml:space="preserve"> </w:t>
      </w:r>
      <w:hyperlink r:id="rId23">
        <w:r>
          <w:rPr>
            <w:color w:val="338F91"/>
            <w:u w:val="single"/>
          </w:rPr>
          <w:t>University of Exeter Mandaean Priests Project, «Academic Studies of the Mandaeans»</w:t>
        </w:r>
      </w:hyperlink>
    </w:p>
    <w:sectPr w:rsidR="00FC693F" w:rsidRPr="0006063C" w:rsidSect="00034616">
      <w:headerReference w:type="default" r:id="rId9"/>
      <w:footerReference w:type="default" r:id="rId10"/>
      <w:headerReference w:type="first" r:id="rId11"/>
      <w:footerReference w:type="first" r:id="rId12"/>
      <w:pgSz w:w="8391" w:h="11906"/>
      <w:pgMar w:top="907" w:right="850" w:bottom="964" w:left="90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DejaVu Sans" w:hAnsi="DejaVu Sans" w:eastAsia="DejaVu Sans" w:cs="DejaVu Sans"/>
        <w:color w:val="686A72"/>
        <w:sz w:val="16"/>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DejaVu Sans" w:hAnsi="DejaVu Sans" w:eastAsia="DejaVu Sans" w:cs="DejaVu Sans"/>
        <w:color w:val="686A72"/>
        <w:sz w:val="15"/>
      </w:rPr>
      <w:t>HARVYRÐ  /  QOLASTA</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DejaVu Serif" w:hAnsi="DejaVu Serif"/>
      <w:color w:val="2628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DejaVu Sans" w:hAnsi="DejaVu Sans"/>
      <w:b/>
      <w:bCs/>
      <w:color w:val="24345B"/>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DejaVu Sans" w:hAnsi="DejaVu Sans"/>
      <w:b/>
      <w:bCs/>
      <w:color w:val="24345B"/>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DejaVu Sans" w:hAnsi="DejaVu Sans"/>
      <w:b/>
      <w:bCs/>
      <w:color w:val="338F91"/>
      <w:sz w:val="22"/>
    </w:rPr>
  </w:style>
  <w:style w:type="paragraph" w:styleId="Heading4">
    <w:name w:val="heading 4"/>
    <w:basedOn w:val="Normal"/>
    <w:next w:val="Normal"/>
    <w:link w:val="Heading4Char"/>
    <w:uiPriority w:val="9"/>
    <w:semiHidden/>
    <w:unhideWhenUsed/>
    <w:qFormat/>
    <w:rsid w:val="00FC693F"/>
    <w:pPr>
      <w:keepNext/>
      <w:keepLines/>
      <w:spacing w:before="240" w:after="100"/>
      <w:outlineLvl w:val="3"/>
    </w:pPr>
    <w:rPr>
      <w:rFonts w:asciiTheme="majorHAnsi" w:eastAsiaTheme="majorEastAsia" w:hAnsiTheme="majorHAnsi" w:cstheme="majorBidi" w:ascii="DejaVu Sans" w:hAnsi="DejaVu Sans"/>
      <w:b/>
      <w:bCs/>
      <w:i/>
      <w:iCs/>
      <w:color w:val="70518B"/>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b/>
      <w:color w:val="24345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DejaVu Sans" w:hAnsi="DejaVu Sans"/>
      <w:b w:val="0"/>
      <w:i/>
      <w:iCs/>
      <w:color w:val="70518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hyperlink" Target="https://www.iranicaonline.org/articles/mandaeans/mandaeans-ii-the-mandaean-religion/" TargetMode="External"/><Relationship Id="rId15" Type="http://schemas.openxmlformats.org/officeDocument/2006/relationships/image" Target="media/image2.jpg"/><Relationship Id="rId16" Type="http://schemas.openxmlformats.org/officeDocument/2006/relationships/hyperlink" Target="https://catalog.hathitrust.org/Record/103093940" TargetMode="External"/><Relationship Id="rId17" Type="http://schemas.openxmlformats.org/officeDocument/2006/relationships/hyperlink" Target="https://archive.org/stream/in.ernet.dli.2015.530195/2015.530195.canonical-prayer_djvu.txt" TargetMode="External"/><Relationship Id="rId18" Type="http://schemas.openxmlformats.org/officeDocument/2006/relationships/image" Target="media/image3.jpg"/><Relationship Id="rId19" Type="http://schemas.openxmlformats.org/officeDocument/2006/relationships/hyperlink" Target="https://brill.com/view/journals/ic/16/2/article-p153_2.xml" TargetMode="External"/><Relationship Id="rId20" Type="http://schemas.openxmlformats.org/officeDocument/2006/relationships/image" Target="media/image4.jpg"/><Relationship Id="rId21" Type="http://schemas.openxmlformats.org/officeDocument/2006/relationships/hyperlink" Target="https://www.jstor.org/stable/545596" TargetMode="External"/><Relationship Id="rId22" Type="http://schemas.openxmlformats.org/officeDocument/2006/relationships/hyperlink" Target="https://www.cambridge.org/core/journals/journal-of-the-royal-asian-society/article/colophons-in-h-petermanns-sidrarabba/16B8984FF6EC3AF1C35466B256C380F2" TargetMode="External"/><Relationship Id="rId23" Type="http://schemas.openxmlformats.org/officeDocument/2006/relationships/hyperlink" Target="https://mandaeanpriests.exeter.ac.uk/academic-studies-of-the-mandaeans" TargetMode="External"/><Relationship Id="rId24"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