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ans" w:hAnsi="Noto Sans"/>
          <w:b/>
          <w:color w:val="617080"/>
          <w:sz w:val="16"/>
        </w:rPr>
        <w:t>HARVYRÐ  ·  ЧИТАТЕЛЬСКИЙ ПУТЕВОДИТЕЛЬ · v0.1</w:t>
      </w:r>
    </w:p>
    <w:p>
      <w:pPr>
        <w:spacing w:after="40"/>
        <w:jc w:val="center"/>
      </w:pPr>
      <w:r>
        <w:drawing>
          <wp:inline xmlns:a="http://schemas.openxmlformats.org/drawingml/2006/main" xmlns:pic="http://schemas.openxmlformats.org/drawingml/2006/picture">
            <wp:extent cx="3348000" cy="5022000"/>
            <wp:docPr id="1" name="Picture 1"/>
            <wp:cNvGraphicFramePr>
              <a:graphicFrameLocks noChangeAspect="1"/>
            </wp:cNvGraphicFramePr>
            <a:graphic>
              <a:graphicData uri="http://schemas.openxmlformats.org/drawingml/2006/picture">
                <pic:pic>
                  <pic:nvPicPr>
                    <pic:cNvPr id="0" name="01-cover.jpg"/>
                    <pic:cNvPicPr/>
                  </pic:nvPicPr>
                  <pic:blipFill>
                    <a:blip r:embed="rId9"/>
                    <a:stretch>
                      <a:fillRect/>
                    </a:stretch>
                  </pic:blipFill>
                  <pic:spPr>
                    <a:xfrm>
                      <a:off x="0" y="0"/>
                      <a:ext cx="3348000" cy="5022000"/>
                    </a:xfrm>
                    <a:prstGeom prst="rect"/>
                  </pic:spPr>
                </pic:pic>
              </a:graphicData>
            </a:graphic>
          </wp:inline>
        </w:drawing>
      </w:r>
    </w:p>
    <w:p>
      <w:pPr>
        <w:spacing w:before="60" w:after="80"/>
        <w:jc w:val="center"/>
      </w:pPr>
      <w:r>
        <w:rPr>
          <w:rFonts w:ascii="Noto Serif" w:hAnsi="Noto Serif"/>
          <w:b/>
          <w:color w:val="232C48"/>
          <w:sz w:val="50"/>
        </w:rPr>
        <w:t>Кавлы и память</w:t>
      </w:r>
    </w:p>
    <w:p>
      <w:pPr>
        <w:spacing w:after="100"/>
        <w:jc w:val="center"/>
      </w:pPr>
      <w:r>
        <w:rPr>
          <w:rFonts w:ascii="Noto Sans" w:hAnsi="Noto Sans"/>
          <w:color w:val="3C5260"/>
          <w:sz w:val="22"/>
        </w:rPr>
        <w:t>Путеводитель по езидской религиозной традиции</w:t>
        <w:br/>
        <w:t>и её устным текстам</w:t>
      </w:r>
    </w:p>
    <w:p>
      <w:pPr>
        <w:jc w:val="center"/>
      </w:pPr>
      <w:r>
        <w:rPr>
          <w:rFonts w:ascii="Noto Serif" w:hAnsi="Noto Serif"/>
          <w:i/>
          <w:color w:val="8A6C42"/>
          <w:sz w:val="18"/>
        </w:rPr>
        <w:t>О голосе, который хранит и передаёт знание</w:t>
      </w:r>
    </w:p>
    <w:p>
      <w:pPr>
        <w:sectPr>
          <w:headerReference w:type="default" r:id="rId10"/>
          <w:footerReference w:type="default" r:id="rId11"/>
          <w:pgSz w:w="8391" w:h="11906"/>
          <w:pgMar w:top="283" w:right="907" w:bottom="283" w:left="907" w:header="720" w:footer="720" w:gutter="0"/>
          <w:cols w:space="720"/>
          <w:docGrid w:linePitch="360"/>
        </w:sectPr>
      </w:pPr>
    </w:p>
    <w:p>
      <w:pPr>
        <w:spacing w:after="200"/>
        <w:ind w:left="227" w:right="170"/>
      </w:pPr>
      <w:r>
        <w:rPr>
          <w:i/>
          <w:color w:val="53616C"/>
        </w:rPr>
        <w:t>Иногда священная память хранится не в переплёте, а в том, как слово поют, помнят и объясняют.</w:t>
      </w:r>
    </w:p>
    <w:p>
      <w:r>
        <w:t>Езидскую религиозную традицию часто пытаются представить как веру, у которой когда-то была одна тайная книга, а затем она потерялась. Источники ведут к более интересной и точной картине: важные тексты долго жили в устной передаче, в исполнении и толковании; письменные записи существовали, но не составляли единого общедоступного «полного кодекса». [1]</w:t>
      </w:r>
    </w:p>
    <w:p>
      <w:r>
        <w:t>Этот путеводитель знакомит с кавлами — религиозными песнопениями на курманджи, — и с историей их передачи от голоса к записи. Он различает устные тексты, рукописные свидетельства, научные описания, переводы и сегодняшнюю жизнь общин. Это авторский обзор по опубликованным источникам, а не перевод священного текста, не описание обряда и не попытка говорить от имени езидов.</w:t>
      </w:r>
    </w:p>
    <w:p>
      <w:pPr>
        <w:pStyle w:val="Heading2"/>
        <w:keepNext/>
      </w:pPr>
      <w:r>
        <w:t>Сначала — не одна книга, а множество голосов</w:t>
      </w:r>
    </w:p>
    <w:p>
      <w:r>
        <w:t xml:space="preserve">Слово </w:t>
      </w:r>
      <w:r>
        <w:rPr>
          <w:b/>
        </w:rPr>
        <w:t>кавл</w:t>
      </w:r>
      <w:r>
        <w:t xml:space="preserve"> (курд. </w:t>
      </w:r>
      <w:r>
        <w:rPr>
          <w:i/>
        </w:rPr>
        <w:t>qewl</w:t>
      </w:r>
      <w:r>
        <w:t xml:space="preserve">; в англоязычной литературе также </w:t>
      </w:r>
      <w:r>
        <w:rPr>
          <w:i/>
        </w:rPr>
        <w:t>qawl</w:t>
      </w:r>
      <w:r>
        <w:t>) обычно обозначает религиозное песнопение. Кавлы относятся к важнейшей части езидской устной религиозной литературы. Они часто говорят намёками: имя, образ или событие может быть знакомо посвящённому слушателю, но оставаться необъяснённым в самом песнопении. Поэтому кавл не всегда понятен как отдельная страница. [1] [3]</w:t>
      </w:r>
    </w:p>
    <w:p>
      <w:r>
        <w:t xml:space="preserve">Рядом с кавлами исследователи описывают и другие жанры: </w:t>
      </w:r>
      <w:r>
        <w:rPr>
          <w:i/>
        </w:rPr>
        <w:t>beyt</w:t>
      </w:r>
      <w:r>
        <w:t xml:space="preserve"> — религиозную поэтическую форму; </w:t>
      </w:r>
      <w:r>
        <w:rPr>
          <w:i/>
        </w:rPr>
        <w:t>qesîde</w:t>
      </w:r>
      <w:r>
        <w:t xml:space="preserve"> — хвалебное или повествовательное стихотворение; </w:t>
      </w:r>
      <w:r>
        <w:rPr>
          <w:i/>
        </w:rPr>
        <w:t>duʿā</w:t>
      </w:r>
      <w:r>
        <w:t xml:space="preserve"> — молитву; </w:t>
      </w:r>
      <w:r>
        <w:rPr>
          <w:i/>
        </w:rPr>
        <w:t>çîrok</w:t>
      </w:r>
      <w:r>
        <w:t xml:space="preserve"> — рассказ; </w:t>
      </w:r>
      <w:r>
        <w:rPr>
          <w:i/>
        </w:rPr>
        <w:t>moṣḥābat</w:t>
      </w:r>
      <w:r>
        <w:t xml:space="preserve"> — наставление или проповедь, которая может объяснять религиозную традицию через повествование и строки песнопений. Названия и границы жанров не всегда совпадают от одного описания к другому. Их не стоит превращать в жёсткую схему, одинаковую для каждой общины и каждого времени. [1] [3]</w:t>
      </w:r>
    </w:p>
    <w:p>
      <w:pPr>
        <w:spacing w:before="140" w:after="60"/>
        <w:jc w:val="center"/>
      </w:pPr>
      <w:r>
        <w:drawing>
          <wp:inline xmlns:a="http://schemas.openxmlformats.org/drawingml/2006/main" xmlns:pic="http://schemas.openxmlformats.org/drawingml/2006/picture">
            <wp:extent cx="4032000" cy="2688000"/>
            <wp:docPr id="2" name="Picture 2"/>
            <wp:cNvGraphicFramePr>
              <a:graphicFrameLocks noChangeAspect="1"/>
            </wp:cNvGraphicFramePr>
            <a:graphic>
              <a:graphicData uri="http://schemas.openxmlformats.org/drawingml/2006/picture">
                <pic:pic>
                  <pic:nvPicPr>
                    <pic:cNvPr id="0" name="03-song-and-story.jpg"/>
                    <pic:cNvPicPr/>
                  </pic:nvPicPr>
                  <pic:blipFill>
                    <a:blip r:embed="rId12"/>
                    <a:stretch>
                      <a:fillRect/>
                    </a:stretch>
                  </pic:blipFill>
                  <pic:spPr>
                    <a:xfrm>
                      <a:off x="0" y="0"/>
                      <a:ext cx="4032000" cy="2688000"/>
                    </a:xfrm>
                    <a:prstGeom prst="rect"/>
                  </pic:spPr>
                </pic:pic>
              </a:graphicData>
            </a:graphic>
          </wp:inline>
        </w:drawing>
      </w:r>
    </w:p>
    <w:p>
      <w:pPr>
        <w:spacing w:after="160"/>
        <w:jc w:val="center"/>
      </w:pPr>
      <w:r>
        <w:rPr>
          <w:i/>
          <w:color w:val="6E7483"/>
          <w:sz w:val="16"/>
        </w:rPr>
        <w:t>Кавл и связанный с ним рассказ</w:t>
      </w:r>
    </w:p>
    <w:p>
      <w:r>
        <w:t xml:space="preserve">Для многих кавлов существует связанный с ними рассказ — </w:t>
      </w:r>
      <w:r>
        <w:rPr>
          <w:i/>
        </w:rPr>
        <w:t>çîrok</w:t>
      </w:r>
      <w:r>
        <w:t>, который помогает раскрыть контекст и аллюзии. Это не просто подпись к стихотворению: рассказ передаёт, как его слышали и объясняли. Исследования отмечают, что один и тот же текст может иметь варианты, а исполнение включает особую мелодию и манеру пения. Письменная запись сохраняет слова, но не всегда сохраняет всё, что происходит между исполнителем, слушателем и ситуацией исполнения. [1] [3]</w:t>
      </w:r>
    </w:p>
    <w:p>
      <w:r>
        <w:t xml:space="preserve">Не всякая молитва, называемая </w:t>
      </w:r>
      <w:r>
        <w:rPr>
          <w:i/>
        </w:rPr>
        <w:t>duʿā</w:t>
      </w:r>
      <w:r>
        <w:t>, выполняет одну и ту же роль. Например, исследование Эсцтер Спэт 2025 года рассматривает особую подгруппу коротких молитвенных формул, известных не только специалистам и связанных с просьбами об исцелении или защите. Автор отдельно отмечает, что это не то же самое, что формальные песнопения церемоний. Это конкретный жанровый случай, а не определение всех езидских молитв. [4]</w:t>
      </w:r>
    </w:p>
    <w:p>
      <w:pPr>
        <w:pStyle w:val="Heading2"/>
        <w:keepNext/>
      </w:pPr>
      <w:r>
        <w:t>Кто хранит и объясняет песнопения</w:t>
      </w:r>
    </w:p>
    <w:p>
      <w:r>
        <w:t>Исторически исполнение кавлов было тесно связано с религиозными специалистами и семьями каввалов — знатоков песнопений, для которых важны были и голос, и музыкальное сопровождение. В опубликованных описаниях упоминаются также шейхи и пīры как хранители религиозного знания и толкования. Однако знание не застыло внутри одной группы: исследователи XX–XXI веков фиксируют перемены в том, кто учится, исполняет и объясняет тексты. Сегодня нельзя выводить из старого описания, будто каждый каввал исполняется только одним человеком или будто нынешняя практика повсюду одинакова. [1] [3]</w:t>
      </w:r>
    </w:p>
    <w:p>
      <w:r>
        <w:t>Традиция передаётся не только через запоминание слов. Значение связано с голосом, мелодией, ритмом и объяснением. Современная фиксация аудио и видео поэтому может дать больше, чем одна транскрипция, но и запись не заменяет живого исполнителя, его знания и контекст. Исследование устной традиции — это не разрешение публиковать любое услышанное: община и её носители сохраняют право определять, что можно открыто показывать и обсуждать. [3] [4]</w:t>
      </w:r>
    </w:p>
    <w:p>
      <w:pPr>
        <w:pStyle w:val="Heading2"/>
        <w:keepNext/>
      </w:pPr>
      <w:r>
        <w:t>История с несколькими слоями</w:t>
      </w:r>
    </w:p>
    <w:p>
      <w:r>
        <w:t>Лалеш — долина и священный центр в северном Ираке — важна для езидской религиозной памяти и паломничества. В начале XII века здесь поселился шейх Ади ибн Мусафир, суфийский наставник, чья община и почитание позднее стали одним из центральных узлов истории езидизма. Его гробница в Лалеше остаётся важным местом для верующих. [1]</w:t>
      </w:r>
    </w:p>
    <w:p>
      <w:r>
        <w:t>Но история общины не сводится к биографии одного человека. Энциклопедический обзор Encyclopaedia Iranica описывает формирование езидской религии как сложный исторический процесс, в котором взаимодействовали местные верования, курдская среда и суфийская традиция. Это научная модель исторического развития, а не утверждение, что вера — простая смесь готовых религий. Происхождение, этническая самоидентификация и отдельные элементы вероучения обсуждались по-разному; нельзя выдавать одну реконструкцию за единственный взгляд всех езидов. [1]</w:t>
      </w:r>
    </w:p>
    <w:p>
      <w:r>
        <w:t>Курманджи — язык большинства устных религиозных текстов, о котором пишут исследователи. В разных регионах люди могут по-разному говорить о собственной этнической принадлежности и языке. Исследование диаспоры и общин Кавказа документирует такие различия, но его интервью и отдельные полевые наблюдения нельзя принимать за перепись или единую позицию всего народа. [1] [7]</w:t>
      </w:r>
    </w:p>
    <w:p>
      <w:pPr>
        <w:pStyle w:val="Heading2"/>
        <w:keepNext/>
      </w:pPr>
      <w:r>
        <w:t>Когда голос становится записью</w:t>
      </w:r>
    </w:p>
    <w:p>
      <w:r>
        <w:t>Езидское религиозное наследие не является «бесписьменным» в том смысле, что у него никогда не было рукописей. Существовали письменные материалы, в том числе родовые и семейные записи, а также рукописные собрания молитв и текстов. Но свидетельств о том, что весь большой корпус кавлов когда-либо существовал как одна книга, нет. Значительная часть знания передавалась устно, а письменные формы выполняли разные задачи и хранились в разных контекстах. [1] [3]</w:t>
      </w:r>
    </w:p>
    <w:p>
      <w:r>
        <w:t>В XX веке исследователи и сами езиды всё активнее записывали, печатали и переводили религиозные тексты. Публикации кавлов вызвали споры внутри общины. Позднейшие исследования собирали варианты, указывали исполнителей и контексты, исследовали мелодии и способы передачи. Такой переход к письму помогает учить детей и сохранять материалы в диаспоре, но одновременно поднимает вопросы: кто вправе выбирать версию, можно ли закрепить одну орфографию и меняется ли авторитет знания, когда оно становится печатным или цифровым. [1] [3]</w:t>
      </w:r>
    </w:p>
    <w:p>
      <w:pPr>
        <w:spacing w:before="140" w:after="60"/>
        <w:jc w:val="center"/>
      </w:pPr>
      <w:r>
        <w:drawing>
          <wp:inline xmlns:a="http://schemas.openxmlformats.org/drawingml/2006/main" xmlns:pic="http://schemas.openxmlformats.org/drawingml/2006/picture">
            <wp:extent cx="4032000" cy="2688000"/>
            <wp:docPr id="3" name="Picture 3"/>
            <wp:cNvGraphicFramePr>
              <a:graphicFrameLocks noChangeAspect="1"/>
            </wp:cNvGraphicFramePr>
            <a:graphic>
              <a:graphicData uri="http://schemas.openxmlformats.org/drawingml/2006/picture">
                <pic:pic>
                  <pic:nvPicPr>
                    <pic:cNvPr id="0" name="02-voice-memory-writing.jpg"/>
                    <pic:cNvPicPr/>
                  </pic:nvPicPr>
                  <pic:blipFill>
                    <a:blip r:embed="rId13"/>
                    <a:stretch>
                      <a:fillRect/>
                    </a:stretch>
                  </pic:blipFill>
                  <pic:spPr>
                    <a:xfrm>
                      <a:off x="0" y="0"/>
                      <a:ext cx="4032000" cy="2688000"/>
                    </a:xfrm>
                    <a:prstGeom prst="rect"/>
                  </pic:spPr>
                </pic:pic>
              </a:graphicData>
            </a:graphic>
          </wp:inline>
        </w:drawing>
      </w:r>
    </w:p>
    <w:p>
      <w:pPr>
        <w:spacing w:after="160"/>
        <w:jc w:val="center"/>
      </w:pPr>
      <w:r>
        <w:rPr>
          <w:i/>
          <w:color w:val="6E7483"/>
          <w:sz w:val="16"/>
        </w:rPr>
        <w:t>От голоса к памяти и записи</w:t>
      </w:r>
    </w:p>
    <w:p>
      <w:r>
        <w:t>Один исследовательский каталог — книга Ханны Омархали о езидской текстовой традиции — рассматривает не только сами тексты, но и их передачу, исполнение и современные попытки собрать письменный корпус. Такой каталог полезен для знакомства с материалами, но его нельзя путать с единым каноном, утверждённым всеми общинами. Это карта исследователя по записям, доступным на момент работы, а не последняя граница живой традиции. [3]</w:t>
      </w:r>
    </w:p>
    <w:p>
      <w:r>
        <w:t>Запись тоже имеет историю. Исследование молитвенных текстов из Синджара показывает, как формы, раньше жившие в практическом устном обиходе, могут со временем становиться предметом письменного сохранения и культурного наследия. Оно напоминает: переход на бумагу не просто делает текст «вечным». Он меняет способ передачи, аудиторию и вопрос о том, кто объясняет его смысл. [4]</w:t>
      </w:r>
    </w:p>
    <w:p>
      <w:pPr>
        <w:pStyle w:val="Heading2"/>
        <w:keepNext/>
      </w:pPr>
      <w:r>
        <w:t>Две известные «священные книги» и важная оговорка</w:t>
      </w:r>
    </w:p>
    <w:p>
      <w:r>
        <w:t xml:space="preserve">В популярной литературе часто повторяют названия </w:t>
      </w:r>
      <w:r>
        <w:rPr>
          <w:b/>
        </w:rPr>
        <w:t>«Китаб аль-Джилва»</w:t>
      </w:r>
      <w:r>
        <w:t xml:space="preserve"> (</w:t>
      </w:r>
      <w:r>
        <w:rPr>
          <w:i/>
        </w:rPr>
        <w:t>Kitēba Jilwe</w:t>
      </w:r>
      <w:r>
        <w:t xml:space="preserve">, «Книга откровения» или «Книга сияния») и </w:t>
      </w:r>
      <w:r>
        <w:rPr>
          <w:b/>
        </w:rPr>
        <w:t>«Мешафе Реш»</w:t>
      </w:r>
      <w:r>
        <w:t xml:space="preserve"> (</w:t>
      </w:r>
      <w:r>
        <w:rPr>
          <w:i/>
        </w:rPr>
        <w:t>Meṣḥefa Reş</w:t>
      </w:r>
      <w:r>
        <w:t>, «Чёрная книга»), объявляя их двумя древними священными книгами езидов. История сохранившихся экземпляров сложнее. Рукописные копии этих коротких сочинений появились в поле зрения европейских исследователей в конце XIX века; ранние известные версии были на арабском, а позже возникли тексты, представленные как древние курдские оригиналы. Исследователи указывали на сомнительное происхождение части рукописей и на возможное участие торговцев и внешних посредников. [1] [2]</w:t>
      </w:r>
    </w:p>
    <w:p>
      <w:r>
        <w:t>Отсюда не следует простой ответ «всё подделка» или «это несомненный древний канон». Encyclopaedia Iranica отмечает, что опубликованные рукописные версии обычно считают созданными в ответ на интерес европейских исследователей, однако содержащийся в них материал во многом согласуется с устной религиозной традицией. При этом названия могли использоваться и в других контекстах, а существование короткого текста не доказывает, что весь корпус езидских песнопений когда-то был собран в закрытую книгу. Самый осторожный вывод: историю этих конкретных рукописей нужно отличать от истории устной традиции, с которой они соприкасаются. [1] [2]</w:t>
      </w:r>
    </w:p>
    <w:p>
      <w:pPr>
        <w:spacing w:before="140" w:after="60"/>
        <w:jc w:val="center"/>
      </w:pPr>
      <w:r>
        <w:drawing>
          <wp:inline xmlns:a="http://schemas.openxmlformats.org/drawingml/2006/main" xmlns:pic="http://schemas.openxmlformats.org/drawingml/2006/picture">
            <wp:extent cx="4032000" cy="2688000"/>
            <wp:docPr id="4" name="Picture 4"/>
            <wp:cNvGraphicFramePr>
              <a:graphicFrameLocks noChangeAspect="1"/>
            </wp:cNvGraphicFramePr>
            <a:graphic>
              <a:graphicData uri="http://schemas.openxmlformats.org/drawingml/2006/picture">
                <pic:pic>
                  <pic:nvPicPr>
                    <pic:cNvPr id="0" name="04-variants-and-archive.jpg"/>
                    <pic:cNvPicPr/>
                  </pic:nvPicPr>
                  <pic:blipFill>
                    <a:blip r:embed="rId14"/>
                    <a:stretch>
                      <a:fillRect/>
                    </a:stretch>
                  </pic:blipFill>
                  <pic:spPr>
                    <a:xfrm>
                      <a:off x="0" y="0"/>
                      <a:ext cx="4032000" cy="2688000"/>
                    </a:xfrm>
                    <a:prstGeom prst="rect"/>
                  </pic:spPr>
                </pic:pic>
              </a:graphicData>
            </a:graphic>
          </wp:inline>
        </w:drawing>
      </w:r>
    </w:p>
    <w:p>
      <w:pPr>
        <w:spacing w:after="160"/>
        <w:jc w:val="center"/>
      </w:pPr>
      <w:r>
        <w:rPr>
          <w:i/>
          <w:color w:val="6E7483"/>
          <w:sz w:val="16"/>
        </w:rPr>
        <w:t>Разные варианты текста и архивная работа</w:t>
      </w:r>
    </w:p>
    <w:p>
      <w:r>
        <w:t xml:space="preserve">В источниках также упоминаются </w:t>
      </w:r>
      <w:r>
        <w:rPr>
          <w:i/>
        </w:rPr>
        <w:t>mişûr</w:t>
      </w:r>
      <w:r>
        <w:t xml:space="preserve"> — рукописные семейные документы, связанные с линиями пīров и родовой памятью. Это другой тип свидетельства, а не «страница потерянной Библии». В некоторых семьях такие записи имеют особый статус и порядок хранения. Здесь мы называем их только для различения жанров и не описываем непубличные материалы, условия доступа или связанные с ними действия. [1] [3]</w:t>
      </w:r>
    </w:p>
    <w:p>
      <w:pPr>
        <w:pStyle w:val="Heading2"/>
        <w:keepNext/>
      </w:pPr>
      <w:r>
        <w:t>Как читать и не закрывать живую традицию обложкой</w:t>
      </w:r>
    </w:p>
    <w:p>
      <w:r>
        <w:t>Есть несколько простых различий, которые помогают не ошибиться.</w:t>
      </w:r>
    </w:p>
    <w:p>
      <w:pPr>
        <w:pStyle w:val="ListBullet"/>
        <w:ind w:left="283" w:hanging="113"/>
      </w:pPr>
      <w:r>
        <w:rPr>
          <w:b/>
        </w:rPr>
        <w:t>Устный текст</w:t>
      </w:r>
      <w:r>
        <w:t xml:space="preserve"> — это песнопение, рассказ или молитвенная форма, которую исполняют и передают люди. Транскрипция кавла — лишь один способ зафиксировать его слова.</w:t>
      </w:r>
    </w:p>
    <w:p>
      <w:pPr>
        <w:pStyle w:val="ListBullet"/>
        <w:ind w:left="283" w:hanging="113"/>
      </w:pPr>
      <w:r>
        <w:rPr>
          <w:b/>
        </w:rPr>
        <w:t>Рукопись</w:t>
      </w:r>
      <w:r>
        <w:t xml:space="preserve"> — материальный свидетель определённого текста в конкретной копии. Её дату, язык и происхождение нужно устанавливать отдельно; дата рукописи не всегда датирует сам текст.</w:t>
      </w:r>
    </w:p>
    <w:p>
      <w:pPr>
        <w:pStyle w:val="ListBullet"/>
        <w:ind w:left="283" w:hanging="113"/>
      </w:pPr>
      <w:r>
        <w:rPr>
          <w:b/>
        </w:rPr>
        <w:t>Издание</w:t>
      </w:r>
      <w:r>
        <w:t xml:space="preserve"> — редакторская публикация, которая выбирает и упорядочивает доступные свидетельства. Оно может быть полезным и точным, но не становится автоматически голосом всех общин.</w:t>
      </w:r>
    </w:p>
    <w:p>
      <w:pPr>
        <w:pStyle w:val="ListBullet"/>
        <w:ind w:left="283" w:hanging="113"/>
      </w:pPr>
      <w:r>
        <w:rPr>
          <w:b/>
        </w:rPr>
        <w:t>Перевод</w:t>
      </w:r>
      <w:r>
        <w:t xml:space="preserve"> — решение переводчика о значениях, которые иногда зависят от аллюзий, диалекта и толкования. Перевод не является заменой оригинала и исполнения.</w:t>
      </w:r>
    </w:p>
    <w:p>
      <w:pPr>
        <w:pStyle w:val="ListBullet"/>
        <w:ind w:left="283" w:hanging="113"/>
      </w:pPr>
      <w:r>
        <w:rPr>
          <w:b/>
        </w:rPr>
        <w:t>Живая традиция</w:t>
      </w:r>
      <w:r>
        <w:t xml:space="preserve"> — не приложение к книгам. Это люди, их память, объяснения, музыка, места и меняющиеся способы передавать наследие.</w:t>
      </w:r>
    </w:p>
    <w:p>
      <w:pPr>
        <w:pStyle w:val="ListBullet"/>
        <w:ind w:left="283" w:hanging="113"/>
      </w:pPr>
      <w:r>
        <w:rPr>
          <w:b/>
        </w:rPr>
        <w:t>Авторский пересказ</w:t>
      </w:r>
      <w:r>
        <w:t xml:space="preserve"> — новый текст автора. Его нельзя выдавать за кавл, легенду или учение езидской общины.</w:t>
      </w:r>
    </w:p>
    <w:p>
      <w:r>
        <w:t>Распространённая внешняя кличка «почитатели дьявола» — ошибочная и унизительная. Она возникла из чужой попытки приравнять езидского Тавусе Мелека к фигуре дьявола в других религиях. Энциклопедический обзор прямо называет такое описание ошибкой. В этом путеводителе мы не повторяем эту кличку как нейтральное название веры. [1]</w:t>
      </w:r>
    </w:p>
    <w:p>
      <w:r>
        <w:t>Знание о священном тексте не равно праву публиковать его. Мы не воспроизводим кавлы, закрытые молитвы, посвященческие объяснения, формулы, порядок обряда или сведения, которые носители не предназначали для общего доступа. Публично доступная запись сама по себе не отменяет уважения к условиям, при которых она была собрана и опубликована.</w:t>
      </w:r>
    </w:p>
    <w:p>
      <w:pPr>
        <w:pStyle w:val="Heading2"/>
        <w:keepNext/>
      </w:pPr>
      <w:r>
        <w:t>Память в мире, который меняется</w:t>
      </w:r>
    </w:p>
    <w:p>
      <w:r>
        <w:t>Езидская культура не существует только в архивах. Общественная организация Yazda представляет её как систему материального и нематериального наследия, в центре которой находятся устные тексты и рассказы; её открытая коллекция включает разные формы песен, повествований и культурных материалов. Это самоописание общественной организации, а не исчерпывающий каталог веры и не разрешение переносить каждую запись в новый контекст. [5]</w:t>
      </w:r>
    </w:p>
    <w:p>
      <w:r>
        <w:t>В 2014–2017 годах «Исламское государство» совершило против езидов преступления, квалифицированные UNESCO как геноцид, преступления против человечности и военные преступления. В сообщении UNESCO отмечено, что под ударом оказались не только люди, но и святыни, священные предметы и традиции. Эта трагедия — часть современной истории общины, но она не исчерпывает её. Нельзя описывать езидов только через насилие, которому они подверглись. [6]</w:t>
      </w:r>
    </w:p>
    <w:p>
      <w:r>
        <w:t>UNESCO и езидские партнёры поддерживают проект инвентаризации нематериального культурного наследия в Ираке. Его описанная цель — документировать культурные формы совместно с общиной и передавать их дальше, в том числе молодым поколениям. Важно, что сохранение здесь мыслится как работа людей и организаций сообща, а не как извлечение «редких материалов» из контекста. [6]</w:t>
      </w:r>
    </w:p>
    <w:p>
      <w:pPr>
        <w:spacing w:before="140" w:after="60"/>
        <w:jc w:val="center"/>
      </w:pPr>
      <w:r>
        <w:drawing>
          <wp:inline xmlns:a="http://schemas.openxmlformats.org/drawingml/2006/main" xmlns:pic="http://schemas.openxmlformats.org/drawingml/2006/picture">
            <wp:extent cx="4032000" cy="2688000"/>
            <wp:docPr id="5" name="Picture 5"/>
            <wp:cNvGraphicFramePr>
              <a:graphicFrameLocks noChangeAspect="1"/>
            </wp:cNvGraphicFramePr>
            <a:graphic>
              <a:graphicData uri="http://schemas.openxmlformats.org/drawingml/2006/picture">
                <pic:pic>
                  <pic:nvPicPr>
                    <pic:cNvPr id="0" name="05-living-memory.jpg"/>
                    <pic:cNvPicPr/>
                  </pic:nvPicPr>
                  <pic:blipFill>
                    <a:blip r:embed="rId15"/>
                    <a:stretch>
                      <a:fillRect/>
                    </a:stretch>
                  </pic:blipFill>
                  <pic:spPr>
                    <a:xfrm>
                      <a:off x="0" y="0"/>
                      <a:ext cx="4032000" cy="2688000"/>
                    </a:xfrm>
                    <a:prstGeom prst="rect"/>
                  </pic:spPr>
                </pic:pic>
              </a:graphicData>
            </a:graphic>
          </wp:inline>
        </w:drawing>
      </w:r>
    </w:p>
    <w:p>
      <w:pPr>
        <w:spacing w:after="160"/>
        <w:jc w:val="center"/>
      </w:pPr>
      <w:r>
        <w:rPr>
          <w:i/>
          <w:color w:val="6E7483"/>
          <w:sz w:val="16"/>
        </w:rPr>
        <w:t>Память, которую несут через разные места</w:t>
      </w:r>
    </w:p>
    <w:p>
      <w:pPr>
        <w:pStyle w:val="Heading2"/>
        <w:keepNext/>
      </w:pPr>
      <w:r>
        <w:t>Авторский образ — не езидское предание</w:t>
      </w:r>
    </w:p>
    <w:p>
      <w:r>
        <w:t>Представьте, что одна и та же мелодия проходит через комнату и долину. На бумаге можно оставить слова; на записи — тембр; в памяти слушателя — то, что ему объяснили. Ни один из этих следов поодиночке не заменяет остальных. Это мой образ для разговора о передаче, а не пересказ езидской легенды и не описание тайного обряда.</w:t>
      </w:r>
    </w:p>
    <w:p>
      <w:r>
        <w:t>Поэтому читать о кавлах лучше не с вопроса «какая книга у них главная?», а с другого: кто передал этот текст, как его услышали, в какой версии он записан и что осталось за границами публикации? Так видно не только содержание песнопений, но и бережность, с которой община сохраняет право рассказывать о себе.</w:t>
      </w:r>
    </w:p>
    <w:p>
      <w:pPr>
        <w:pStyle w:val="Heading2"/>
        <w:keepNext/>
      </w:pPr>
      <w:r>
        <w:t>Короткий словарь</w:t>
      </w:r>
    </w:p>
    <w:p>
      <w:pPr>
        <w:pStyle w:val="ListBullet"/>
        <w:ind w:left="283" w:hanging="113"/>
      </w:pPr>
      <w:r>
        <w:rPr>
          <w:b/>
        </w:rPr>
        <w:t>Езиды</w:t>
      </w:r>
      <w:r>
        <w:t xml:space="preserve"> — самоназвание и русское название народа и религиозной общины; в английских источниках часто встречаются варианты </w:t>
      </w:r>
      <w:r>
        <w:rPr>
          <w:i/>
        </w:rPr>
        <w:t>Yazidi</w:t>
      </w:r>
      <w:r>
        <w:t xml:space="preserve"> и </w:t>
      </w:r>
      <w:r>
        <w:rPr>
          <w:i/>
        </w:rPr>
        <w:t>Yezidi</w:t>
      </w:r>
      <w:r>
        <w:t>.</w:t>
      </w:r>
    </w:p>
    <w:p>
      <w:pPr>
        <w:pStyle w:val="ListBullet"/>
        <w:ind w:left="283" w:hanging="113"/>
      </w:pPr>
      <w:r>
        <w:rPr>
          <w:b/>
        </w:rPr>
        <w:t>Кавл (*qewl / qawl*)</w:t>
      </w:r>
      <w:r>
        <w:t xml:space="preserve"> — религиозное песнопение на курманджи, часто требующее устного объяснения.</w:t>
      </w:r>
    </w:p>
    <w:p>
      <w:pPr>
        <w:pStyle w:val="ListBullet"/>
        <w:ind w:left="283" w:hanging="113"/>
      </w:pPr>
      <w:r>
        <w:rPr>
          <w:b/>
        </w:rPr>
        <w:t>Каввал (*qawwāl*)</w:t>
      </w:r>
      <w:r>
        <w:t xml:space="preserve"> — традиционный исполнитель и знаток кавлов; исторические роли и обучение менялись.</w:t>
      </w:r>
    </w:p>
    <w:p>
      <w:pPr>
        <w:pStyle w:val="ListBullet"/>
        <w:ind w:left="283" w:hanging="113"/>
      </w:pPr>
      <w:r>
        <w:rPr>
          <w:b/>
        </w:rPr>
        <w:t>Бейт (*beyt*)</w:t>
      </w:r>
      <w:r>
        <w:t xml:space="preserve"> — одна из форм религиозной поэзии.</w:t>
      </w:r>
    </w:p>
    <w:p>
      <w:pPr>
        <w:pStyle w:val="ListBullet"/>
        <w:ind w:left="283" w:hanging="113"/>
      </w:pPr>
      <w:r>
        <w:rPr>
          <w:b/>
        </w:rPr>
        <w:t>Чирок (*çîrok*)</w:t>
      </w:r>
      <w:r>
        <w:t xml:space="preserve"> — рассказ, который может быть связан с песнопением и раскрывать его контекст.</w:t>
      </w:r>
    </w:p>
    <w:p>
      <w:pPr>
        <w:pStyle w:val="ListBullet"/>
        <w:ind w:left="283" w:hanging="113"/>
      </w:pPr>
      <w:r>
        <w:rPr>
          <w:b/>
        </w:rPr>
        <w:t>Лалеш (*Lalish / Lāleš*)</w:t>
      </w:r>
      <w:r>
        <w:t xml:space="preserve"> — долина и религиозный центр в северном Ираке, важный для истории и паломничества езидов.</w:t>
      </w:r>
    </w:p>
    <w:p>
      <w:pPr>
        <w:pStyle w:val="ListBullet"/>
        <w:ind w:left="283" w:hanging="113"/>
      </w:pPr>
      <w:r>
        <w:rPr>
          <w:b/>
        </w:rPr>
        <w:t>Курманджи</w:t>
      </w:r>
      <w:r>
        <w:t xml:space="preserve"> — курдский язык, на котором передано большинство известных устных религиозных текстов.</w:t>
      </w:r>
    </w:p>
    <w:p>
      <w:pPr>
        <w:pStyle w:val="ListBullet"/>
        <w:ind w:left="283" w:hanging="113"/>
      </w:pPr>
      <w:r>
        <w:rPr>
          <w:b/>
        </w:rPr>
        <w:t>Скриптуализация</w:t>
      </w:r>
      <w:r>
        <w:t xml:space="preserve"> — исследовательский термин для процессов, в которых устные тексты всё чаще записывают, издают и используют как корпус письменных материалов. Это описание перемен, а не оценка того, что «правильнее» — память или книга.</w:t>
      </w:r>
    </w:p>
    <w:p>
      <w:r>
        <w:br w:type="page"/>
      </w:r>
    </w:p>
    <w:p>
      <w:pPr>
        <w:pStyle w:val="Heading2"/>
        <w:keepNext/>
      </w:pPr>
      <w:r>
        <w:t>Источники</w:t>
      </w:r>
    </w:p>
    <w:p>
      <w:pPr>
        <w:spacing w:after="100"/>
        <w:ind w:left="113"/>
      </w:pPr>
      <w:r>
        <w:t xml:space="preserve">[1] </w:t>
      </w:r>
      <w:hyperlink r:id="rId16">
        <w:r>
          <w:rPr>
            <w:color w:val="315D74"/>
            <w:sz w:val="17"/>
          </w:rPr>
          <w:t>Yazidis i. General — Encyclopaedia Iranica</w:t>
        </w:r>
      </w:hyperlink>
    </w:p>
    <w:p>
      <w:pPr>
        <w:spacing w:after="140"/>
        <w:ind w:left="283"/>
      </w:pPr>
      <w:r>
        <w:rPr>
          <w:rFonts w:ascii="Noto Sans" w:hAnsi="Noto Sans"/>
          <w:color w:val="646B79"/>
          <w:sz w:val="14"/>
        </w:rPr>
        <w:t>https://www.iranicaonline.org/articles/yazidis/yazidis-i-general-1/</w:t>
      </w:r>
    </w:p>
    <w:p>
      <w:pPr>
        <w:spacing w:after="100"/>
        <w:ind w:left="113"/>
      </w:pPr>
      <w:r>
        <w:t xml:space="preserve">[2] </w:t>
      </w:r>
      <w:hyperlink r:id="rId17">
        <w:r>
          <w:rPr>
            <w:color w:val="315D74"/>
            <w:sz w:val="17"/>
          </w:rPr>
          <w:t>Jelwa, Ketāb al- — Encyclopaedia Iranica</w:t>
        </w:r>
      </w:hyperlink>
    </w:p>
    <w:p>
      <w:pPr>
        <w:spacing w:after="140"/>
        <w:ind w:left="283"/>
      </w:pPr>
      <w:r>
        <w:rPr>
          <w:rFonts w:ascii="Noto Sans" w:hAnsi="Noto Sans"/>
          <w:color w:val="646B79"/>
          <w:sz w:val="14"/>
        </w:rPr>
        <w:t>https://www.iranicaonline.org/articles/jelwa-ketab-al/</w:t>
      </w:r>
    </w:p>
    <w:p>
      <w:pPr>
        <w:spacing w:after="100"/>
        <w:ind w:left="113"/>
      </w:pPr>
      <w:r>
        <w:t xml:space="preserve">[3] </w:t>
      </w:r>
      <w:hyperlink r:id="rId18">
        <w:r>
          <w:rPr>
            <w:color w:val="315D74"/>
            <w:sz w:val="17"/>
          </w:rPr>
          <w:t>Khanna Omarkhali, The Yezidi Religious Textual Tradition — bibliographic record and description</w:t>
        </w:r>
      </w:hyperlink>
    </w:p>
    <w:p>
      <w:pPr>
        <w:spacing w:after="140"/>
        <w:ind w:left="283"/>
      </w:pPr>
      <w:r>
        <w:rPr>
          <w:rFonts w:ascii="Noto Sans" w:hAnsi="Noto Sans"/>
          <w:color w:val="646B79"/>
          <w:sz w:val="14"/>
        </w:rPr>
        <w:t>https://www.biblioiranica.info/yezidi-religious-textual-tradition/</w:t>
      </w:r>
    </w:p>
    <w:p>
      <w:pPr>
        <w:spacing w:after="100"/>
        <w:ind w:left="113"/>
      </w:pPr>
      <w:r>
        <w:t xml:space="preserve">[4] </w:t>
      </w:r>
      <w:hyperlink r:id="rId19">
        <w:r>
          <w:rPr>
            <w:color w:val="315D74"/>
            <w:sz w:val="17"/>
          </w:rPr>
          <w:t>Eszter Spät, From oral charms to written heritage: four Yezidi prayer-incantations from Sinjar, Iraq — Bulletin of SOAS, 2025</w:t>
        </w:r>
      </w:hyperlink>
    </w:p>
    <w:p>
      <w:pPr>
        <w:spacing w:after="140"/>
        <w:ind w:left="283"/>
      </w:pPr>
      <w:r>
        <w:rPr>
          <w:rFonts w:ascii="Noto Sans" w:hAnsi="Noto Sans"/>
          <w:color w:val="646B79"/>
          <w:sz w:val="14"/>
        </w:rPr>
        <w:t>https://doi.org/10.1017/S0041977X25000229</w:t>
      </w:r>
    </w:p>
    <w:p>
      <w:pPr>
        <w:spacing w:after="100"/>
        <w:ind w:left="113"/>
      </w:pPr>
      <w:r>
        <w:t xml:space="preserve">[5] </w:t>
      </w:r>
      <w:hyperlink r:id="rId20">
        <w:r>
          <w:rPr>
            <w:color w:val="315D74"/>
            <w:sz w:val="17"/>
          </w:rPr>
          <w:t>Yazda, Yazidi Cultural Preservation</w:t>
        </w:r>
      </w:hyperlink>
    </w:p>
    <w:p>
      <w:pPr>
        <w:spacing w:after="140"/>
        <w:ind w:left="283"/>
      </w:pPr>
      <w:r>
        <w:rPr>
          <w:rFonts w:ascii="Noto Sans" w:hAnsi="Noto Sans"/>
          <w:color w:val="646B79"/>
          <w:sz w:val="14"/>
        </w:rPr>
        <w:t>https://www.yazda.org/culture</w:t>
      </w:r>
    </w:p>
    <w:p>
      <w:pPr>
        <w:spacing w:after="100"/>
        <w:ind w:left="113"/>
      </w:pPr>
      <w:r>
        <w:t xml:space="preserve">[6] </w:t>
      </w:r>
      <w:hyperlink r:id="rId21">
        <w:r>
          <w:rPr>
            <w:color w:val="315D74"/>
            <w:sz w:val="17"/>
          </w:rPr>
          <w:t>UNESCO, Inventorying and safeguarding Yazidi intangible cultural heritage</w:t>
        </w:r>
      </w:hyperlink>
    </w:p>
    <w:p>
      <w:pPr>
        <w:spacing w:after="140"/>
        <w:ind w:left="283"/>
      </w:pPr>
      <w:r>
        <w:rPr>
          <w:rFonts w:ascii="Noto Sans" w:hAnsi="Noto Sans"/>
          <w:color w:val="646B79"/>
          <w:sz w:val="14"/>
        </w:rPr>
        <w:t>https://core.unesco.org/en/project/537IRQ4000</w:t>
      </w:r>
    </w:p>
    <w:p>
      <w:pPr>
        <w:spacing w:after="100"/>
        <w:ind w:left="113"/>
      </w:pPr>
      <w:r>
        <w:t xml:space="preserve">[7] </w:t>
      </w:r>
      <w:hyperlink r:id="rId22">
        <w:r>
          <w:rPr>
            <w:color w:val="315D74"/>
            <w:sz w:val="17"/>
          </w:rPr>
          <w:t>Petr Kokaisl et al., The Influence of the Diaspora on the Transformation of the Main Elements of the Yazidi Religion — Religions, 2022</w:t>
        </w:r>
      </w:hyperlink>
    </w:p>
    <w:p>
      <w:pPr>
        <w:spacing w:after="140"/>
        <w:ind w:left="283"/>
      </w:pPr>
      <w:r>
        <w:rPr>
          <w:rFonts w:ascii="Noto Sans" w:hAnsi="Noto Sans"/>
          <w:color w:val="646B79"/>
          <w:sz w:val="14"/>
        </w:rPr>
        <w:t>https://www.mdpi.com/2077-1444/13/11/1071</w:t>
      </w:r>
    </w:p>
    <w:sectPr w:rsidR="00FC693F" w:rsidRPr="0006063C" w:rsidSect="00034616">
      <w:pgSz w:w="8391" w:h="11906"/>
      <w:pgMar w:top="964"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8C7C5B"/>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color w:val="6E7483"/>
        <w:sz w:val="14"/>
      </w:rPr>
      <w:t>HARVYRÐ  ·  КАВЛЫ И ПАМЯТЬ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Noto Serif" w:hAnsi="Noto Serif"/>
      <w:color w:val="26304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b/>
      <w:bCs/>
      <w:color w:val="26335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b/>
      <w:bCs/>
      <w:color w:val="263B6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hyperlink" Target="https://www.iranicaonline.org/articles/yazidis/yazidis-i-general-1/" TargetMode="External"/><Relationship Id="rId17" Type="http://schemas.openxmlformats.org/officeDocument/2006/relationships/hyperlink" Target="https://www.iranicaonline.org/articles/jelwa-ketab-al/" TargetMode="External"/><Relationship Id="rId18" Type="http://schemas.openxmlformats.org/officeDocument/2006/relationships/hyperlink" Target="https://www.biblioiranica.info/yezidi-religious-textual-tradition/" TargetMode="External"/><Relationship Id="rId19" Type="http://schemas.openxmlformats.org/officeDocument/2006/relationships/hyperlink" Target="https://doi.org/10.1017/S0041977X25000229" TargetMode="External"/><Relationship Id="rId20" Type="http://schemas.openxmlformats.org/officeDocument/2006/relationships/hyperlink" Target="https://www.yazda.org/culture" TargetMode="External"/><Relationship Id="rId21" Type="http://schemas.openxmlformats.org/officeDocument/2006/relationships/hyperlink" Target="https://core.unesco.org/en/project/537IRQ4000" TargetMode="External"/><Relationship Id="rId22" Type="http://schemas.openxmlformats.org/officeDocument/2006/relationships/hyperlink" Target="https://www.mdpi.com/2077-1444/13/11/10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Кавлы и память: путеводитель по езидской религиозной традиции и её устным текстам</dc:title>
  <dc:subject>HARVYRÐ · читательский путеводитель v0.1</dc:subject>
  <dc:creator>HARVYRÐ</dc:creator>
  <cp:keywords/>
  <dc:description>generated by python-docx</dc:description>
  <cp:lastModifiedBy/>
  <cp:revision>1</cp:revision>
  <dcterms:created xsi:type="dcterms:W3CDTF">2013-12-23T23:15:00Z</dcterms:created>
  <dcterms:modified xsi:type="dcterms:W3CDTF">2013-12-23T23:15:00Z</dcterms:modified>
  <cp:category/>
</cp:coreProperties>
</file>