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1440"/>
      </w:pPr>
      <w:r>
        <w:rPr>
          <w:rFonts w:ascii="Courier New" w:cs="Courier New" w:eastAsia="Courier New" w:hAnsi="Courier New"/>
          <w:color w:val="06B6D4"/>
          <w:spacing w:val="200"/>
          <w:sz w:val="20"/>
          <w:szCs w:val="20"/>
        </w:rPr>
        <w:t xml:space="preserve">CLEARCHAIN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11827"/>
          <w:sz w:val="56"/>
          <w:szCs w:val="56"/>
        </w:rPr>
        <w:t xml:space="preserve">B2C Monetization Strategy</w:t>
      </w:r>
    </w:p>
    <w:p>
      <w:pPr>
        <w:spacing w:after="0" w:before="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Prepared for internal review — May 2026</w:t>
      </w:r>
    </w:p>
    <w:p>
      <w:pPr>
        <w:pBdr>
          <w:bottom w:val="single" w:color="E5E7EB" w:sz="4"/>
        </w:pBdr>
        <w:spacing w:after="160" w:before="160"/>
      </w:pPr>
    </w:p>
    <w:p>
      <w:pPr>
        <w:spacing w:after="64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This report evaluates monetization options for ClearChain's consumer-facing crypto wallet screening tool. It covers target user segments, pricing models, feature gating strategy, revenue projections, and a recommended implementation roadmap.</w:t>
      </w:r>
    </w:p>
    <w:p>
      <w:r>
        <w:br w:type="page"/>
      </w:r>
    </w:p>
    <w:p>
      <w:pPr>
        <w:spacing w:after="60" w:before="200"/>
      </w:pPr>
      <w:r>
        <w:rPr>
          <w:rFonts w:ascii="Courier New" w:cs="Courier New" w:eastAsia="Courier New" w:hAnsi="Courier New"/>
          <w:color w:val="06B6D4"/>
          <w:spacing w:val="80"/>
          <w:sz w:val="16"/>
          <w:szCs w:val="16"/>
        </w:rPr>
        <w:t xml:space="preserve">SECTION 01</w:t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Executive Summary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ClearChain is a free-to-try crypto wallet screening tool that helps individuals check whether a wallet address is safe before sending or receiving funds. It combines OFAC sanctions screening, on-chain risk analysis, AI-generated compliance narratives, and SAR draft generation — all in under 10 seconds.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The core opportunity: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avid crypto users — traders, DeFi participants, NFT collectors, freelancers paid in crypto — perform wallet checks repeatedly. A freemium model with a monthly subscription for unlimited, enhanced analysis converts this habit into recurring revenue.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Recommended model: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Freemium + monthly subscription (primary) with optional one-time credit packs (secondary). No annual contracts, no enterprise gatekeeping at launch.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Key numbers at a glance: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24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Checks / Month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User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Free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$0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 checks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First-time / casual users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$9/mo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Unlimited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Active traders, DeFi users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Power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$19/mo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Unlimited + API access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Developers, freelancers, power users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Credit Pack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$4 one-time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10 checks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Infrequent but serious users</w:t>
            </w:r>
          </w:p>
        </w:tc>
      </w:tr>
    </w:tbl>
    <w:p>
      <w:r>
        <w:br w:type="page"/>
      </w:r>
    </w:p>
    <w:p>
      <w:pPr>
        <w:spacing w:after="60" w:before="200"/>
      </w:pPr>
      <w:r>
        <w:rPr>
          <w:rFonts w:ascii="Courier New" w:cs="Courier New" w:eastAsia="Courier New" w:hAnsi="Courier New"/>
          <w:color w:val="06B6D4"/>
          <w:spacing w:val="80"/>
          <w:sz w:val="16"/>
          <w:szCs w:val="16"/>
        </w:rPr>
        <w:t xml:space="preserve">SECTION 02</w:t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Target B2C User Segments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Understanding who actually uses ClearChain is critical to pricing correctly. There are four distinct consumer segments — each with different willingness to pay and different check frequencies.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6B6D4"/>
          <w:sz w:val="26"/>
          <w:szCs w:val="26"/>
        </w:rPr>
        <w:t xml:space="preserve">Segment A — Active Crypto Traders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Profile: Buys and sells crypto regularly across multiple wallets. Frequently receives payments from counterparties they don't know personally. Most likely to use ClearChain before confirming a trade or OTC deal.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2"/>
          <w:szCs w:val="22"/>
        </w:rPr>
        <w:t xml:space="preserve">Check frequency: 5–20 checks/month. Price sensitivity: Low — a $9/month subscription is less than one transaction fee. Conversion trigger: A near-miss with a risky wallet, or a scam warning from a friend.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6B6D4"/>
          <w:sz w:val="26"/>
          <w:szCs w:val="26"/>
        </w:rPr>
        <w:t xml:space="preserve">Segment B — DeFi &amp; NFT Users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Profile: Connects wallets to new protocols weekly. Checks contract and team wallet addresses before depositing. Paranoid about rug pulls. Uses ClearChain for due diligence, not just payment safety.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2"/>
          <w:szCs w:val="22"/>
        </w:rPr>
        <w:t xml:space="preserve">Check frequency: 10–30 checks/month. Price sensitivity: Low-medium — already comfortable spending on gas fees and protocol fees. Likely to upgrade for Investigation Mode and SAR exports.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6B6D4"/>
          <w:sz w:val="26"/>
          <w:szCs w:val="26"/>
        </w:rPr>
        <w:t xml:space="preserve">Segment C — Freelancers &amp; Creators Paid in Crypto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Profile: Receives ETH, USDC, or SOL from clients. Primary concern: "Is this client's wallet clean? Could accepting this payment get my exchange account flagged?" Uses ClearChain once per new client.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2"/>
          <w:szCs w:val="22"/>
        </w:rPr>
        <w:t xml:space="preserve">Check frequency: 2–8 checks/month. Price sensitivity: Medium — may prefer credit packs over subscriptions since usage is project-based. Conversion trigger: Hearing that tainted funds can get exchange accounts frozen.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6B6D4"/>
          <w:sz w:val="26"/>
          <w:szCs w:val="26"/>
        </w:rPr>
        <w:t xml:space="preserve">Segment D — Casual / First-Time Users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Profile: Received a random crypto transfer, saw a payment address online, or heard about a scam. Runs one check, may never return. Free tier captures and serves this segment without conversion pressure.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2"/>
          <w:szCs w:val="22"/>
        </w:rPr>
        <w:t xml:space="preserve">Check frequency: 1–3 checks ever. Monetization path: Referral to Pro if they find a flagged wallet and want the full report.</w:t>
      </w:r>
    </w:p>
    <w:p>
      <w:r>
        <w:br w:type="page"/>
      </w:r>
    </w:p>
    <w:p>
      <w:pPr>
        <w:spacing w:after="60" w:before="200"/>
      </w:pPr>
      <w:r>
        <w:rPr>
          <w:rFonts w:ascii="Courier New" w:cs="Courier New" w:eastAsia="Courier New" w:hAnsi="Courier New"/>
          <w:color w:val="06B6D4"/>
          <w:spacing w:val="80"/>
          <w:sz w:val="16"/>
          <w:szCs w:val="16"/>
        </w:rPr>
        <w:t xml:space="preserve">SECTION 03</w:t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Monetization Model Analysis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Three models were evaluated: subscription, credit packs, and a hybrid approach. All assume Stripe as the payment processor and Supabase as the user/entitlement database.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Model 1 — Monthly Subscription (Recommended Primary)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Users pay a recurring monthly fee for unlimited access to ClearChain's full feature set. This is the coworker-suggested model and the strongest choice for a tool used habitually.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Why it works for ClearChain: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Wallet screening is a habit, not a one-time need — active users check repeatedly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Predictable MRR makes the business easier to grow and fund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Subscription users have 3–5x higher LTV than one-time purchasers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Low churn risk: once a user trusts the tool, they keep it running in the background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Risks: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Users who check &lt;3 wallets/month may not see value — credit packs serve them better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Churn spikes if users have a "quiet month" with no transactions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Model 2 — One-Time Credit Packs (Recommended Secondary)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Users purchase a bundle of checks (e.g. 10 for $4, 50 for $14) that never expire. Credits roll over indefinitely. Best for freelancers and casual users who don't need unlimited access.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Why it works: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Zero commitment — lowers the purchase barrier significantly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Good fit for project-based users (freelancers, one-time due diligence)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Often converts to subscription once users see the value regularly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Risks: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Lower LTV vs subscription if users never upgrade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Harder to forecast revenue — lumpy, not predictable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Model 3 — Annual Subscription (Future Consideration)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Offer an annual plan at 2 months free (e.g. Pro at $79/year vs $108/year monthly). Increases upfront cash and reduces churn. Not recommended at launch — build monthly retention first, then introduce annual as an upgrade incentive at month 3–6.</w:t>
      </w:r>
    </w:p>
    <w:p>
      <w:r>
        <w:br w:type="page"/>
      </w:r>
    </w:p>
    <w:p>
      <w:pPr>
        <w:spacing w:after="60" w:before="200"/>
      </w:pPr>
      <w:r>
        <w:rPr>
          <w:rFonts w:ascii="Courier New" w:cs="Courier New" w:eastAsia="Courier New" w:hAnsi="Courier New"/>
          <w:color w:val="06B6D4"/>
          <w:spacing w:val="80"/>
          <w:sz w:val="16"/>
          <w:szCs w:val="16"/>
        </w:rPr>
        <w:t xml:space="preserve">SECTION 04</w:t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Recommended Pricing &amp; Feature Tiers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The tier structure below is designed to maximize conversion from free to paid while keeping the free tier genuinely useful — not a crippled demo.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920"/>
        <w:gridCol w:w="1920"/>
        <w:gridCol w:w="1920"/>
      </w:tblGrid>
      <w:tr>
        <w:trPr>
          <w:tblHeader/>
        </w:trP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</w:t>
            </w:r>
          </w:p>
        </w:tc>
        <w:tc>
          <w:tcPr>
            <w:tcW w:type="dxa" w:w="1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 ($9/mo)</w:t>
            </w:r>
          </w:p>
        </w:tc>
        <w:tc>
          <w:tcPr>
            <w:tcW w:type="dxa" w:w="1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Power ($19/mo)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Wallet checks per month</w:t>
            </w:r>
          </w:p>
        </w:tc>
        <w:tc>
          <w:tcPr>
            <w:tcW w:type="dxa" w:w="1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</w:t>
            </w:r>
          </w:p>
        </w:tc>
        <w:tc>
          <w:tcPr>
            <w:tcW w:type="dxa" w:w="1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Unlimited</w:t>
            </w:r>
          </w:p>
        </w:tc>
        <w:tc>
          <w:tcPr>
            <w:tcW w:type="dxa" w:w="1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Unlimited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Risk score + signals</w:t>
            </w:r>
          </w:p>
        </w:tc>
        <w:tc>
          <w:tcPr>
            <w:tcW w:type="dxa" w:w="1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Yes</w:t>
            </w:r>
          </w:p>
        </w:tc>
        <w:tc>
          <w:tcPr>
            <w:tcW w:type="dxa" w:w="1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Yes</w:t>
            </w:r>
          </w:p>
        </w:tc>
        <w:tc>
          <w:tcPr>
            <w:tcW w:type="dxa" w:w="1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PATTERNS tab (typologies)</w:t>
            </w:r>
          </w:p>
        </w:tc>
        <w:tc>
          <w:tcPr>
            <w:tcW w:type="dxa" w:w="1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Yes</w:t>
            </w:r>
          </w:p>
        </w:tc>
        <w:tc>
          <w:tcPr>
            <w:tcW w:type="dxa" w:w="1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Yes</w:t>
            </w:r>
          </w:p>
        </w:tc>
        <w:tc>
          <w:tcPr>
            <w:tcW w:type="dxa" w:w="1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NARRATIVE tab (AI summary)</w:t>
            </w:r>
          </w:p>
        </w:tc>
        <w:tc>
          <w:tcPr>
            <w:tcW w:type="dxa" w:w="1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Preview only</w:t>
            </w:r>
          </w:p>
        </w:tc>
        <w:tc>
          <w:tcPr>
            <w:tcW w:type="dxa" w:w="1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Full</w:t>
            </w:r>
          </w:p>
        </w:tc>
        <w:tc>
          <w:tcPr>
            <w:tcW w:type="dxa" w:w="1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Full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SAR draft download</w:t>
            </w:r>
          </w:p>
        </w:tc>
        <w:tc>
          <w:tcPr>
            <w:tcW w:type="dxa" w:w="1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</w:t>
            </w:r>
          </w:p>
        </w:tc>
        <w:tc>
          <w:tcPr>
            <w:tcW w:type="dxa" w:w="1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Yes</w:t>
            </w:r>
          </w:p>
        </w:tc>
        <w:tc>
          <w:tcPr>
            <w:tcW w:type="dxa" w:w="1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REPORT export (.txt)</w:t>
            </w:r>
          </w:p>
        </w:tc>
        <w:tc>
          <w:tcPr>
            <w:tcW w:type="dxa" w:w="1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</w:t>
            </w:r>
          </w:p>
        </w:tc>
        <w:tc>
          <w:tcPr>
            <w:tcW w:type="dxa" w:w="1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Yes</w:t>
            </w:r>
          </w:p>
        </w:tc>
        <w:tc>
          <w:tcPr>
            <w:tcW w:type="dxa" w:w="1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Investigation Mode (graph)</w:t>
            </w:r>
          </w:p>
        </w:tc>
        <w:tc>
          <w:tcPr>
            <w:tcW w:type="dxa" w:w="1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</w:t>
            </w:r>
          </w:p>
        </w:tc>
        <w:tc>
          <w:tcPr>
            <w:tcW w:type="dxa" w:w="1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Yes</w:t>
            </w:r>
          </w:p>
        </w:tc>
        <w:tc>
          <w:tcPr>
            <w:tcW w:type="dxa" w:w="1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Counterfactual Simulator</w:t>
            </w:r>
          </w:p>
        </w:tc>
        <w:tc>
          <w:tcPr>
            <w:tcW w:type="dxa" w:w="1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View only</w:t>
            </w:r>
          </w:p>
        </w:tc>
        <w:tc>
          <w:tcPr>
            <w:tcW w:type="dxa" w:w="1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Full</w:t>
            </w:r>
          </w:p>
        </w:tc>
        <w:tc>
          <w:tcPr>
            <w:tcW w:type="dxa" w:w="1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Full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Save to Cases / Dashboard</w:t>
            </w:r>
          </w:p>
        </w:tc>
        <w:tc>
          <w:tcPr>
            <w:tcW w:type="dxa" w:w="1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</w:t>
            </w:r>
          </w:p>
        </w:tc>
        <w:tc>
          <w:tcPr>
            <w:tcW w:type="dxa" w:w="1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Yes</w:t>
            </w:r>
          </w:p>
        </w:tc>
        <w:tc>
          <w:tcPr>
            <w:tcW w:type="dxa" w:w="1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FLOW tab (Sankey diagram)</w:t>
            </w:r>
          </w:p>
        </w:tc>
        <w:tc>
          <w:tcPr>
            <w:tcW w:type="dxa" w:w="1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</w:t>
            </w:r>
          </w:p>
        </w:tc>
        <w:tc>
          <w:tcPr>
            <w:tcW w:type="dxa" w:w="1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Yes</w:t>
            </w:r>
          </w:p>
        </w:tc>
        <w:tc>
          <w:tcPr>
            <w:tcW w:type="dxa" w:w="1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API access (bulk checks)</w:t>
            </w:r>
          </w:p>
        </w:tc>
        <w:tc>
          <w:tcPr>
            <w:tcW w:type="dxa" w:w="1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</w:t>
            </w:r>
          </w:p>
        </w:tc>
        <w:tc>
          <w:tcPr>
            <w:tcW w:type="dxa" w:w="1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</w:t>
            </w:r>
          </w:p>
        </w:tc>
        <w:tc>
          <w:tcPr>
            <w:tcW w:type="dxa" w:w="1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Yes (500 req/mo)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Priority analysis speed</w:t>
            </w:r>
          </w:p>
        </w:tc>
        <w:tc>
          <w:tcPr>
            <w:tcW w:type="dxa" w:w="1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</w:t>
            </w:r>
          </w:p>
        </w:tc>
        <w:tc>
          <w:tcPr>
            <w:tcW w:type="dxa" w:w="1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</w:t>
            </w:r>
          </w:p>
        </w:tc>
        <w:tc>
          <w:tcPr>
            <w:tcW w:type="dxa" w:w="1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CSV export of results</w:t>
            </w:r>
          </w:p>
        </w:tc>
        <w:tc>
          <w:tcPr>
            <w:tcW w:type="dxa" w:w="1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</w:t>
            </w:r>
          </w:p>
        </w:tc>
        <w:tc>
          <w:tcPr>
            <w:tcW w:type="dxa" w:w="1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</w:t>
            </w:r>
          </w:p>
        </w:tc>
        <w:tc>
          <w:tcPr>
            <w:tcW w:type="dxa" w:w="1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Watchlist alerts</w:t>
            </w:r>
          </w:p>
        </w:tc>
        <w:tc>
          <w:tcPr>
            <w:tcW w:type="dxa" w:w="1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</w:t>
            </w:r>
          </w:p>
        </w:tc>
        <w:tc>
          <w:tcPr>
            <w:tcW w:type="dxa" w:w="1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</w:t>
            </w:r>
          </w:p>
        </w:tc>
        <w:tc>
          <w:tcPr>
            <w:tcW w:type="dxa" w:w="1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Yes (beta)</w:t>
            </w:r>
          </w:p>
        </w:tc>
      </w:tr>
    </w:tbl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6B6D4" w:val="clear"/>
            <w:tcMar>
              <w:top w:type="dxa" w:w="120"/>
              <w:left w:type="dxa" w:w="0"/>
              <w:bottom w:type="dxa" w:w="120"/>
              <w:right w:type="dxa" w:w="0"/>
            </w:tcMar>
          </w:tcPr>
          <w:p/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8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6B6D4"/>
                <w:sz w:val="20"/>
                <w:szCs w:val="20"/>
              </w:rPr>
              <w:t xml:space="preserve">Pricing rationale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$9/month is the sweet spot for consumer crypto tools — below the "think twice" threshold for anyone transacting regularly in crypto. $19/month for Power unlocks API and bulk features that developers and active freelancers will pay without hesitation. Credit packs at $4/10 checks price out at $0.40/check vs $0.30/check on Pro — the per-unit economics push frequent users to subscribe.</w:t>
            </w:r>
          </w:p>
        </w:tc>
      </w:tr>
    </w:tbl>
    <w:p>
      <w:r>
        <w:br w:type="page"/>
      </w:r>
    </w:p>
    <w:p>
      <w:pPr>
        <w:spacing w:after="60" w:before="200"/>
      </w:pPr>
      <w:r>
        <w:rPr>
          <w:rFonts w:ascii="Courier New" w:cs="Courier New" w:eastAsia="Courier New" w:hAnsi="Courier New"/>
          <w:color w:val="06B6D4"/>
          <w:spacing w:val="80"/>
          <w:sz w:val="16"/>
          <w:szCs w:val="16"/>
        </w:rPr>
        <w:t xml:space="preserve">SECTION 05</w:t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Credit Pack Structure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Credit packs are one-time purchases with no expiry. They unlock all Pro features for each check used. This gives infrequent users full access without a subscription commitment.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320"/>
        <w:gridCol w:w="1560"/>
        <w:gridCol w:w="3360"/>
      </w:tblGrid>
      <w:tr>
        <w:trPr>
          <w:tblHeader/>
        </w:trPr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Checks</w:t>
            </w:r>
          </w:p>
        </w:tc>
        <w:tc>
          <w:tcPr>
            <w:tcW w:type="dxa" w:w="1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 Check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</w:tr>
      <w:tr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Starter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10 checks</w:t>
            </w:r>
          </w:p>
        </w:tc>
        <w:tc>
          <w:tcPr>
            <w:tcW w:type="dxa" w:w="1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$4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$0.40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First purchase, light users</w:t>
            </w:r>
          </w:p>
        </w:tc>
      </w:tr>
      <w:tr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Standard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30 checks</w:t>
            </w:r>
          </w:p>
        </w:tc>
        <w:tc>
          <w:tcPr>
            <w:tcW w:type="dxa" w:w="1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$9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$0.30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Freelancers, mid-volume</w:t>
            </w:r>
          </w:p>
        </w:tc>
      </w:tr>
      <w:tr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 Pack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100 checks</w:t>
            </w:r>
          </w:p>
        </w:tc>
        <w:tc>
          <w:tcPr>
            <w:tcW w:type="dxa" w:w="1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$24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$0.24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Power users resisting subscription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Credit packs include all Pro features per check. They do not include API access or CSV export (Power-only).</w:t>
      </w:r>
    </w:p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C875" w:val="clear"/>
            <w:tcMar>
              <w:top w:type="dxa" w:w="120"/>
              <w:left w:type="dxa" w:w="0"/>
              <w:bottom w:type="dxa" w:w="120"/>
              <w:right w:type="dxa" w:w="0"/>
            </w:tcMar>
          </w:tcPr>
          <w:p/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A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0C875"/>
                <w:sz w:val="20"/>
                <w:szCs w:val="20"/>
              </w:rPr>
              <w:t xml:space="preserve">Conversion funnel: Free → Credits → Pro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The intended journey is: (1) user tries 3 free checks, hits the limit, (2) buys a 10-check starter pack to continue, (3) uses credits regularly enough that month that a $9 subscription becomes obviously cheaper. Show the per-check math in the upgrade prompt: "At your rate, Pro saves you $X this month."</w:t>
            </w:r>
          </w:p>
        </w:tc>
      </w:tr>
    </w:tbl>
    <w:p>
      <w:r>
        <w:br w:type="page"/>
      </w:r>
    </w:p>
    <w:p>
      <w:pPr>
        <w:spacing w:after="60" w:before="200"/>
      </w:pPr>
      <w:r>
        <w:rPr>
          <w:rFonts w:ascii="Courier New" w:cs="Courier New" w:eastAsia="Courier New" w:hAnsi="Courier New"/>
          <w:color w:val="06B6D4"/>
          <w:spacing w:val="80"/>
          <w:sz w:val="16"/>
          <w:szCs w:val="16"/>
        </w:rPr>
        <w:t xml:space="preserve">SECTION 06</w:t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Feature Gating Logic &amp; Implementation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The gating logic determines what a user sees when they hit a limit. Poor gating kills conversion. The principle: never block a user mid-analysis. Show the full result, then gate the download or export.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Core Gating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Never gate the risk score, signals, or PATTERNS tab — this is the core value prop and must always work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Gate depth: NARRATIVE shows the first 2 sentences, then a blur with upgrade prompt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Gate exports: SAR draft and REPORT download require Pro — show the button, but clicking prompts upgrade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Gate Investigation Mode: the graph renders with 1 hop, expanding a second node prompts upgrade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Gate Simulator: sliders are visible but locked — clicking any toggle prompts upgrade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Never show a hard wall before the analysis completes — always let them see the score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Check Counting Logic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A "check" is consumed when the analysis API call completes successfully. Re-running the same address within 5 minutes does not consume a check (use the 5-minute cache already in place). Checks reset on the monthly billing date, not calendar month.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Edge cases to handle: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API errors before completion: do not consume a check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Simulator runs: do not consume additional checks (same base analysis)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Graph expansion (Investigation Mode): each expand call counts as a sub-check against the base analysis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User-Facing Upgrade Prompts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The upgrade prompt appears in three locations. Each should be contextual — show the user exactly what they're missing, not a generic "Upgrade to Pro."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160"/>
        <w:gridCol w:w="2600"/>
      </w:tblGrid>
      <w:tr>
        <w:trPr>
          <w:tblHeader/>
        </w:trP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 Copy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CTA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3rd free check used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"You've used all 3 free checks this month. Get unlimited for $9."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Upgrade to Pro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Clicking SAR download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"SAR drafts are available on Pro. Export in one click."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Unlock SAR Drafts — $9/mo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NARRATIVE blur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"See the full AI-generated risk narrative and recommendations."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Read Full Report — $9/mo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Investigation Mode expand block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"Follow the money further. Unlimited hops with Pro."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Upgrade to Pro</w:t>
            </w:r>
          </w:p>
        </w:tc>
      </w:tr>
    </w:tbl>
    <w:p>
      <w:r>
        <w:br w:type="page"/>
      </w:r>
    </w:p>
    <w:p>
      <w:pPr>
        <w:spacing w:after="60" w:before="200"/>
      </w:pPr>
      <w:r>
        <w:rPr>
          <w:rFonts w:ascii="Courier New" w:cs="Courier New" w:eastAsia="Courier New" w:hAnsi="Courier New"/>
          <w:color w:val="06B6D4"/>
          <w:spacing w:val="80"/>
          <w:sz w:val="16"/>
          <w:szCs w:val="16"/>
        </w:rPr>
        <w:t xml:space="preserve">SECTION 07</w:t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Revenue Projections (Conservative)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The following projections assume organic growth through word-of-mouth and SEO, with no paid acquisition. Numbers are intentionally conservative for a solo-founder pre-launch-monetization stage.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Monthly Active User Growth Assumptions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1800"/>
        <w:gridCol w:w="1320"/>
        <w:gridCol w:w="1320"/>
        <w:gridCol w:w="1320"/>
        <w:gridCol w:w="1900"/>
      </w:tblGrid>
      <w:tr>
        <w:trPr>
          <w:tblHeader/>
        </w:trP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MAU (est.)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 → Paid Conv.</w:t>
            </w:r>
          </w:p>
        </w:tc>
        <w:tc>
          <w:tcPr>
            <w:tcW w:type="dxa" w:w="1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 Subs</w:t>
            </w:r>
          </w:p>
        </w:tc>
        <w:tc>
          <w:tcPr>
            <w:tcW w:type="dxa" w:w="1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Power Subs</w:t>
            </w:r>
          </w:p>
        </w:tc>
        <w:tc>
          <w:tcPr>
            <w:tcW w:type="dxa" w:w="1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Credit Sales</w:t>
            </w:r>
          </w:p>
        </w:tc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MRR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M1 (Launch)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500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2%</w:t>
            </w:r>
          </w:p>
        </w:tc>
        <w:tc>
          <w:tcPr>
            <w:tcW w:type="dxa" w:w="1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8</w:t>
            </w:r>
          </w:p>
        </w:tc>
        <w:tc>
          <w:tcPr>
            <w:tcW w:type="dxa" w:w="1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</w:t>
            </w:r>
          </w:p>
        </w:tc>
        <w:tc>
          <w:tcPr>
            <w:tcW w:type="dxa" w:w="1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$40</w:t>
            </w:r>
          </w:p>
        </w:tc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~$130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M3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1,200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3%</w:t>
            </w:r>
          </w:p>
        </w:tc>
        <w:tc>
          <w:tcPr>
            <w:tcW w:type="dxa" w:w="1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28</w:t>
            </w:r>
          </w:p>
        </w:tc>
        <w:tc>
          <w:tcPr>
            <w:tcW w:type="dxa" w:w="1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7</w:t>
            </w:r>
          </w:p>
        </w:tc>
        <w:tc>
          <w:tcPr>
            <w:tcW w:type="dxa" w:w="1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$120</w:t>
            </w:r>
          </w:p>
        </w:tc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~$430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M6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3,000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4%</w:t>
            </w:r>
          </w:p>
        </w:tc>
        <w:tc>
          <w:tcPr>
            <w:tcW w:type="dxa" w:w="1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96</w:t>
            </w:r>
          </w:p>
        </w:tc>
        <w:tc>
          <w:tcPr>
            <w:tcW w:type="dxa" w:w="1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24</w:t>
            </w:r>
          </w:p>
        </w:tc>
        <w:tc>
          <w:tcPr>
            <w:tcW w:type="dxa" w:w="1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$300</w:t>
            </w:r>
          </w:p>
        </w:tc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~$1,420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M12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8,000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5%</w:t>
            </w:r>
          </w:p>
        </w:tc>
        <w:tc>
          <w:tcPr>
            <w:tcW w:type="dxa" w:w="1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320</w:t>
            </w:r>
          </w:p>
        </w:tc>
        <w:tc>
          <w:tcPr>
            <w:tcW w:type="dxa" w:w="1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80</w:t>
            </w:r>
          </w:p>
        </w:tc>
        <w:tc>
          <w:tcPr>
            <w:tcW w:type="dxa" w:w="1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$800</w:t>
            </w:r>
          </w:p>
        </w:tc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~$4,400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M18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18,000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6%</w:t>
            </w:r>
          </w:p>
        </w:tc>
        <w:tc>
          <w:tcPr>
            <w:tcW w:type="dxa" w:w="1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864</w:t>
            </w:r>
          </w:p>
        </w:tc>
        <w:tc>
          <w:tcPr>
            <w:tcW w:type="dxa" w:w="1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216</w:t>
            </w:r>
          </w:p>
        </w:tc>
        <w:tc>
          <w:tcPr>
            <w:tcW w:type="dxa" w:w="1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$1,800</w:t>
            </w:r>
          </w:p>
        </w:tc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~$11,900</w:t>
            </w:r>
          </w:p>
        </w:tc>
      </w:tr>
    </w:tbl>
    <w:p>
      <w:pPr>
        <w:spacing w:after="80" w:before="12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Assumptions: 70/30 split Pro/Power among paid users. Credit packs average $9/purchase, ~1 purchase per 10 paid users/month. Churn rate 8%/month (conservative for consumer SaaS).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Path to $10K MRR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At a blended ARPU of ~$11.50/month (accounting for credit pack revenue), ClearChain needs approximately 870 paying users to reach $10K MRR. At 5% free-to-paid conversion, that requires ~17,400 monthly active users — achievable within 15–18 months of focused growth.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Primary growth levers: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SEO: "is [wallet address] safe" and "check crypto wallet before sending" have meaningful search volume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X/Twitter: crypto safety content resonates — one viral near-miss story can spike signups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Product-led growth: every report a user shares includes a ClearChain watermark/link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Referral program: give both referrer and referred user 5 free credits</w:t>
      </w:r>
    </w:p>
    <w:p>
      <w:r>
        <w:br w:type="page"/>
      </w:r>
    </w:p>
    <w:p>
      <w:pPr>
        <w:spacing w:after="60" w:before="200"/>
      </w:pPr>
      <w:r>
        <w:rPr>
          <w:rFonts w:ascii="Courier New" w:cs="Courier New" w:eastAsia="Courier New" w:hAnsi="Courier New"/>
          <w:color w:val="06B6D4"/>
          <w:spacing w:val="80"/>
          <w:sz w:val="16"/>
          <w:szCs w:val="16"/>
        </w:rPr>
        <w:t xml:space="preserve">SECTION 08</w:t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Implementation Roadmap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The following phases assume Stripe as the payment provider and Supabase for user management/entitlements. ClearChain already uses both in its stack.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Phase 1 — Stripe Integration (2–3 weeks)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Create Stripe products and prices for Pro ($9/mo), Power ($19/mo), and credit packs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Add Stripe Checkout to the upgrade flow — no custom payment form needed at this stage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Create webhook handler for checkout.session.completed, invoice.paid, customer.subscription.deleted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Store subscription status and credit balance in Supabase (users table or new entitlements table)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Add middleware or server-side check on analysis API route to enforce check limits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Build upgrade prompt UI in the 4 trigger locations identified in Section 06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Phase 2 — Check Counting &amp; Gating (1–2 weeks)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Implement check deduction on successful analysis API response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Gate NARRATIVE, SAR, REPORT, Simulator, and Investigation Mode based on subscription status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Add "checks remaining" indicator to the UI (subtle — not anxiety-inducing)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Add 5-minute cache deduplication so retries don't double-count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Phase 3 — Dashboard &amp; Account Management (1 week)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Add billing section to /dashboard: current plan, next billing date, usage this month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Stripe Customer Portal link for self-serve cancellation and plan changes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Email on: successful payment, failed payment, 90% of checks used, subscription cancelled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Phase 4 — Growth Features (ongoing)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Referral system: unique link, 5 credits each for referrer and referred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Annual plan: introduce at month 3 once monthly churn is understood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Watchlist alerts: notify users when a saved address changes risk level (Power tier)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API access: documented REST endpoint for Power users, rate-limited by plan</w:t>
      </w:r>
    </w:p>
    <w:p>
      <w:r>
        <w:br w:type="page"/>
      </w:r>
    </w:p>
    <w:p>
      <w:pPr>
        <w:spacing w:after="60" w:before="200"/>
      </w:pPr>
      <w:r>
        <w:rPr>
          <w:rFonts w:ascii="Courier New" w:cs="Courier New" w:eastAsia="Courier New" w:hAnsi="Courier New"/>
          <w:color w:val="06B6D4"/>
          <w:spacing w:val="80"/>
          <w:sz w:val="16"/>
          <w:szCs w:val="16"/>
        </w:rPr>
        <w:t xml:space="preserve">SECTION 09</w:t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1200"/>
        <w:gridCol w:w="4760"/>
      </w:tblGrid>
      <w:tr>
        <w:trPr>
          <w:tblHeader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Free tier too generous — users never upgrade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High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Gate features users actually want (SAR, Investigation Mode) — not just check count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Free tier too restrictive — users bounce before experiencing value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High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 checks is enough to get one meaningful result. Don't reduce below 3.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Churn from inactive months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Medium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Usage reminder email at 2 weeks of inactivity. Pause option instead of cancel.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API abuse on free tier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Low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Medium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Rate limit free tier to 1 check/hour. Require account for any analysis.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Stripe fees eating margin at low ARPU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Low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Low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Stripe takes 2.9% + $0.30. On $9, that's ~$0.56. Margin is fine.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Competitor offers same tool free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High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Moat is Investigation Mode, SAR drafts, and multi-chain coverage. Stay ahead on features.</w:t>
            </w:r>
          </w:p>
        </w:tc>
      </w:tr>
    </w:tbl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6B6D4" w:val="clear"/>
            <w:tcMar>
              <w:top w:type="dxa" w:w="120"/>
              <w:left w:type="dxa" w:w="0"/>
              <w:bottom w:type="dxa" w:w="120"/>
              <w:right w:type="dxa" w:w="0"/>
            </w:tcMar>
          </w:tcPr>
          <w:p/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8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6B6D4"/>
                <w:sz w:val="20"/>
                <w:szCs w:val="20"/>
              </w:rPr>
              <w:t xml:space="preserve">Recommendation summary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Launch with Freemium + monthly subscription (Pro at $9, Power at $19) plus starter credit packs. Gate depth and exports, not the core risk score. Build Stripe integration first (2-3 weeks), measure conversion, then iterate pricing. Do not introduce annual plans or heavy feature gating until month 3 when retention data is available.</w:t>
            </w:r>
          </w:p>
        </w:tc>
      </w:tr>
    </w:tbl>
    <w:p>
      <w:pPr>
        <w:spacing w:before="200"/>
      </w:pPr>
    </w:p>
    <w:p>
      <w:pPr>
        <w:pBdr>
          <w:bottom w:val="single" w:color="E5E7EB" w:sz="4"/>
        </w:pBdr>
        <w:spacing w:after="160" w:before="160"/>
      </w:pPr>
    </w:p>
    <w:p>
      <w:pPr>
        <w:spacing w:before="80"/>
        <w:jc w:val="center"/>
      </w:pPr>
      <w:r>
        <w:rPr>
          <w:rFonts w:ascii="Courier New" w:cs="Courier New" w:eastAsia="Courier New" w:hAnsi="Courier New"/>
          <w:color w:val="9CA3AF"/>
          <w:sz w:val="16"/>
          <w:szCs w:val="16"/>
        </w:rPr>
        <w:t xml:space="preserve">ClearChain — Internal Document — May 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/>
      </w:pBdr>
      <w:jc w:val="center"/>
    </w:pPr>
    <w:r>
      <w:rPr>
        <w:rFonts w:ascii="Arial" w:cs="Arial" w:eastAsia="Arial" w:hAnsi="Arial"/>
        <w:color w:val="9CA3AF"/>
        <w:sz w:val="18"/>
        <w:szCs w:val="18"/>
      </w:rPr>
      <w:t xml:space="preserve">Page </w:t>
    </w:r>
    <w:r>
      <w:rPr>
        <w:rFonts w:ascii="Arial" w:cs="Arial" w:eastAsia="Arial" w:hAnsi="Arial"/>
        <w:color w:val="9CA3AF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CA3AF"/>
        <w:sz w:val="18"/>
        <w:szCs w:val="18"/>
      </w:rPr>
      <w:t xml:space="preserve"> of </w:t>
    </w:r>
    <w:r>
      <w:rPr>
        <w:rFonts w:ascii="Arial" w:cs="Arial" w:eastAsia="Arial" w:hAnsi="Arial"/>
        <w:color w:val="9CA3AF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6B6D4" w:sz="4"/>
      </w:pBdr>
      <w:tabs>
        <w:tab w:val="right" w:pos="9360"/>
      </w:tabs>
    </w:pPr>
    <w:r>
      <w:rPr>
        <w:rFonts w:ascii="Arial" w:cs="Arial" w:eastAsia="Arial" w:hAnsi="Arial"/>
        <w:b/>
        <w:bCs/>
        <w:color w:val="06B6D4"/>
        <w:sz w:val="18"/>
        <w:szCs w:val="18"/>
      </w:rPr>
      <w:t xml:space="preserve">ClearChain</w:t>
    </w:r>
    <w:r>
      <w:rPr>
        <w:rFonts w:ascii="Arial" w:cs="Arial" w:eastAsia="Arial" w:hAnsi="Arial"/>
        <w:color w:val="9CA3AF"/>
        <w:sz w:val="18"/>
        <w:szCs w:val="18"/>
      </w:rPr>
      <w:t xml:space="preserve">  |  B2C Monetization Strategy</w:t>
    </w:r>
    <w:r>
      <w:rPr>
        <w:rFonts w:ascii="Courier New" w:cs="Courier New" w:eastAsia="Courier New" w:hAnsi="Courier New"/>
        <w:color w:val="D1D5DB"/>
        <w:sz w:val="16"/>
        <w:szCs w:val="16"/>
      </w:rPr>
      <w:t xml:space="preserve">	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  <w:lvl w:ilvl="1" w15:tentative="1">
      <w:start w:val="1"/>
      <w:numFmt w:val="bullet"/>
      <w:lvlText w:val="◦"/>
      <w:lvlJc w:val="left"/>
      <w:pPr>
        <w:ind w:left="90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2026-05-05T20:57:30.917Z</dcterms:created>
  <dcterms:modified xsi:type="dcterms:W3CDTF">2026-05-05T20:57:30.918Z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