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Calibri" w:hAnsi="Calibri"/>
          <w:b/>
          <w:i w:val="0"/>
          <w:color w:val="7A5A00"/>
          <w:sz w:val="22"/>
        </w:rPr>
        <w:t>VILLAS JULIE</w:t>
      </w:r>
    </w:p>
    <w:p>
      <w:pPr>
        <w:spacing w:after="160"/>
        <w:jc w:val="center"/>
      </w:pPr>
      <w:r>
        <w:rPr>
          <w:rFonts w:ascii="Calibri" w:hAnsi="Calibri"/>
          <w:b/>
          <w:i w:val="0"/>
          <w:color w:val="17365D"/>
          <w:sz w:val="56"/>
        </w:rPr>
        <w:t>Matriz de permisos y auditoría funcional</w:t>
      </w:r>
    </w:p>
    <w:p>
      <w:pPr>
        <w:spacing w:after="480"/>
        <w:jc w:val="center"/>
      </w:pPr>
      <w:r>
        <w:rPr>
          <w:rFonts w:ascii="Calibri" w:hAnsi="Calibri"/>
          <w:b w:val="0"/>
          <w:i w:val="0"/>
          <w:color w:val="1F4D78"/>
          <w:sz w:val="28"/>
        </w:rPr>
        <w:t>Roles, guías rápidas, inventario y pendientes</w:t>
      </w:r>
    </w:p>
    <w:p>
      <w:pPr>
        <w:spacing w:after="1800"/>
        <w:jc w:val="center"/>
      </w:pPr>
      <w:r>
        <w:rPr>
          <w:rFonts w:ascii="Calibri" w:hAnsi="Calibri"/>
          <w:b w:val="0"/>
          <w:i/>
          <w:color w:val="666666"/>
          <w:sz w:val="21"/>
        </w:rPr>
        <w:t>Dirigido a: Propietario, responsable técnico y capacitadores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60"/>
            </w:pPr>
            <w:r>
              <w:t>Base documental</w:t>
              <w:br/>
              <w:t>Manual actualizado contra el código, el panel y la producción operativa al 27 de agosto de 2026. Los datos comerciales que aún debe proporcionar el propietario se identifican expresamente.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Criterio de evaluación</w:t>
      </w:r>
    </w:p>
    <w:p>
      <w:r>
        <w:rPr>
          <w:rFonts w:ascii="Calibri" w:hAnsi="Calibri"/>
          <w:b w:val="0"/>
          <w:i w:val="0"/>
          <w:color w:val="000000"/>
          <w:sz w:val="22"/>
        </w:rPr>
        <w:t>La matriz distingue acceso verificado, acceso efectivo y capacidades previstas pero inconsistentes. ✓ significa disponible; — no corresponde; ⚠ significa disponible con limitación o control insuficiente.</w:t>
      </w:r>
    </w:p>
    <w:p>
      <w:pPr>
        <w:pStyle w:val="Heading1"/>
      </w:pPr>
      <w:r>
        <w:t>2. Matriz de roles y permisos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1300"/>
        <w:gridCol w:w="1500"/>
        <w:gridCol w:w="1750"/>
        <w:gridCol w:w="1410"/>
      </w:tblGrid>
      <w:tr>
        <w:tc>
          <w:tcPr>
            <w:tcW w:type="dxa" w:w="34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Función</w:t>
            </w:r>
          </w:p>
        </w:tc>
        <w:tc>
          <w:tcPr>
            <w:tcW w:type="dxa" w:w="13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Superadmin</w:t>
            </w:r>
          </w:p>
        </w:tc>
        <w:tc>
          <w:tcPr>
            <w:tcW w:type="dxa" w:w="15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Admin panel</w:t>
            </w:r>
          </w:p>
        </w:tc>
        <w:tc>
          <w:tcPr>
            <w:tcW w:type="dxa" w:w="175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Admin WhatsApp</w:t>
            </w:r>
          </w:p>
        </w:tc>
        <w:tc>
          <w:tcPr>
            <w:tcW w:type="dxa" w:w="141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Huésped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Ingresar al panel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7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41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 dashboard/reservas/calendario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7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41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Crear/editar/eliminar reservas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7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41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Autorizar pago desde panel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7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41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Confirmar/rechazar desde panel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7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41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Gestionar cabañas, tipos y actividades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7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41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Gestionar cuentas del panel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⚠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⚠</w:t>
            </w:r>
          </w:p>
        </w:tc>
        <w:tc>
          <w:tcPr>
            <w:tcW w:type="dxa" w:w="17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41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Configurar administradores WhatsApp/pagos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7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41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Autorizar pago desde WhatsApp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41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Confirmar/rechazar desde WhatsApp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  <w:tc>
          <w:tcPr>
            <w:tcW w:type="dxa" w:w="141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Consultar alojamientos/actividades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 como cliente</w:t>
            </w:r>
          </w:p>
        </w:tc>
        <w:tc>
          <w:tcPr>
            <w:tcW w:type="dxa" w:w="141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Solicitar reserva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 como cliente</w:t>
            </w:r>
          </w:p>
        </w:tc>
        <w:tc>
          <w:tcPr>
            <w:tcW w:type="dxa" w:w="141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Enviar comprobante autorizado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 como cliente</w:t>
            </w:r>
          </w:p>
        </w:tc>
        <w:tc>
          <w:tcPr>
            <w:tcW w:type="dxa" w:w="141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✓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DE9E7"/>
          </w:tcPr>
          <w:p>
            <w:pPr>
              <w:spacing w:after="60"/>
            </w:pPr>
            <w:r>
              <w:t>Conclusión de permisos</w:t>
              <w:br/>
              <w:t>Backend y frontend aplican roles consistentes. El superadministrador controla cuentas, pagos, números de WhatsApp, auditoría, mensajes pendientes, conversaciones técnicas y copias.</w:t>
            </w:r>
          </w:p>
        </w:tc>
      </w:tr>
    </w:tbl>
    <w:p>
      <w:pPr>
        <w:spacing w:after="40"/>
      </w:pPr>
    </w:p>
    <w:p>
      <w:pPr>
        <w:pStyle w:val="Heading1"/>
      </w:pPr>
      <w:r>
        <w:t>3. Guías rápidas por rol</w:t>
      </w:r>
    </w:p>
    <w:p>
      <w:pPr>
        <w:pStyle w:val="Heading2"/>
      </w:pPr>
      <w:r>
        <w:t>Superadministrador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Inicie sesión.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Compruebe salud operativa en dashboard y reservas.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Revise cuentas del panel y números autorizados.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Valide cuentas de pago.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Ejecute una reserva de prueba tras cambios críticos.</w:t>
      </w:r>
    </w:p>
    <w:p>
      <w:pPr>
        <w:pStyle w:val="Heading2"/>
      </w:pPr>
      <w:r>
        <w:t>Administrador del panel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Inicie sesión.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Abra Reservas.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Revise solicitudes en Espera autorización.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Autorice pagos válidos.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Abra y valide comprobantes.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Confirme o rechace y verifique la notificación.</w:t>
      </w:r>
    </w:p>
    <w:p>
      <w:pPr>
        <w:pStyle w:val="Heading2"/>
      </w:pPr>
      <w:r>
        <w:t>Administrador por WhatsApp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Escriba /admin.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Revise la tarjeta recibida.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Autorice pago o rechace.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Al recibir comprobante, verifique y confirme o rechace.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Use /cliente para volver a modo huésped.</w:t>
      </w:r>
    </w:p>
    <w:p>
      <w:pPr>
        <w:pStyle w:val="Heading2"/>
      </w:pPr>
      <w:r>
        <w:t>Huésped</w:t>
      </w:r>
    </w:p>
    <w:p>
      <w:pPr>
        <w:pStyle w:val="ListNumber"/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Escriba menú.</w:t>
      </w:r>
    </w:p>
    <w:p>
      <w:pPr>
        <w:pStyle w:val="ListNumber"/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Seleccione Reservar.</w:t>
      </w:r>
    </w:p>
    <w:p>
      <w:pPr>
        <w:pStyle w:val="ListNumber"/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Complete alojamiento, personas y fechas.</w:t>
      </w:r>
    </w:p>
    <w:p>
      <w:pPr>
        <w:pStyle w:val="ListNumber"/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Espere autorización.</w:t>
      </w:r>
    </w:p>
    <w:p>
      <w:pPr>
        <w:pStyle w:val="ListNumber"/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Pague y adjunte comprobante.</w:t>
      </w:r>
    </w:p>
    <w:p>
      <w:pPr>
        <w:pStyle w:val="ListNumber"/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Espere Reserva confirmada.</w:t>
      </w:r>
    </w:p>
    <w:p>
      <w:pPr>
        <w:pStyle w:val="Heading1"/>
      </w:pPr>
      <w:r>
        <w:t>4. Inventario funcional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000"/>
        <w:gridCol w:w="4500"/>
        <w:gridCol w:w="2860"/>
      </w:tblGrid>
      <w:tr>
        <w:tc>
          <w:tcPr>
            <w:tcW w:type="dxa" w:w="20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Área</w:t>
            </w:r>
          </w:p>
        </w:tc>
        <w:tc>
          <w:tcPr>
            <w:tcW w:type="dxa" w:w="45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Funciones</w:t>
            </w:r>
          </w:p>
        </w:tc>
        <w:tc>
          <w:tcPr>
            <w:tcW w:type="dxa" w:w="286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Estado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Autenticación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Login, verificación JWT, perfil y logout</w:t>
            </w:r>
          </w:p>
        </w:tc>
        <w:tc>
          <w:tcPr>
            <w:tcW w:type="dxa" w:w="2860"/>
            <w:vAlign w:val="center"/>
          </w:tcPr>
          <w:p>
            <w:r>
              <w:t>Operativo; el rol vigente se actualiza desde la base al verificar la sesión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Reservas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CRUD, filtros, precio, disponibilidad, estados y comprobantes</w:t>
            </w:r>
          </w:p>
        </w:tc>
        <w:tc>
          <w:tcPr>
            <w:tcW w:type="dxa" w:w="2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Operativo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Aprobación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Autorización previa, confirmación final, rechazo y notificación</w:t>
            </w:r>
          </w:p>
        </w:tc>
        <w:tc>
          <w:tcPr>
            <w:tcW w:type="dxa" w:w="2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Operativo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WhatsApp huésped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Menús interactivos, alojamientos, actividades, reserva y consulta</w:t>
            </w:r>
          </w:p>
        </w:tc>
        <w:tc>
          <w:tcPr>
            <w:tcW w:type="dxa" w:w="2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Operativo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WhatsApp admin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Números autorizados, prueba, pendientes, autorización y decisión</w:t>
            </w:r>
          </w:p>
        </w:tc>
        <w:tc>
          <w:tcPr>
            <w:tcW w:type="dxa" w:w="2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Operativo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Cabañas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CRUD, disponibilidad, fotos, capacidad y precios</w:t>
            </w:r>
          </w:p>
        </w:tc>
        <w:tc>
          <w:tcPr>
            <w:tcW w:type="dxa" w:w="2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Operativo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Tipos de cabaña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Lectura, edición, activación y vista previa</w:t>
            </w:r>
          </w:p>
        </w:tc>
        <w:tc>
          <w:tcPr>
            <w:tcW w:type="dxa" w:w="2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Creación UI pendiente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Actividades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CRUD parcial, activación, multimedia y vista previa</w:t>
            </w:r>
          </w:p>
        </w:tc>
        <w:tc>
          <w:tcPr>
            <w:tcW w:type="dxa" w:w="2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Operativo con entrada JSON técnica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Usuarios huéspedes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CRUD, filtros y actualización de estado</w:t>
            </w:r>
          </w:p>
        </w:tc>
        <w:tc>
          <w:tcPr>
            <w:tcW w:type="dxa" w:w="2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Operativo con roles inconsistentes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Administradores panel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CRUD, contraseña y activación</w:t>
            </w:r>
          </w:p>
        </w:tc>
        <w:tc>
          <w:tcPr>
            <w:tcW w:type="dxa" w:w="2860"/>
            <w:vAlign w:val="center"/>
          </w:tcPr>
          <w:p>
            <w:r>
              <w:t>Operativo y restringido al superadministrador; protege al último superadministrador activo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Calendario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Ocupación mensual, filtros y detalle</w:t>
            </w:r>
          </w:p>
        </w:tc>
        <w:tc>
          <w:tcPr>
            <w:tcW w:type="dxa" w:w="2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Dos implementaciones coexistentes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Dashboard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Resumen de 10 reservas</w:t>
            </w:r>
          </w:p>
        </w:tc>
        <w:tc>
          <w:tcPr>
            <w:tcW w:type="dxa" w:w="2860"/>
            <w:vAlign w:val="center"/>
          </w:tcPr>
          <w:p>
            <w:r>
              <w:t>Operativo con métricas globales y alertas accionables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Reportes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Pantalla</w:t>
            </w:r>
          </w:p>
        </w:tc>
        <w:tc>
          <w:tcPr>
            <w:tcW w:type="dxa" w:w="2860"/>
            <w:vAlign w:val="center"/>
          </w:tcPr>
          <w:p>
            <w:r>
              <w:t>Operativo con consultas globales y exportación Excel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Conversaciones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Persistencia y CRUD técnico</w:t>
            </w:r>
          </w:p>
        </w:tc>
        <w:tc>
          <w:tcPr>
            <w:tcW w:type="dxa" w:w="2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Ruta oculta del menú y riesgosa para operación normal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Backups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Estado, lista, creación y restauración por API</w:t>
            </w:r>
          </w:p>
        </w:tc>
        <w:tc>
          <w:tcPr>
            <w:tcW w:type="dxa" w:w="2860"/>
            <w:vAlign w:val="center"/>
          </w:tcPr>
          <w:p>
            <w:r>
              <w:t>Interfaz disponible para listar, crear y descargar; copia automática verificada en producción</w:t>
            </w:r>
          </w:p>
        </w:tc>
      </w:tr>
      <w:tr>
        <w:tc>
          <w:tcPr>
            <w:tcW w:type="dxa" w:w="2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Observabilidad</w:t>
            </w:r>
          </w:p>
        </w:tc>
        <w:tc>
          <w:tcPr>
            <w:tcW w:type="dxa" w:w="4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Health, readiness y logs</w:t>
            </w:r>
          </w:p>
        </w:tc>
        <w:tc>
          <w:tcPr>
            <w:tcW w:type="dxa" w:w="2860"/>
            <w:vAlign w:val="center"/>
          </w:tcPr>
          <w:p>
            <w:r>
              <w:t>Operativo con health, readiness y logs sin secretos</w:t>
            </w:r>
          </w:p>
        </w:tc>
      </w:tr>
    </w:tbl>
    <w:p>
      <w:pPr>
        <w:spacing w:after="40"/>
      </w:pPr>
    </w:p>
    <w:p>
      <w:pPr>
        <w:pStyle w:val="Heading1"/>
      </w:pPr>
      <w:r>
        <w:t>5. Controles implementados y pendientes externos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100"/>
        <w:gridCol w:w="5060"/>
      </w:tblGrid>
      <w:tr>
        <w:tc>
          <w:tcPr>
            <w:tcW w:type="dxa" w:w="12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Gravedad</w:t>
            </w:r>
          </w:p>
        </w:tc>
        <w:tc>
          <w:tcPr>
            <w:tcW w:type="dxa" w:w="31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Hallazgo</w:t>
            </w:r>
          </w:p>
        </w:tc>
        <w:tc>
          <w:tcPr>
            <w:tcW w:type="dxa" w:w="506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Evidencia/impacto</w:t>
            </w:r>
          </w:p>
        </w:tc>
      </w:tr>
      <w:tr>
        <w:tc>
          <w:tcPr>
            <w:tcW w:type="dxa" w:w="1200"/>
            <w:vAlign w:val="center"/>
          </w:tcPr>
          <w:p>
            <w:r>
              <w:t>Resuelto</w:t>
            </w:r>
          </w:p>
        </w:tc>
        <w:tc>
          <w:tcPr>
            <w:tcW w:type="dxa" w:w="3100"/>
            <w:vAlign w:val="center"/>
          </w:tcPr>
          <w:p>
            <w:r>
              <w:t>Control de acceso por rol</w:t>
            </w:r>
          </w:p>
        </w:tc>
        <w:tc>
          <w:tcPr>
            <w:tcW w:type="dxa" w:w="5060"/>
            <w:vAlign w:val="center"/>
          </w:tcPr>
          <w:p>
            <w:r>
              <w:t>Rutas y navegación sensibles restringidas al superadministrador.</w:t>
            </w:r>
          </w:p>
        </w:tc>
      </w:tr>
      <w:tr>
        <w:tc>
          <w:tcPr>
            <w:tcW w:type="dxa" w:w="1200"/>
            <w:vAlign w:val="center"/>
          </w:tcPr>
          <w:p>
            <w:r>
              <w:t>Resuelto</w:t>
            </w:r>
          </w:p>
        </w:tc>
        <w:tc>
          <w:tcPr>
            <w:tcW w:type="dxa" w:w="3100"/>
            <w:vAlign w:val="center"/>
          </w:tcPr>
          <w:p>
            <w:r>
              <w:t>Rol superadministrador normalizado</w:t>
            </w:r>
          </w:p>
        </w:tc>
        <w:tc>
          <w:tcPr>
            <w:tcW w:type="dxa" w:w="5060"/>
            <w:vAlign w:val="center"/>
          </w:tcPr>
          <w:p>
            <w:r>
              <w:t>Backend y frontend reconocen el rol vigente desde la base.</w:t>
            </w:r>
          </w:p>
        </w:tc>
      </w:tr>
      <w:tr>
        <w:tc>
          <w:tcPr>
            <w:tcW w:type="dxa" w:w="1200"/>
            <w:vAlign w:val="center"/>
          </w:tcPr>
          <w:p>
            <w:r>
              <w:t>Resuelto</w:t>
            </w:r>
          </w:p>
        </w:tc>
        <w:tc>
          <w:tcPr>
            <w:tcW w:type="dxa" w:w="3100"/>
            <w:vAlign w:val="center"/>
          </w:tcPr>
          <w:p>
            <w:r>
              <w:t>Rol actualizado durante la sesión</w:t>
            </w:r>
          </w:p>
        </w:tc>
        <w:tc>
          <w:tcPr>
            <w:tcW w:type="dxa" w:w="5060"/>
            <w:vAlign w:val="center"/>
          </w:tcPr>
          <w:p>
            <w:r>
              <w:t>La verificación devuelve el rol actual y actualiza la interfaz.</w:t>
            </w:r>
          </w:p>
        </w:tc>
      </w:tr>
      <w:tr>
        <w:tc>
          <w:tcPr>
            <w:tcW w:type="dxa" w:w="1200"/>
            <w:vAlign w:val="center"/>
          </w:tcPr>
          <w:p>
            <w:r>
              <w:t>Resuelto</w:t>
            </w:r>
          </w:p>
        </w:tc>
        <w:tc>
          <w:tcPr>
            <w:tcW w:type="dxa" w:w="3100"/>
            <w:vAlign w:val="center"/>
          </w:tcPr>
          <w:p>
            <w:r>
              <w:t>Sesión firmada y verificada</w:t>
            </w:r>
          </w:p>
        </w:tc>
        <w:tc>
          <w:tcPr>
            <w:tcW w:type="dxa" w:w="5060"/>
            <w:vAlign w:val="center"/>
          </w:tcPr>
          <w:p>
            <w:r>
              <w:t>Configuración actual apta para una sola réplica; migrar sesión y SQLite antes de alta disponibilidad.</w:t>
            </w:r>
          </w:p>
        </w:tc>
      </w:tr>
      <w:tr>
        <w:tc>
          <w:tcPr>
            <w:tcW w:type="dxa" w:w="1200"/>
            <w:vAlign w:val="center"/>
          </w:tcPr>
          <w:p>
            <w:r>
              <w:t>Resuelto</w:t>
            </w:r>
          </w:p>
        </w:tc>
        <w:tc>
          <w:tcPr>
            <w:tcW w:type="dxa" w:w="3100"/>
            <w:vAlign w:val="center"/>
          </w:tcPr>
          <w:p>
            <w:r>
              <w:t>Reportes operativos</w:t>
            </w:r>
          </w:p>
        </w:tc>
        <w:tc>
          <w:tcPr>
            <w:tcW w:type="dxa" w:w="5060"/>
            <w:vAlign w:val="center"/>
          </w:tcPr>
          <w:p>
            <w:r>
              <w:t>Consultas reales y exportación Excel verificadas.</w:t>
            </w:r>
          </w:p>
        </w:tc>
      </w:tr>
      <w:tr>
        <w:tc>
          <w:tcPr>
            <w:tcW w:type="dxa" w:w="1200"/>
            <w:vAlign w:val="center"/>
          </w:tcPr>
          <w:p>
            <w:r>
              <w:t>Resuelto</w:t>
            </w:r>
          </w:p>
        </w:tc>
        <w:tc>
          <w:tcPr>
            <w:tcW w:type="dxa" w:w="3100"/>
            <w:vAlign w:val="center"/>
          </w:tcPr>
          <w:p>
            <w:r>
              <w:t>Dashboard global</w:t>
            </w:r>
          </w:p>
        </w:tc>
        <w:tc>
          <w:tcPr>
            <w:tcW w:type="dxa" w:w="5060"/>
            <w:vAlign w:val="center"/>
          </w:tcPr>
          <w:p>
            <w:r>
              <w:t>Métricas globales y ocupación calculada por noches reservadas.</w:t>
            </w:r>
          </w:p>
        </w:tc>
      </w:tr>
      <w:tr>
        <w:tc>
          <w:tcPr>
            <w:tcW w:type="dxa" w:w="1200"/>
            <w:vAlign w:val="center"/>
          </w:tcPr>
          <w:p>
            <w:r>
              <w:t>Resuelto</w:t>
            </w:r>
          </w:p>
        </w:tc>
        <w:tc>
          <w:tcPr>
            <w:tcW w:type="dxa" w:w="3100"/>
            <w:vAlign w:val="center"/>
          </w:tcPr>
          <w:p>
            <w:r>
              <w:t>Tipos de cabaña</w:t>
            </w:r>
          </w:p>
        </w:tc>
        <w:tc>
          <w:tcPr>
            <w:tcW w:type="dxa" w:w="5060"/>
            <w:vAlign w:val="center"/>
          </w:tcPr>
          <w:p>
            <w:r>
              <w:t>La operación principal de edición, activación y vista previa permanece disponible.</w:t>
            </w:r>
          </w:p>
        </w:tc>
      </w:tr>
      <w:tr>
        <w:tc>
          <w:tcPr>
            <w:tcW w:type="dxa" w:w="1200"/>
            <w:vAlign w:val="center"/>
          </w:tcPr>
          <w:p>
            <w:r>
              <w:t>Resuelto</w:t>
            </w:r>
          </w:p>
        </w:tc>
        <w:tc>
          <w:tcPr>
            <w:tcW w:type="dxa" w:w="3100"/>
            <w:vAlign w:val="center"/>
          </w:tcPr>
          <w:p>
            <w:r>
              <w:t>Separación de huéspedes y administradores</w:t>
            </w:r>
          </w:p>
        </w:tc>
        <w:tc>
          <w:tcPr>
            <w:tcW w:type="dxa" w:w="5060"/>
            <w:vAlign w:val="center"/>
          </w:tcPr>
          <w:p>
            <w:r>
              <w:t>Los huéspedes y las cuentas del panel se administran por módulos separados.</w:t>
            </w:r>
          </w:p>
        </w:tc>
      </w:tr>
      <w:tr>
        <w:tc>
          <w:tcPr>
            <w:tcW w:type="dxa" w:w="1200"/>
            <w:vAlign w:val="center"/>
          </w:tcPr>
          <w:p>
            <w:r>
              <w:t>Resuelto</w:t>
            </w:r>
          </w:p>
        </w:tc>
        <w:tc>
          <w:tcPr>
            <w:tcW w:type="dxa" w:w="3100"/>
            <w:vAlign w:val="center"/>
          </w:tcPr>
          <w:p>
            <w:r>
              <w:t>Estados de reserva compatibles</w:t>
            </w:r>
          </w:p>
        </w:tc>
        <w:tc>
          <w:tcPr>
            <w:tcW w:type="dxa" w:w="5060"/>
            <w:vAlign w:val="center"/>
          </w:tcPr>
          <w:p>
            <w:r>
              <w:t>Las métricas reconocen estados heredados y el flujo nuevo usa estados explícitos de autorización y verificación.</w:t>
            </w:r>
          </w:p>
        </w:tc>
      </w:tr>
      <w:tr>
        <w:tc>
          <w:tcPr>
            <w:tcW w:type="dxa" w:w="1200"/>
            <w:vAlign w:val="center"/>
          </w:tcPr>
          <w:p>
            <w:r>
              <w:t>Resuelto</w:t>
            </w:r>
          </w:p>
        </w:tc>
        <w:tc>
          <w:tcPr>
            <w:tcW w:type="dxa" w:w="3100"/>
            <w:vAlign w:val="center"/>
          </w:tcPr>
          <w:p>
            <w:r>
              <w:t>Atención de cambios y asistencia</w:t>
            </w:r>
          </w:p>
        </w:tc>
        <w:tc>
          <w:tcPr>
            <w:tcW w:type="dxa" w:w="5060"/>
            <w:vAlign w:val="center"/>
          </w:tcPr>
          <w:p>
            <w:r>
              <w:t>Las solicitudes avisan individualmente a administradores para contacto privado; no hay reembolsos.</w:t>
            </w:r>
          </w:p>
        </w:tc>
      </w:tr>
      <w:tr>
        <w:tc>
          <w:tcPr>
            <w:tcW w:type="dxa" w:w="1200"/>
            <w:vAlign w:val="center"/>
          </w:tcPr>
          <w:p>
            <w:r>
              <w:t>Resuelto</w:t>
            </w:r>
          </w:p>
        </w:tc>
        <w:tc>
          <w:tcPr>
            <w:tcW w:type="dxa" w:w="3100"/>
            <w:vAlign w:val="center"/>
          </w:tcPr>
          <w:p>
            <w:r>
              <w:t>Cola persistente de notificaciones</w:t>
            </w:r>
          </w:p>
        </w:tc>
        <w:tc>
          <w:tcPr>
            <w:tcW w:type="dxa" w:w="5060"/>
            <w:vAlign w:val="center"/>
          </w:tcPr>
          <w:p>
            <w:r>
              <w:t>Los fallos reintentables se guardan y reintentan; el superadministrador dispone de Mensajes pendientes.</w:t>
            </w:r>
          </w:p>
        </w:tc>
      </w:tr>
      <w:tr>
        <w:tc>
          <w:tcPr>
            <w:tcW w:type="dxa" w:w="1200"/>
            <w:vAlign w:val="center"/>
          </w:tcPr>
          <w:p>
            <w:r>
              <w:t>Controlado</w:t>
            </w:r>
          </w:p>
        </w:tc>
        <w:tc>
          <w:tcPr>
            <w:tcW w:type="dxa" w:w="3100"/>
            <w:vAlign w:val="center"/>
          </w:tcPr>
          <w:p>
            <w:r>
              <w:t>Vistas heredadas controladas</w:t>
            </w:r>
          </w:p>
        </w:tc>
        <w:tc>
          <w:tcPr>
            <w:tcW w:type="dxa" w:w="5060"/>
            <w:vAlign w:val="center"/>
          </w:tcPr>
          <w:p>
            <w:r>
              <w:t>La navegación operativa prioriza las vistas vigentes; retirar vistas heredadas requiere una revisión posterior de uso.</w:t>
            </w:r>
          </w:p>
        </w:tc>
      </w:tr>
      <w:tr>
        <w:tc>
          <w:tcPr>
            <w:tcW w:type="dxa" w:w="1200"/>
            <w:vAlign w:val="center"/>
          </w:tcPr>
          <w:p>
            <w:r>
              <w:t>Controlado</w:t>
            </w:r>
          </w:p>
        </w:tc>
        <w:tc>
          <w:tcPr>
            <w:tcW w:type="dxa" w:w="3100"/>
            <w:vAlign w:val="center"/>
          </w:tcPr>
          <w:p>
            <w:r>
              <w:t>Datos de pago de demostración</w:t>
            </w:r>
          </w:p>
        </w:tc>
        <w:tc>
          <w:tcPr>
            <w:tcW w:type="dxa" w:w="5060"/>
            <w:vAlign w:val="center"/>
          </w:tcPr>
          <w:p>
            <w:r>
              <w:t>Las cuentas visibles están marcadas PRUEBA / NO PAGAR y deben reemplazarse antes de cobrar.</w:t>
            </w:r>
          </w:p>
        </w:tc>
      </w:tr>
      <w:tr>
        <w:tc>
          <w:tcPr>
            <w:tcW w:type="dxa" w:w="1200"/>
            <w:vAlign w:val="center"/>
          </w:tcPr>
          <w:p>
            <w:r>
              <w:t>Controlado</w:t>
            </w:r>
          </w:p>
        </w:tc>
        <w:tc>
          <w:tcPr>
            <w:tcW w:type="dxa" w:w="3100"/>
            <w:vAlign w:val="center"/>
          </w:tcPr>
          <w:p>
            <w:r>
              <w:t>Logs operativos</w:t>
            </w:r>
          </w:p>
        </w:tc>
        <w:tc>
          <w:tcPr>
            <w:tcW w:type="dxa" w:w="5060"/>
            <w:vAlign w:val="center"/>
          </w:tcPr>
          <w:p>
            <w:r>
              <w:t>Los logs útiles se conservan sin exponer tokens ni credenciales.</w:t>
            </w:r>
          </w:p>
        </w:tc>
      </w:tr>
      <w:tr>
        <w:tc>
          <w:tcPr>
            <w:tcW w:type="dxa" w:w="1200"/>
            <w:vAlign w:val="center"/>
          </w:tcPr>
          <w:p>
            <w:r>
              <w:t>Pendiente externo externo</w:t>
            </w:r>
          </w:p>
        </w:tc>
        <w:tc>
          <w:tcPr>
            <w:tcW w:type="dxa" w:w="3100"/>
            <w:vAlign w:val="center"/>
          </w:tcPr>
          <w:p>
            <w:r>
              <w:t>Copias de seguridad</w:t>
            </w:r>
          </w:p>
        </w:tc>
        <w:tc>
          <w:tcPr>
            <w:tcW w:type="dxa" w:w="5060"/>
            <w:vAlign w:val="center"/>
          </w:tcPr>
          <w:p>
            <w:r>
              <w:t>Copia SQLite consistente de 0.23 MB verificada en el volumen de producción; descarga protegida disponible.</w:t>
            </w:r>
          </w:p>
        </w:tc>
      </w:tr>
      <w:tr>
        <w:tc>
          <w:tcPr>
            <w:tcW w:type="dxa" w:w="1200"/>
            <w:vAlign w:val="center"/>
          </w:tcPr>
          <w:p>
            <w:r>
              <w:t>Pendiente externo externo</w:t>
            </w:r>
          </w:p>
        </w:tc>
        <w:tc>
          <w:tcPr>
            <w:tcW w:type="dxa" w:w="3100"/>
            <w:vAlign w:val="center"/>
          </w:tcPr>
          <w:p>
            <w:r>
              <w:t>Datos comerciales finales</w:t>
            </w:r>
          </w:p>
        </w:tc>
        <w:tc>
          <w:tcPr>
            <w:tcW w:type="dxa" w:w="5060"/>
            <w:vAlign w:val="center"/>
          </w:tcPr>
          <w:p>
            <w:r>
              <w:t>Confirmados: 50 %, 24 horas, no reembolsos, entrada 2 p. m., salida 11 a. m., oficina 8 a. m.–4 p. m. y asistencia 24/7. Faltan cuentas reales y ubicación.</w:t>
            </w:r>
          </w:p>
        </w:tc>
      </w:tr>
    </w:tbl>
    <w:p>
      <w:pPr>
        <w:spacing w:after="40"/>
      </w:pPr>
    </w:p>
    <w:p>
      <w:pPr>
        <w:pStyle w:val="Heading1"/>
      </w:pPr>
      <w:r>
        <w:t>6. Pendiente externos antes de recibir pagos reales</w:t>
      </w:r>
    </w:p>
    <w:p>
      <w:pPr>
        <w:pStyle w:val="ListNumber"/>
        <w:numPr>
          <w:ilvl w:val="0"/>
          <w:numId w:val="14"/>
        </w:numPr>
        <w:spacing w:after="80" w:line="300" w:lineRule="auto"/>
        <w:ind w:left="540" w:hanging="271"/>
      </w:pPr>
      <w:r>
        <w:t>Reemplazar las cuentas marcadas PRUEBA / NO PAGAR por cuentas bancarias reales verificadas.</w:t>
      </w:r>
    </w:p>
    <w:p>
      <w:pPr>
        <w:pStyle w:val="ListNumber"/>
        <w:numPr>
          <w:ilvl w:val="0"/>
          <w:numId w:val="14"/>
        </w:numPr>
        <w:spacing w:after="80" w:line="300" w:lineRule="auto"/>
        <w:ind w:left="540" w:hanging="271"/>
      </w:pPr>
      <w:r>
        <w:t>Ejecutar una reserva real de prueba: solicitud, autorización, comprobante y confirmación desde WhatsApp.</w:t>
      </w:r>
    </w:p>
    <w:p>
      <w:pPr>
        <w:pStyle w:val="ListNumber"/>
        <w:numPr>
          <w:ilvl w:val="0"/>
          <w:numId w:val="14"/>
        </w:numPr>
        <w:spacing w:after="80" w:line="300" w:lineRule="auto"/>
        <w:ind w:left="540" w:hanging="271"/>
      </w:pPr>
      <w:r>
        <w:t>Configurar una copia externa en Dropbox o descargar periódicamente las copias desde el panel.</w:t>
      </w:r>
    </w:p>
    <w:p>
      <w:pPr>
        <w:pStyle w:val="ListNumber"/>
        <w:numPr>
          <w:ilvl w:val="0"/>
          <w:numId w:val="14"/>
        </w:numPr>
        <w:spacing w:after="80" w:line="300" w:lineRule="auto"/>
        <w:ind w:left="540" w:hanging="271"/>
      </w:pPr>
      <w:r>
        <w:t>Agregar el correo de Gregorio únicamente si tendrá una cuenta propia en el panel.</w:t>
      </w:r>
    </w:p>
    <w:p>
      <w:pPr>
        <w:pStyle w:val="ListNumber"/>
        <w:numPr>
          <w:ilvl w:val="0"/>
          <w:numId w:val="14"/>
        </w:numPr>
        <w:spacing w:after="80" w:line="300" w:lineRule="auto"/>
        <w:ind w:left="540" w:hanging="271"/>
      </w:pPr>
      <w:r>
        <w:t>Completar ubicación exacta y código de acceso antes de automatizar su envío un día antes de la llegada.</w:t>
      </w:r>
    </w:p>
    <w:p>
      <w:pPr>
        <w:pStyle w:val="ListNumber"/>
        <w:numPr>
          <w:ilvl w:val="0"/>
          <w:numId w:val="14"/>
        </w:numPr>
        <w:spacing w:after="80" w:line="300" w:lineRule="auto"/>
        <w:ind w:left="540" w:hanging="271"/>
      </w:pPr>
      <w:r>
        <w:t>Sustituir capturas pendientes por imágenes reales anonimizadas cuando se prepare la edición de capacitación.</w:t>
      </w:r>
    </w:p>
    <w:p>
      <w:pPr>
        <w:pStyle w:val="Heading1"/>
      </w:pPr>
      <w:r>
        <w:t>7. Lista maestra de capturas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Login y dashboard.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Reservas: filtros, estados y acciones.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Formulario Crear Reservación.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Calendario mejorado.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Usuarios, Cabañas, Tipos de Menú y Actividades.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Administradores del panel.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Configuración de administradores WhatsApp y pagos.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WhatsApp: menú principal, galería, resumen, código, autorización, comprobante y confirmación.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Mensajes de error representativos sin datos personales.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66666"/>
        <w:sz w:val="16"/>
      </w:rPr>
      <w:t>Villas Julie · Documento de capacitación · Revisión 1.0 · 27 de agosto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</w:pPr>
    <w:r>
      <w:rPr>
        <w:rFonts w:ascii="Calibri" w:hAnsi="Calibri"/>
        <w:b/>
        <w:i w:val="0"/>
        <w:color w:val="666666"/>
        <w:sz w:val="18"/>
      </w:rPr>
      <w:t>Matriz de permisos y auditoría funcional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