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38.png" ContentType="image/png"/>
  <Override PartName="/word/media/rId29.png" ContentType="image/png"/>
  <Override PartName="/word/media/rId70.png" ContentType="image/png"/>
  <Override PartName="/word/media/rId56.png" ContentType="image/png"/>
  <Override PartName="/word/media/rId65.png" ContentType="image/png"/>
  <Override PartName="/word/media/rId51.png" ContentType="image/png"/>
  <Override PartName="/word/media/rId61.png" ContentType="image/png"/>
  <Override PartName="/word/media/rId78.png" ContentType="image/png"/>
  <Override PartName="/word/media/rId73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Solutions Architecture Document — Mimir</w:t>
      </w:r>
    </w:p>
    <w:p>
      <w:pPr>
        <w:pStyle w:val="Author"/>
      </w:pPr>
      <w:r>
        <w:t xml:space="preserve">Veldris Ltd</w:t>
      </w:r>
    </w:p>
    <w:p>
      <w:pPr>
        <w:pStyle w:val="FirstParagraph"/>
      </w:pPr>
      <w:r>
        <w:rPr>
          <w:iCs/>
          <w:i/>
        </w:rPr>
        <w:t xml:space="preserve">Local Agentic AI (Mistral / Nemotron / Gemma / Granite) — a self-</w:t>
      </w:r>
      <w:r>
        <w:t xml:space="preserve">, post-quantum local AI platform*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Veldris Ltd (company no. 17366869)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2026-07-02 ·</w:t>
      </w:r>
      <w:r>
        <w:t xml:space="preserve"> </w:t>
      </w:r>
      <w:r>
        <w:rPr>
          <w:bCs/>
          <w:b/>
        </w:rPr>
        <w:t xml:space="preserve">Classification:</w:t>
      </w:r>
      <w:r>
        <w:t xml:space="preserve"> </w:t>
      </w:r>
      <w:r>
        <w:t xml:space="preserve">PUBLIC, published with the Midgard repository</w:t>
      </w:r>
      <w:r>
        <w:br/>
      </w:r>
      <w:r>
        <w:rPr>
          <w:bCs/>
          <w:b/>
        </w:rPr>
        <w:t xml:space="preserve">Document type:</w:t>
      </w:r>
      <w:r>
        <w:t xml:space="preserve"> </w:t>
      </w:r>
      <w:r>
        <w:t xml:space="preserve">Forward-looking design specification (greenfield). Provenance tags:</w:t>
      </w:r>
      <w:r>
        <w:t xml:space="preserve"> </w:t>
      </w:r>
      <w:r>
        <w:rPr>
          <w:rStyle w:val="VerbatimChar"/>
        </w:rPr>
        <w:t xml:space="preserve">[DD-*]</w:t>
      </w:r>
      <w:r>
        <w:t xml:space="preserve"> </w:t>
      </w:r>
      <w:r>
        <w:t xml:space="preserve">design driver,</w:t>
      </w:r>
      <w:r>
        <w:t xml:space="preserve"> </w:t>
      </w:r>
      <w:r>
        <w:rPr>
          <w:rStyle w:val="VerbatimChar"/>
        </w:rPr>
        <w:t xml:space="preserve">[FR-*]/[NFR-*]</w:t>
      </w:r>
      <w:r>
        <w:t xml:space="preserve"> </w:t>
      </w:r>
      <w:r>
        <w:t xml:space="preserve">requirement,</w:t>
      </w:r>
      <w:r>
        <w:t xml:space="preserve"> </w:t>
      </w:r>
      <w:r>
        <w:rPr>
          <w:rStyle w:val="VerbatimChar"/>
        </w:rPr>
        <w:t xml:space="preserve">[STD:*]</w:t>
      </w:r>
      <w:r>
        <w:t xml:space="preserve"> </w:t>
      </w:r>
      <w:r>
        <w:t xml:space="preserve">external standard.</w:t>
      </w:r>
    </w:p>
    <w:p>
      <w:r>
        <w:pict>
          <v:rect style="width:0;height:1.5pt" o:hralign="center" o:hrstd="t" o:hr="t"/>
        </w:pict>
      </w:r>
    </w:p>
    <w:bookmarkStart w:id="22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Mimir is the reasoning and AI product of the Midgard suite. It differs from hosted AI platforms in a foundational way: all generative AI, reasoning, and inference are served</w:t>
      </w:r>
      <w:r>
        <w:t xml:space="preserve"> </w:t>
      </w:r>
      <w:r>
        <w:rPr>
          <w:bCs/>
          <w:b/>
        </w:rPr>
        <w:t xml:space="preserve">locally, in-enclosure</w:t>
      </w:r>
      <w:r>
        <w:t xml:space="preserve">, by Mistral Small 3.2 — there is no dependency on any third-party hosted model. Mimir is also</w:t>
      </w:r>
      <w:r>
        <w:t xml:space="preserve"> </w:t>
      </w:r>
      <w:r>
        <w:rPr>
          <w:bCs/>
          <w:b/>
        </w:rPr>
        <w:t xml:space="preserve">agentic and self-*</w:t>
      </w:r>
      <w:r>
        <w:t xml:space="preserve">: its agents self-learn from governed feedback, self-heal from failures, and self-defend against adversarial input, all within an evaluation-and-guardrail framework.</w:t>
      </w:r>
      <w:r>
        <w:t xml:space="preserve"> </w:t>
      </w:r>
      <w:r>
        <w:rPr>
          <w:rStyle w:val="VerbatimChar"/>
        </w:rPr>
        <w:t xml:space="preserve">[DD-1]</w:t>
      </w:r>
      <w:r>
        <w:t xml:space="preserve"> </w:t>
      </w:r>
      <w:r>
        <w:rPr>
          <w:rStyle w:val="VerbatimChar"/>
        </w:rPr>
        <w:t xml:space="preserve">[DD-4]</w:t>
      </w:r>
      <w:r>
        <w:t xml:space="preserve"> </w:t>
      </w:r>
      <w:r>
        <w:rPr>
          <w:rStyle w:val="VerbatimChar"/>
        </w:rPr>
        <w:t xml:space="preserve">[DD-5]</w:t>
      </w:r>
      <w:r>
        <w:t xml:space="preserve"> </w:t>
      </w:r>
      <w:r>
        <w:rPr>
          <w:rStyle w:val="VerbatimChar"/>
        </w:rPr>
        <w:t xml:space="preserve">[DD-7]</w:t>
      </w:r>
    </w:p>
    <w:p>
      <w:pPr>
        <w:pStyle w:val="BodyText"/>
      </w:pPr>
      <w:r>
        <w:t xml:space="preserve">Mimir is simultaneously a</w:t>
      </w:r>
      <w:r>
        <w:t xml:space="preserve"> </w:t>
      </w:r>
      <w:r>
        <w:rPr>
          <w:bCs/>
          <w:b/>
        </w:rPr>
        <w:t xml:space="preserve">product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shared service</w:t>
      </w:r>
      <w:r>
        <w:t xml:space="preserve">: the same local-inference plane powers AI features in Forge, Bifrost, and Heimdall. This is a deliberate one-model-plane, many-consumers design.</w:t>
      </w:r>
      <w:r>
        <w:t xml:space="preserve"> </w:t>
      </w:r>
      <w:r>
        <w:rPr>
          <w:rStyle w:val="VerbatimChar"/>
        </w:rPr>
        <w:t xml:space="preserve">[DD-6]</w:t>
      </w:r>
    </w:p>
    <w:p>
      <w:pPr>
        <w:pStyle w:val="BodyText"/>
      </w:pPr>
      <w:r>
        <w:t xml:space="preserve">This document is a</w:t>
      </w:r>
      <w:r>
        <w:t xml:space="preserve"> </w:t>
      </w:r>
      <w:r>
        <w:rPr>
          <w:bCs/>
          <w:b/>
        </w:rPr>
        <w:t xml:space="preserve">forward-looking design specification</w:t>
      </w:r>
      <w:r>
        <w:t xml:space="preserve">; every decision carries a provenance tag rather than a repository citation.</w:t>
      </w:r>
    </w:p>
    <w:p>
      <w:pPr>
        <w:pStyle w:val="BlockText"/>
      </w:pPr>
      <w:r>
        <w:rPr>
          <w:bCs/>
          <w:b/>
        </w:rPr>
        <w:t xml:space="preserve">Self-* defined.</w:t>
      </w:r>
      <w:r>
        <w:t xml:space="preserve"> </w:t>
      </w:r>
      <w:r>
        <w:rPr>
          <w:iCs/>
          <w:i/>
        </w:rPr>
        <w:t xml:space="preserve">Self-learning</w:t>
      </w:r>
      <w:r>
        <w:t xml:space="preserve">: agents incorporate governed feedback into retrieval and prompt/policy updates.</w:t>
      </w:r>
      <w:r>
        <w:t xml:space="preserve"> </w:t>
      </w:r>
      <w:r>
        <w:rPr>
          <w:iCs/>
          <w:i/>
        </w:rPr>
        <w:t xml:space="preserve">Self-healing</w:t>
      </w:r>
      <w:r>
        <w:t xml:space="preserve">: the runtime detects degraded inference or failed tools and re-routes, retries, or rolls back.</w:t>
      </w:r>
      <w:r>
        <w:t xml:space="preserve"> </w:t>
      </w:r>
      <w:r>
        <w:rPr>
          <w:iCs/>
          <w:i/>
        </w:rPr>
        <w:t xml:space="preserve">Self-defending</w:t>
      </w:r>
      <w:r>
        <w:t xml:space="preserve">: inputs and tool calls pass through guardrail and prompt-injection defences before execution. Every self-* action is audited, evaluated, and reversible or human-gated where it mutates state.</w:t>
      </w:r>
      <w:r>
        <w:t xml:space="preserve"> </w:t>
      </w:r>
      <w:r>
        <w:rPr>
          <w:rStyle w:val="VerbatimChar"/>
        </w:rPr>
        <w:t xml:space="preserve">[DD-5]</w:t>
      </w:r>
      <w:r>
        <w:t xml:space="preserve"> </w:t>
      </w:r>
      <w:r>
        <w:rPr>
          <w:rStyle w:val="VerbatimChar"/>
        </w:rPr>
        <w:t xml:space="preserve">[NFR-AI-1]</w:t>
      </w:r>
    </w:p>
    <w:bookmarkStart w:id="20" w:name="Xf803094d97e5dd41061954c1bb077bbeac2784f"/>
    <w:p>
      <w:pPr>
        <w:pStyle w:val="Heading3"/>
      </w:pPr>
      <w:r>
        <w:t xml:space="preserve">1.1 Top design facts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Mistral Small 3.2 served locally</w:t>
      </w:r>
      <w:r>
        <w:t xml:space="preserve"> </w:t>
      </w:r>
      <w:r>
        <w:t xml:space="preserve">behind a model-serving runtime with batching and KV-cache; no hosted-LLM dependency.</w:t>
      </w:r>
      <w:r>
        <w:t xml:space="preserve"> </w:t>
      </w:r>
      <w:r>
        <w:rPr>
          <w:rStyle w:val="VerbatimChar"/>
        </w:rPr>
        <w:t xml:space="preserve">[DD-4]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Ontology-Augmented Generation (OAG):</w:t>
      </w:r>
      <w:r>
        <w:t xml:space="preserve"> </w:t>
      </w:r>
      <w:r>
        <w:t xml:space="preserve">the model is grounded in the Midgard object fabric's data, logic, and actions.</w:t>
      </w:r>
      <w:r>
        <w:t xml:space="preserve"> </w:t>
      </w:r>
      <w:r>
        <w:rPr>
          <w:rStyle w:val="VerbatimChar"/>
        </w:rPr>
        <w:t xml:space="preserve">[DD-1]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Agent runtime</w:t>
      </w:r>
      <w:r>
        <w:t xml:space="preserve"> </w:t>
      </w:r>
      <w:r>
        <w:t xml:space="preserve">with tools, memory, planning, and an Evals harness governing every agent.</w:t>
      </w:r>
      <w:r>
        <w:t xml:space="preserve"> </w:t>
      </w:r>
      <w:r>
        <w:rPr>
          <w:rStyle w:val="VerbatimChar"/>
        </w:rPr>
        <w:t xml:space="preserve">[DD-5]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No-code + pro-code builders</w:t>
      </w:r>
      <w:r>
        <w:t xml:space="preserve"> </w:t>
      </w:r>
      <w:r>
        <w:t xml:space="preserve">(Logic / Agent Studio equivalents) for AI functions and agents.</w:t>
      </w:r>
      <w:r>
        <w:t xml:space="preserve"> </w:t>
      </w:r>
      <w:r>
        <w:rPr>
          <w:rStyle w:val="VerbatimChar"/>
        </w:rPr>
        <w:t xml:space="preserve">[FR-MI-4]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PQ-native</w:t>
      </w:r>
      <w:r>
        <w:t xml:space="preserve"> </w:t>
      </w:r>
      <w:r>
        <w:t xml:space="preserve">prompts, memory, and model artefacts encrypted; weights PQ-signed.</w:t>
      </w:r>
      <w:r>
        <w:t xml:space="preserve"> </w:t>
      </w:r>
      <w:r>
        <w:rPr>
          <w:rStyle w:val="VerbatimChar"/>
        </w:rPr>
        <w:t xml:space="preserve">[NFR-PQ-2]</w:t>
      </w:r>
      <w:r>
        <w:t xml:space="preserve"> </w:t>
      </w:r>
      <w:r>
        <w:rPr>
          <w:rStyle w:val="VerbatimChar"/>
        </w:rPr>
        <w:t xml:space="preserve">[NFR-PQ-3]</w:t>
      </w:r>
    </w:p>
    <w:bookmarkEnd w:id="20"/>
    <w:bookmarkStart w:id="21" w:name="X994c07f3992b965b1514d07fbe41c14727d6d77"/>
    <w:p>
      <w:pPr>
        <w:pStyle w:val="Heading3"/>
      </w:pPr>
      <w:r>
        <w:t xml:space="preserve">1.2 Top design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Autonomy vs. control:</w:t>
      </w:r>
      <w:r>
        <w:t xml:space="preserve"> </w:t>
      </w:r>
      <w:r>
        <w:t xml:space="preserve">agentic self-* behaviour must never bypass governance; mitigated by mandatory Evals + human-gating on state mutation.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inference cost:</w:t>
      </w:r>
      <w:r>
        <w:t xml:space="preserve"> </w:t>
      </w:r>
      <w:r>
        <w:t xml:space="preserve">GPU capacity constrains throughput; mitigated by batching, quantisation, and horizontal GPU scaling.</w:t>
      </w:r>
      <w:r>
        <w:t xml:space="preserve"> </w:t>
      </w:r>
      <w:r>
        <w:rPr>
          <w:rStyle w:val="VerbatimChar"/>
        </w:rPr>
        <w:t xml:space="preserve">[NFR-PERF-1]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Prompt-injection / model exfiltration:</w:t>
      </w:r>
      <w:r>
        <w:t xml:space="preserve"> </w:t>
      </w:r>
      <w:r>
        <w:t xml:space="preserve">mitigated by the self-defending guardrail layer and strict tool-scoping.</w:t>
      </w:r>
      <w:r>
        <w:t xml:space="preserve"> </w:t>
      </w:r>
      <w:r>
        <w:rPr>
          <w:rStyle w:val="VerbatimChar"/>
        </w:rPr>
        <w:t xml:space="preserve">[DD-5]</w:t>
      </w:r>
    </w:p>
    <w:bookmarkEnd w:id="21"/>
    <w:bookmarkEnd w:id="22"/>
    <w:bookmarkStart w:id="27" w:name="X5a5138d138d02a985355a1330ca42279334c0d0"/>
    <w:p>
      <w:pPr>
        <w:pStyle w:val="Heading2"/>
      </w:pPr>
      <w:r>
        <w:t xml:space="preserve">2. Introduction &amp; Scope</w:t>
      </w:r>
    </w:p>
    <w:bookmarkStart w:id="23" w:name="X731e8393ba34aeafdc52bfcd0dc0d56ccf7dac8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To define Mimir's target architecture as both the local-AI product and the shared local-inference layer for the suite: model serving, OAG grounding, the agent runtime, the self-* control loops, and the governance/Evals framework.</w:t>
      </w:r>
    </w:p>
    <w:bookmarkEnd w:id="23"/>
    <w:bookmarkStart w:id="24" w:name="X18d2637f11bda6f46d9d17115b969293d2c4804"/>
    <w:p>
      <w:pPr>
        <w:pStyle w:val="Heading3"/>
      </w:pPr>
      <w:r>
        <w:t xml:space="preserve">2.2 Audience</w:t>
      </w:r>
    </w:p>
    <w:p>
      <w:pPr>
        <w:numPr>
          <w:ilvl w:val="0"/>
          <w:numId w:val="1003"/>
        </w:numPr>
        <w:pStyle w:val="Compact"/>
      </w:pPr>
      <w:r>
        <w:t xml:space="preserve">AI/ML engineers and agent authors.</w:t>
      </w:r>
    </w:p>
    <w:p>
      <w:pPr>
        <w:numPr>
          <w:ilvl w:val="0"/>
          <w:numId w:val="1003"/>
        </w:numPr>
        <w:pStyle w:val="Compact"/>
      </w:pPr>
      <w:r>
        <w:t xml:space="preserve">Governance and safety reviewers.</w:t>
      </w:r>
    </w:p>
    <w:p>
      <w:pPr>
        <w:numPr>
          <w:ilvl w:val="0"/>
          <w:numId w:val="1003"/>
        </w:numPr>
        <w:pStyle w:val="Compact"/>
      </w:pPr>
      <w:r>
        <w:t xml:space="preserve">Product teams consuming Mimir inference.</w:t>
      </w:r>
    </w:p>
    <w:bookmarkEnd w:id="24"/>
    <w:bookmarkStart w:id="25" w:name="X2b07f84a0807849aa21b2223fb7243252569a6f"/>
    <w:p>
      <w:pPr>
        <w:pStyle w:val="Heading3"/>
      </w:pPr>
      <w:r>
        <w:t xml:space="preserve">2.3 Scope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serving, OAG, agent runtime, self-* loops, Evals, 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fabric internals (Midgard SAD)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 builders (Logic / Agent Studio equivalents), MCP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pipeline internals (Forge SAD)</w:t>
            </w:r>
          </w:p>
        </w:tc>
      </w:tr>
    </w:tbl>
    <w:bookmarkEnd w:id="25"/>
    <w:bookmarkStart w:id="26" w:name="Xca521fa7b23e856788bd148598650c31e045bde"/>
    <w:p>
      <w:pPr>
        <w:pStyle w:val="Heading3"/>
      </w:pPr>
      <w:r>
        <w:t xml:space="preserve">2.4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Reasoning/AI product. Local, agentic, self-* generative AI on Mistral Small 3.2. Also the shared inference layer for the other products.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 Small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language model served locally by Mimir. As of the model-supply resolution, Mimir supports the most advanced locally-runnable variants of four families — Mistral, NVIDIA Nemotron, Google Gemma and IBM Granite — selectable per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Midgard's semantic + kinetic data layer: objects, properties, links (semantics) and actions, functions, dynamic security (kinetics).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Ontology-Augmented Generation: grounding the LLM in the object fabric's data, logic, and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Midgard trust boundary; the defended, sovereign space within which all products run.</w:t>
            </w:r>
          </w:p>
        </w:tc>
      </w:tr>
    </w:tbl>
    <w:bookmarkEnd w:id="26"/>
    <w:bookmarkEnd w:id="27"/>
    <w:bookmarkStart w:id="33" w:name="Xdc10dba2eb492756e0f1d2ce256311af70628b1"/>
    <w:p>
      <w:pPr>
        <w:pStyle w:val="Heading2"/>
      </w:pPr>
      <w:r>
        <w:t xml:space="preserve">3. Business &amp; Solution Context</w:t>
      </w:r>
    </w:p>
    <w:bookmarkStart w:id="28" w:name="X9f449b7410a6b31193bd3af6a87003e005a26f4"/>
    <w:p>
      <w:pPr>
        <w:pStyle w:val="Heading3"/>
      </w:pPr>
      <w:r>
        <w:t xml:space="preserve">3.1 Competitive positioning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 (design intent)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k-LLM, third-party hosted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Mistral Small 3.2, in-enclosure only</w:t>
            </w:r>
            <w:r>
              <w:t xml:space="preserve"> </w:t>
            </w:r>
            <w:r>
              <w:rPr>
                <w:rStyle w:val="VerbatimChar"/>
              </w:rPr>
              <w:t xml:space="preserve">[DD-4]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Ontology-augmented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OAG on Midgard object fabric</w:t>
            </w:r>
            <w:r>
              <w:t xml:space="preserve"> </w:t>
            </w:r>
            <w:r>
              <w:rPr>
                <w:rStyle w:val="VerbatimChar"/>
              </w:rPr>
              <w:t xml:space="preserve">[DD-1]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Studio, Logic, Evals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runtime + self-* loops + Evals</w:t>
            </w:r>
            <w:r>
              <w:t xml:space="preserve"> </w:t>
            </w:r>
            <w:r>
              <w:rPr>
                <w:rStyle w:val="VerbatimChar"/>
              </w:rPr>
              <w:t xml:space="preserve">[DD-5]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self-learn/heal/defend, governed</w:t>
            </w:r>
            <w:r>
              <w:t xml:space="preserve"> </w:t>
            </w:r>
            <w:r>
              <w:rPr>
                <w:rStyle w:val="VerbatimChar"/>
              </w:rPr>
              <w:t xml:space="preserve">[DD-5]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Sovereignty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Air-gap capable, PQ-native</w:t>
            </w:r>
            <w:r>
              <w:t xml:space="preserve"> </w:t>
            </w:r>
            <w:r>
              <w:rPr>
                <w:rStyle w:val="VerbatimChar"/>
              </w:rPr>
              <w:t xml:space="preserve">[DD-7]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</w:tbl>
    <w:bookmarkEnd w:id="28"/>
    <w:bookmarkStart w:id="32" w:name="Xb7c258734623933bfa29689f49910b64519d15d"/>
    <w:p>
      <w:pPr>
        <w:pStyle w:val="Heading3"/>
      </w:pPr>
      <w:r>
        <w:t xml:space="preserve">3.2 System context (C4 L1)</w:t>
      </w:r>
    </w:p>
    <w:p>
      <w:pPr>
        <w:pStyle w:val="FirstParagraph"/>
      </w:pPr>
      <w:r>
        <w:drawing>
          <wp:inline>
            <wp:extent cx="6210300" cy="2657496"/>
            <wp:effectExtent b="0" l="0" r="0" t="0"/>
            <wp:docPr descr="Figure 3.1 — Mimir as product and shared inference service within the enclosure." title="" id="30" name="Picture"/>
            <a:graphic>
              <a:graphicData uri="http://schemas.openxmlformats.org/drawingml/2006/picture">
                <pic:pic>
                  <pic:nvPicPr>
                    <pic:cNvPr descr="/home/user/midgard-app/docs/dev/diagrams/mimir_c4_contex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57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3.1 — Mimir as product and shared inference service within the enclosure.</w:t>
      </w:r>
    </w:p>
    <w:bookmarkEnd w:id="32"/>
    <w:bookmarkEnd w:id="33"/>
    <w:bookmarkStart w:id="36" w:name="X326c43ecd37917b08c6110d805fda8388280480"/>
    <w:p>
      <w:pPr>
        <w:pStyle w:val="Heading2"/>
      </w:pPr>
      <w:r>
        <w:t xml:space="preserve">4. Architecture Drivers</w:t>
      </w:r>
    </w:p>
    <w:bookmarkStart w:id="34" w:name="Xead87117d9d8e991b8b031d64f7b74e6c6520f4"/>
    <w:p>
      <w:pPr>
        <w:pStyle w:val="Heading3"/>
      </w:pPr>
      <w:r>
        <w:t xml:space="preserve">4.1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models locally with batching, KV-cache, and quantisation; expose a typed inference API. Supported families: Mistral, NVIDIA Nemotron, Google Gemma, IBM Granite (see the Model-Supply Resolution DCR).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generation in the object fabric (OAG): retrieve objects/logic/actions with citations.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an agent runtime with tools, memory, planning, and per-agent Evals.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no-code (Logic) and pro-code builders for AI functions and agents.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Self-learning: incorporate governed feedback into retrieval and prompt/policy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Self-healing: detect degraded inference / failed tools and re-route, retry, or roll 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Self-defending: filter prompt-injection and adversarial input; scope tools; block exfiltration.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FR-MI-8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 inference to Forge, Bifrost, and Heimdall over internal PQ-mTLS.</w:t>
            </w:r>
          </w:p>
        </w:tc>
      </w:tr>
    </w:tbl>
    <w:bookmarkEnd w:id="34"/>
    <w:bookmarkStart w:id="35" w:name="X31538ce731fc06722ee75891b003a6c8c09978d"/>
    <w:p>
      <w:pPr>
        <w:pStyle w:val="Heading3"/>
      </w:pPr>
      <w:r>
        <w:t xml:space="preserve">4.2 Inherited NFRs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NFR-PQ-2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data-at-rest is encrypted with AES-256-GCM under keys wrapped by ML-KEM-1024; key material is sealed to an HSM/TPM where present.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FIPS 203 / FIPS 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NFR-PQ-3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service-to-service and artefact-signing operations use ML-DSA (Dilithium) or SLH-DSA (SPHINCS+) signatures.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FIPS 204 / FIPS 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Zero-trust: every request between components is mutually authenticated and authorised on identity, device posture, and purpose.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SP 800-207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suite runs fully offline / air-gapped with no outbound network dependency for any core function.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NFR-PERF-1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inference first-token latency target &lt; 800 ms on reference hardware (1×80GB GPU class); batch throughput scales horizontally.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agentic action is traceable, evaluated against an Evals suite, and reversible or human-gated where it mutates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</w:tr>
    </w:tbl>
    <w:bookmarkEnd w:id="35"/>
    <w:bookmarkEnd w:id="36"/>
    <w:bookmarkStart w:id="37" w:name="Xbdf53bec42f755086a6c9ee87a2f0504ffbc222"/>
    <w:p>
      <w:pPr>
        <w:pStyle w:val="Heading2"/>
      </w:pPr>
      <w:r>
        <w:t xml:space="preserve">5.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inference runtime on GPU pool; continuous batching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[FR-MI-1]</w:t>
            </w:r>
            <w:r>
              <w:t xml:space="preserve"> </w:t>
            </w:r>
            <w:r>
              <w:rPr>
                <w:rStyle w:val="VerbatimChar"/>
              </w:rPr>
              <w:t xml:space="preserve">[NFR-PERF-1]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OAG retriever over object fabric with citation binding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[FR-MI-2]</w:t>
            </w:r>
            <w:r>
              <w:t xml:space="preserve"> </w:t>
            </w:r>
            <w:r>
              <w:rPr>
                <w:rStyle w:val="VerbatimChar"/>
              </w:rPr>
              <w:t xml:space="preserve">[DD-1]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Plan–act–observe loop with typed tools + memory 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Evals + guardrails on every agent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control loops around learn/heal/defend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[DD-5]</w:t>
            </w:r>
          </w:p>
        </w:tc>
      </w:tr>
    </w:tbl>
    <w:p>
      <w:pPr>
        <w:pStyle w:val="BlockText"/>
      </w:pPr>
      <w:r>
        <w:rPr>
          <w:bCs/>
          <w:b/>
        </w:rPr>
        <w:t xml:space="preserve">KDD — self-* is bounded autonomy, not unbounded.</w:t>
      </w:r>
      <w:r>
        <w:t xml:space="preserve"> </w:t>
      </w:r>
      <w:r>
        <w:t xml:space="preserve">Every self-learning update, self-healing reroute, and self-defending block is (a) logged with provenance, (b) checked against the Evals suite, and (c) reversible; state-mutating actions require human gating unless explicitly pre-authorised for a narrow, evaluated scope.</w:t>
      </w:r>
      <w:r>
        <w:t xml:space="preserve"> </w:t>
      </w:r>
      <w:r>
        <w:rPr>
          <w:rStyle w:val="VerbatimChar"/>
        </w:rPr>
        <w:t xml:space="preserve">[NFR-AI-1]</w:t>
      </w:r>
      <w:r>
        <w:t xml:space="preserve"> </w:t>
      </w:r>
      <w:r>
        <w:rPr>
          <w:rStyle w:val="VerbatimChar"/>
        </w:rPr>
        <w:t xml:space="preserve">[DD-5]</w:t>
      </w:r>
    </w:p>
    <w:bookmarkEnd w:id="37"/>
    <w:bookmarkStart w:id="47" w:name="Xa830e2ee0cd6e6125b9476acf357d19c12a59f7"/>
    <w:p>
      <w:pPr>
        <w:pStyle w:val="Heading2"/>
      </w:pPr>
      <w:r>
        <w:t xml:space="preserve">6. Logical Architecture (C4 L2)</w:t>
      </w:r>
    </w:p>
    <w:p>
      <w:pPr>
        <w:pStyle w:val="FirstParagraph"/>
      </w:pPr>
      <w:r>
        <w:drawing>
          <wp:inline>
            <wp:extent cx="6210300" cy="4051196"/>
            <wp:effectExtent b="0" l="0" r="0" t="0"/>
            <wp:docPr descr="Figure 6.1 — Mimir containers." title="" id="39" name="Picture"/>
            <a:graphic>
              <a:graphicData uri="http://schemas.openxmlformats.org/drawingml/2006/picture">
                <pic:pic>
                  <pic:nvPicPr>
                    <pic:cNvPr descr="/home/user/midgard-app/docs/dev/diagrams/mimir_c4_container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051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6.1 — Mimir containers.</w:t>
      </w:r>
    </w:p>
    <w:bookmarkStart w:id="41" w:name="X7973a8b18e5c4ed50b5922a8a26491da262d23f"/>
    <w:p>
      <w:pPr>
        <w:pStyle w:val="Heading4"/>
      </w:pPr>
      <w:r>
        <w:t xml:space="preserve">6.1 Inference runtime</w:t>
      </w:r>
    </w:p>
    <w:p>
      <w:pPr>
        <w:pStyle w:val="FirstParagraph"/>
      </w:pPr>
      <w:r>
        <w:t xml:space="preserve">Serves Mistral Small 3.2 with continuous batching, KV-cache, quantisation; exposes typed completion/embedding APIs; scales across the GPU pool.</w:t>
      </w:r>
      <w:r>
        <w:t xml:space="preserve"> </w:t>
      </w:r>
      <w:r>
        <w:rPr>
          <w:rStyle w:val="VerbatimChar"/>
        </w:rPr>
        <w:t xml:space="preserve">[FR-MI-1]</w:t>
      </w:r>
      <w:r>
        <w:t xml:space="preserve"> </w:t>
      </w:r>
      <w:r>
        <w:rPr>
          <w:rStyle w:val="VerbatimChar"/>
        </w:rPr>
        <w:t xml:space="preserve">[NFR-PERF-1]</w:t>
      </w:r>
    </w:p>
    <w:bookmarkEnd w:id="41"/>
    <w:bookmarkStart w:id="42" w:name="X3a2426a17c6792df7684f7093eebe9d1e2bcbe3"/>
    <w:p>
      <w:pPr>
        <w:pStyle w:val="Heading4"/>
      </w:pPr>
      <w:r>
        <w:t xml:space="preserve">6.2 OAG retriever</w:t>
      </w:r>
    </w:p>
    <w:p>
      <w:pPr>
        <w:pStyle w:val="FirstParagraph"/>
      </w:pPr>
      <w:r>
        <w:t xml:space="preserve">Retrieves grounding context (objects, links, functions, actions) from the fabric and binds citations to generated content.</w:t>
      </w:r>
      <w:r>
        <w:t xml:space="preserve"> </w:t>
      </w:r>
      <w:r>
        <w:rPr>
          <w:rStyle w:val="VerbatimChar"/>
        </w:rPr>
        <w:t xml:space="preserve">[FR-MI-2]</w:t>
      </w:r>
      <w:r>
        <w:t xml:space="preserve"> </w:t>
      </w:r>
      <w:r>
        <w:rPr>
          <w:rStyle w:val="VerbatimChar"/>
        </w:rPr>
        <w:t xml:space="preserve">[DD-1]</w:t>
      </w:r>
    </w:p>
    <w:bookmarkEnd w:id="42"/>
    <w:bookmarkStart w:id="43" w:name="X8756ea30d0f69b9fc6027964c11f33dbb52b021"/>
    <w:p>
      <w:pPr>
        <w:pStyle w:val="Heading4"/>
      </w:pPr>
      <w:r>
        <w:t xml:space="preserve">6.3 Agent runtime</w:t>
      </w:r>
    </w:p>
    <w:p>
      <w:pPr>
        <w:pStyle w:val="FirstParagraph"/>
      </w:pPr>
      <w:r>
        <w:t xml:space="preserve">Executes plan–act–observe loops with typed tools (fabric queries, actions, functions, MCP), a memory store, and per-step Evals.</w:t>
      </w:r>
      <w:r>
        <w:t xml:space="preserve"> </w:t>
      </w:r>
      <w:r>
        <w:rPr>
          <w:rStyle w:val="VerbatimChar"/>
        </w:rPr>
        <w:t xml:space="preserve">[FR-MI-3]</w:t>
      </w:r>
    </w:p>
    <w:bookmarkEnd w:id="43"/>
    <w:bookmarkStart w:id="44" w:name="X47402213f550259225b02714b3b353b3716947e"/>
    <w:p>
      <w:pPr>
        <w:pStyle w:val="Heading4"/>
      </w:pPr>
      <w:r>
        <w:t xml:space="preserve">6.4 Guardrail &amp; defence layer</w:t>
      </w:r>
    </w:p>
    <w:p>
      <w:pPr>
        <w:pStyle w:val="FirstParagraph"/>
      </w:pPr>
      <w:r>
        <w:t xml:space="preserve">Screens inputs and tool calls for prompt-injection, policy violations, and exfiltration attempts before execution.</w:t>
      </w:r>
      <w:r>
        <w:t xml:space="preserve"> </w:t>
      </w:r>
      <w:r>
        <w:rPr>
          <w:rStyle w:val="VerbatimChar"/>
        </w:rPr>
        <w:t xml:space="preserve">[FR-MI-7]</w:t>
      </w:r>
    </w:p>
    <w:bookmarkEnd w:id="44"/>
    <w:bookmarkStart w:id="45" w:name="X77fb7a76d4bbb6122ea8e07dadaa6cb8e47209f"/>
    <w:p>
      <w:pPr>
        <w:pStyle w:val="Heading4"/>
      </w:pPr>
      <w:r>
        <w:t xml:space="preserve">6.5 Evals &amp; feedback service</w:t>
      </w:r>
    </w:p>
    <w:p>
      <w:pPr>
        <w:pStyle w:val="FirstParagraph"/>
      </w:pPr>
      <w:r>
        <w:t xml:space="preserve">Runs test cases, scores agent behaviour, and feeds governed feedback into self-learning.</w:t>
      </w:r>
      <w:r>
        <w:t xml:space="preserve"> </w:t>
      </w:r>
      <w:r>
        <w:rPr>
          <w:rStyle w:val="VerbatimChar"/>
        </w:rPr>
        <w:t xml:space="preserve">[FR-MI-5]</w:t>
      </w:r>
      <w:r>
        <w:t xml:space="preserve"> </w:t>
      </w:r>
      <w:r>
        <w:rPr>
          <w:rStyle w:val="VerbatimChar"/>
        </w:rPr>
        <w:t xml:space="preserve">[NFR-AI-1]</w:t>
      </w:r>
    </w:p>
    <w:bookmarkEnd w:id="45"/>
    <w:bookmarkStart w:id="46" w:name="X1daacdafa6e74f645be06cedbffc82daf7bdbc7"/>
    <w:p>
      <w:pPr>
        <w:pStyle w:val="Heading4"/>
      </w:pPr>
      <w:r>
        <w:t xml:space="preserve">6.6 Builders (Logic / Agent Studio)</w:t>
      </w:r>
    </w:p>
    <w:p>
      <w:pPr>
        <w:pStyle w:val="FirstParagraph"/>
      </w:pPr>
      <w:r>
        <w:t xml:space="preserve">No-code and pro-code authoring of AI functions and agents.</w:t>
      </w:r>
      <w:r>
        <w:t xml:space="preserve"> </w:t>
      </w:r>
      <w:r>
        <w:rPr>
          <w:rStyle w:val="VerbatimChar"/>
        </w:rPr>
        <w:t xml:space="preserve">[FR-MI-4]</w:t>
      </w:r>
    </w:p>
    <w:bookmarkEnd w:id="46"/>
    <w:bookmarkEnd w:id="47"/>
    <w:bookmarkStart w:id="55" w:name="X66378504a40517a33317350a38e9ad7f20a0757"/>
    <w:p>
      <w:pPr>
        <w:pStyle w:val="Heading2"/>
      </w:pPr>
      <w:r>
        <w:t xml:space="preserve">7. Component Architecture (C4 L3)</w:t>
      </w:r>
    </w:p>
    <w:p>
      <w:pPr>
        <w:pStyle w:val="FirstParagraph"/>
      </w:pPr>
      <w:r>
        <w:drawing>
          <wp:inline>
            <wp:extent cx="6210300" cy="2629871"/>
            <wp:effectExtent b="0" l="0" r="0" t="0"/>
            <wp:docPr descr="Figure 7.1 — Agent runtime components." title="" id="49" name="Picture"/>
            <a:graphic>
              <a:graphicData uri="http://schemas.openxmlformats.org/drawingml/2006/picture">
                <pic:pic>
                  <pic:nvPicPr>
                    <pic:cNvPr descr="/home/user/midgard-app/docs/dev/diagrams/mimir_c4_compon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29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7.1 — Agent runtime components.</w:t>
      </w:r>
    </w:p>
    <w:bookmarkStart w:id="54" w:name="Xaa35c225c507d11ba55ed387523b57377cb8f0c"/>
    <w:p>
      <w:pPr>
        <w:pStyle w:val="Heading3"/>
      </w:pPr>
      <w:r>
        <w:t xml:space="preserve">7.1 The self-* control loops</w:t>
      </w:r>
    </w:p>
    <w:p>
      <w:pPr>
        <w:pStyle w:val="FirstParagraph"/>
      </w:pPr>
      <w:r>
        <w:t xml:space="preserve">The self-learning, self-healing, and self-defending behaviours are implemented as explicit closed control loops around the agent runtime, each observable, evaluated, and reversible.</w:t>
      </w:r>
    </w:p>
    <w:p>
      <w:pPr>
        <w:pStyle w:val="BodyText"/>
      </w:pPr>
      <w:r>
        <w:drawing>
          <wp:inline>
            <wp:extent cx="6210300" cy="2328862"/>
            <wp:effectExtent b="0" l="0" r="0" t="0"/>
            <wp:docPr descr="Figure 7.2 — Self-learning / self-healing / self-defending control loops." title="" id="52" name="Picture"/>
            <a:graphic>
              <a:graphicData uri="http://schemas.openxmlformats.org/drawingml/2006/picture">
                <pic:pic>
                  <pic:nvPicPr>
                    <pic:cNvPr descr="/home/user/midgard-app/docs/dev/diagrams/mimir_self_loop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328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7.2 — Self-learning / self-healing / self-defending control loops.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User/Evals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prompt/policy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Evals gate</w:t>
            </w:r>
            <w:r>
              <w:t xml:space="preserve"> </w:t>
            </w:r>
            <w:r>
              <w:rPr>
                <w:rStyle w:val="VerbatimChar"/>
              </w:rPr>
              <w:t xml:space="preserve">[FR-MI-5]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Health/latency/error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 / retry /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  <w:r>
              <w:t xml:space="preserve"> </w:t>
            </w:r>
            <w:r>
              <w:rPr>
                <w:rStyle w:val="VerbatimChar"/>
              </w:rPr>
              <w:t xml:space="preserve">[FR-MI-6]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Self-defending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+ tool-call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Guardrail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/ sanitise / quarantine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point</w:t>
            </w:r>
            <w:r>
              <w:t xml:space="preserve"> </w:t>
            </w:r>
            <w:r>
              <w:rPr>
                <w:rStyle w:val="VerbatimChar"/>
              </w:rPr>
              <w:t xml:space="preserve">[FR-MI-7]</w:t>
            </w:r>
          </w:p>
        </w:tc>
      </w:tr>
    </w:tbl>
    <w:bookmarkEnd w:id="54"/>
    <w:bookmarkEnd w:id="55"/>
    <w:bookmarkStart w:id="60" w:name="X6ce0f4594d272bfe6c8519b1832e181c057f969"/>
    <w:p>
      <w:pPr>
        <w:pStyle w:val="Heading2"/>
      </w:pPr>
      <w:r>
        <w:t xml:space="preserve">8. Data Architecture</w:t>
      </w:r>
    </w:p>
    <w:p>
      <w:pPr>
        <w:pStyle w:val="FirstParagraph"/>
      </w:pPr>
      <w:r>
        <w:drawing>
          <wp:inline>
            <wp:extent cx="6210300" cy="6495466"/>
            <wp:effectExtent b="0" l="0" r="0" t="0"/>
            <wp:docPr descr="Figure 8.1 — Mimir data model (agents, tools, sessions, memory, evals, feedback)." title="" id="57" name="Picture"/>
            <a:graphic>
              <a:graphicData uri="http://schemas.openxmlformats.org/drawingml/2006/picture">
                <pic:pic>
                  <pic:nvPicPr>
                    <pic:cNvPr descr="/home/user/midgard-app/docs/dev/diagrams/mimir_e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495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8.1 — Mimir data model (agents, tools, sessions, memory, evals, feedback).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Definition: prompt, tools, policies, model binding.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capability (fabric query, action, function, MCP).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agent execution with plan/steps.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Retrievable agent memory (PQ-encrypted).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EvalCase / EvalRun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and its scored result.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Governed feedback for self-learning.</w:t>
            </w:r>
            <w:r>
              <w:t xml:space="preserve"> </w:t>
            </w:r>
            <w:r>
              <w:rPr>
                <w:rStyle w:val="VerbatimChar"/>
              </w:rPr>
              <w:t xml:space="preserve">[FR-MI-5]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GuardrailEvent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self-defending block/sanitise event.</w:t>
            </w:r>
            <w:r>
              <w:t xml:space="preserve"> </w:t>
            </w:r>
            <w:r>
              <w:rPr>
                <w:rStyle w:val="VerbatimChar"/>
              </w:rPr>
              <w:t xml:space="preserve">[FR-MI-7]</w:t>
            </w:r>
          </w:p>
        </w:tc>
      </w:tr>
    </w:tbl>
    <w:bookmarkStart w:id="59" w:name="X302443dd7d1b811fc7b794986bd62cde983383b"/>
    <w:p>
      <w:pPr>
        <w:pStyle w:val="Heading3"/>
      </w:pPr>
      <w:r>
        <w:t xml:space="preserve">8.2 Data stores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 Small 3.2 weights +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PQ-signed, encrypted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Vector/memory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Embeddings, agent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PQ-wrapped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Cases, runs,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PQ-wrapped</w:t>
            </w:r>
          </w:p>
        </w:tc>
      </w:tr>
    </w:tbl>
    <w:bookmarkEnd w:id="59"/>
    <w:bookmarkEnd w:id="60"/>
    <w:bookmarkStart w:id="69" w:name="Xdae0506cad43aacafb5d6392be39e0477bdeabd"/>
    <w:p>
      <w:pPr>
        <w:pStyle w:val="Heading2"/>
      </w:pPr>
      <w:r>
        <w:t xml:space="preserve">9. Integration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PQ-mTLS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Completions/embeddings for the suite</w:t>
            </w:r>
            <w:r>
              <w:t xml:space="preserve"> </w:t>
            </w:r>
            <w:r>
              <w:rPr>
                <w:rStyle w:val="VerbatimChar"/>
              </w:rPr>
              <w:t xml:space="preserve">[FR-MI-8]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Invoke/monitor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Logic/Function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AI-backed functions (called by Forge/Heimdall)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over PQ-mTLS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Governed tool access to the fabric</w:t>
            </w:r>
            <w:r>
              <w:t xml:space="preserve"> </w:t>
            </w:r>
            <w:r>
              <w:rPr>
                <w:rStyle w:val="VerbatimChar"/>
              </w:rPr>
              <w:t xml:space="preserve">[DD-4]</w:t>
            </w:r>
          </w:p>
        </w:tc>
      </w:tr>
    </w:tbl>
    <w:bookmarkStart w:id="64" w:name="Xc0870cc8d85fe677b1547f1021d1f81b51e6d10"/>
    <w:p>
      <w:pPr>
        <w:pStyle w:val="Heading3"/>
      </w:pPr>
      <w:r>
        <w:t xml:space="preserve">9.2 Primary sequence</w:t>
      </w:r>
    </w:p>
    <w:p>
      <w:pPr>
        <w:pStyle w:val="FirstParagraph"/>
      </w:pPr>
      <w:r>
        <w:drawing>
          <wp:inline>
            <wp:extent cx="6210300" cy="2540024"/>
            <wp:effectExtent b="0" l="0" r="0" t="0"/>
            <wp:docPr descr="Figure 9.1 — OAG-grounded agent turn: retrieve → plan → guard → act → evaluate → respond." title="" id="62" name="Picture"/>
            <a:graphic>
              <a:graphicData uri="http://schemas.openxmlformats.org/drawingml/2006/picture">
                <pic:pic>
                  <pic:nvPicPr>
                    <pic:cNvPr descr="/home/user/midgard-app/docs/dev/diagrams/mimir_seq_primar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540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9.1 — OAG-grounded agent turn: retrieve → plan → guard → act → evaluate → respond.</w:t>
      </w:r>
    </w:p>
    <w:bookmarkEnd w:id="64"/>
    <w:bookmarkStart w:id="68" w:name="Xb52ca053d84c7c9efd72b72d9bffa0b23b17aac"/>
    <w:p>
      <w:pPr>
        <w:pStyle w:val="Heading3"/>
      </w:pPr>
      <w:r>
        <w:t xml:space="preserve">9.3 User journey</w:t>
      </w:r>
    </w:p>
    <w:p>
      <w:pPr>
        <w:pStyle w:val="FirstParagraph"/>
      </w:pPr>
      <w:r>
        <w:drawing>
          <wp:inline>
            <wp:extent cx="6210300" cy="4475535"/>
            <wp:effectExtent b="0" l="0" r="0" t="0"/>
            <wp:docPr descr="Figure 9.2 — Agent author primary journey." title="" id="66" name="Picture"/>
            <a:graphic>
              <a:graphicData uri="http://schemas.openxmlformats.org/drawingml/2006/picture">
                <pic:pic>
                  <pic:nvPicPr>
                    <pic:cNvPr descr="/home/user/midgard-app/docs/dev/diagrams/mimir_journe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47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9.2 — Agent author primary journey.</w:t>
      </w:r>
    </w:p>
    <w:bookmarkEnd w:id="68"/>
    <w:bookmarkEnd w:id="69"/>
    <w:bookmarkStart w:id="77" w:name="X7fbd96d6d4e73b00f8f530921b6510ade697b99"/>
    <w:p>
      <w:pPr>
        <w:pStyle w:val="Heading2"/>
      </w:pPr>
      <w:r>
        <w:t xml:space="preserve">10. Infrastructure &amp; Deployment</w:t>
      </w:r>
    </w:p>
    <w:p>
      <w:pPr>
        <w:pStyle w:val="FirstParagraph"/>
      </w:pPr>
      <w:r>
        <w:drawing>
          <wp:inline>
            <wp:extent cx="6210300" cy="3740150"/>
            <wp:effectExtent b="0" l="0" r="0" t="0"/>
            <wp:docPr descr="Figure 10.1 — Mimir deployment (GPU inference pool + agent/eval workers)." title="" id="71" name="Picture"/>
            <a:graphic>
              <a:graphicData uri="http://schemas.openxmlformats.org/drawingml/2006/picture">
                <pic:pic>
                  <pic:nvPicPr>
                    <pic:cNvPr descr="/home/user/midgard-app/docs/dev/diagrams/mimir_deploymen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10.1 — Mimir deployment (GPU inference pool + agent/eval workers).</w:t>
      </w:r>
    </w:p>
    <w:p>
      <w:pPr>
        <w:pStyle w:val="BodyText"/>
      </w:pPr>
      <w:r>
        <w:t xml:space="preserve">Inference runs on a GPU node pool; agent, guardrail, and eval services are horizontally scalable CPU workloads; the model store is PQ-signed and verified on load.</w:t>
      </w:r>
      <w:r>
        <w:t xml:space="preserve"> </w:t>
      </w:r>
      <w:r>
        <w:rPr>
          <w:rStyle w:val="VerbatimChar"/>
        </w:rPr>
        <w:t xml:space="preserve">[NFR-PERF-1]</w:t>
      </w:r>
      <w:r>
        <w:t xml:space="preserve"> </w:t>
      </w:r>
      <w:r>
        <w:rPr>
          <w:rStyle w:val="VerbatimChar"/>
        </w:rPr>
        <w:t xml:space="preserve">[NFR-PQ-3]</w:t>
      </w:r>
    </w:p>
    <w:bookmarkStart w:id="76" w:name="X798bedab417abcd47c4e76f58c7bce811a08d1c"/>
    <w:p>
      <w:pPr>
        <w:pStyle w:val="Heading3"/>
      </w:pPr>
      <w:r>
        <w:t xml:space="preserve">10.2 CI/CD</w:t>
      </w:r>
    </w:p>
    <w:p>
      <w:pPr>
        <w:pStyle w:val="FirstParagraph"/>
      </w:pPr>
      <w:r>
        <w:drawing>
          <wp:inline>
            <wp:extent cx="6210300" cy="602018"/>
            <wp:effectExtent b="0" l="0" r="0" t="0"/>
            <wp:docPr descr="Figure 10.2 — Mimir pipeline incl. model-artefact signing and Evals gate." title="" id="74" name="Picture"/>
            <a:graphic>
              <a:graphicData uri="http://schemas.openxmlformats.org/drawingml/2006/picture">
                <pic:pic>
                  <pic:nvPicPr>
                    <pic:cNvPr descr="/home/user/midgard-app/docs/dev/diagrams/product_cic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02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10.2 — Mimir pipeline incl. model-artefact signing and Evals gate.</w:t>
      </w:r>
    </w:p>
    <w:bookmarkEnd w:id="76"/>
    <w:bookmarkEnd w:id="77"/>
    <w:bookmarkStart w:id="83" w:name="X7770e309c576d22deb80f2842dff533627b4b66"/>
    <w:p>
      <w:pPr>
        <w:pStyle w:val="Heading2"/>
      </w:pPr>
      <w:r>
        <w:t xml:space="preserve">11. Security Architecture</w:t>
      </w:r>
    </w:p>
    <w:p>
      <w:pPr>
        <w:pStyle w:val="FirstParagraph"/>
      </w:pPr>
      <w:r>
        <w:drawing>
          <wp:inline>
            <wp:extent cx="6210300" cy="19890960"/>
            <wp:effectExtent b="0" l="0" r="0" t="0"/>
            <wp:docPr descr="Figure 11.1 — Mimir STRIDE data-flow diagram." title="" id="79" name="Picture"/>
            <a:graphic>
              <a:graphicData uri="http://schemas.openxmlformats.org/drawingml/2006/picture">
                <pic:pic>
                  <pic:nvPicPr>
                    <pic:cNvPr descr="/home/user/midgard-app/docs/dev/diagrams/mimir_threat_df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989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11.1 — Mimir STRIDE data-flow diagram.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→ Inference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S, T,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PQ-mTLS, workload identity, quotas</w:t>
            </w:r>
            <w:r>
              <w:t xml:space="preserve"> </w:t>
            </w:r>
            <w:r>
              <w:rPr>
                <w:rStyle w:val="VerbatimChar"/>
              </w:rPr>
              <w:t xml:space="preserve">[NFR-SEC-1]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→ Agent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Guardrail/injection defence, tool-scoping</w:t>
            </w:r>
            <w:r>
              <w:t xml:space="preserve"> </w:t>
            </w:r>
            <w:r>
              <w:rPr>
                <w:rStyle w:val="VerbatimChar"/>
              </w:rPr>
              <w:t xml:space="preserve">[FR-MI-7]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→ Fabric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point, human-gate, audit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store →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signature verification on load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</w:tbl>
    <w:bookmarkStart w:id="81" w:name="X783f77797de2e4cc11796abeb60c18aaa8ce165"/>
    <w:p>
      <w:pPr>
        <w:pStyle w:val="Heading3"/>
      </w:pPr>
      <w:r>
        <w:t xml:space="preserve">11.2 AI-specific security</w:t>
      </w:r>
    </w:p>
    <w:p>
      <w:pPr>
        <w:numPr>
          <w:ilvl w:val="0"/>
          <w:numId w:val="1004"/>
        </w:numPr>
        <w:pStyle w:val="Compact"/>
      </w:pPr>
      <w:r>
        <w:t xml:space="preserve">Prompt-injection and jailbreak filtering at input and tool-call boundaries.</w:t>
      </w:r>
      <w:r>
        <w:t xml:space="preserve"> </w:t>
      </w:r>
      <w:r>
        <w:rPr>
          <w:rStyle w:val="VerbatimChar"/>
        </w:rPr>
        <w:t xml:space="preserve">[FR-MI-7]</w:t>
      </w:r>
    </w:p>
    <w:p>
      <w:pPr>
        <w:numPr>
          <w:ilvl w:val="0"/>
          <w:numId w:val="1004"/>
        </w:numPr>
        <w:pStyle w:val="Compact"/>
      </w:pPr>
      <w:r>
        <w:t xml:space="preserve">Tool-scoping: agents receive least-privilege, purpose-bound tool grants.</w:t>
      </w:r>
      <w:r>
        <w:t xml:space="preserve"> </w:t>
      </w:r>
      <w:r>
        <w:rPr>
          <w:rStyle w:val="VerbatimChar"/>
        </w:rPr>
        <w:t xml:space="preserve">[NFR-SEC-2]</w:t>
      </w:r>
    </w:p>
    <w:p>
      <w:pPr>
        <w:numPr>
          <w:ilvl w:val="0"/>
          <w:numId w:val="1004"/>
        </w:numPr>
        <w:pStyle w:val="Compact"/>
      </w:pPr>
      <w:r>
        <w:t xml:space="preserve">Exfiltration defence: output scanning + marking-aware redaction.</w:t>
      </w:r>
      <w:r>
        <w:t xml:space="preserve"> </w:t>
      </w:r>
      <w:r>
        <w:rPr>
          <w:rStyle w:val="VerbatimChar"/>
        </w:rPr>
        <w:t xml:space="preserve">[FR-MI-7]</w:t>
      </w:r>
    </w:p>
    <w:p>
      <w:pPr>
        <w:numPr>
          <w:ilvl w:val="0"/>
          <w:numId w:val="1004"/>
        </w:numPr>
        <w:pStyle w:val="Compact"/>
      </w:pPr>
      <w:r>
        <w:t xml:space="preserve">Model-weight integrity: PQ-signed, verified on load.</w:t>
      </w:r>
      <w:r>
        <w:t xml:space="preserve"> </w:t>
      </w:r>
      <w:r>
        <w:rPr>
          <w:rStyle w:val="VerbatimChar"/>
        </w:rPr>
        <w:t xml:space="preserve">[NFR-PQ-3]</w:t>
      </w:r>
    </w:p>
    <w:bookmarkEnd w:id="81"/>
    <w:bookmarkStart w:id="82" w:name="X279412ced3cc89142e87ba3c9c8741ac6649d26"/>
    <w:p>
      <w:pPr>
        <w:pStyle w:val="Heading3"/>
      </w:pPr>
      <w:r>
        <w:t xml:space="preserve">11.3 Known design gaps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 jailbreaks evade static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red-team Evals feeding self-defending loop.</w:t>
            </w:r>
            <w:r>
              <w:t xml:space="preserve"> </w:t>
            </w:r>
            <w:r>
              <w:rPr>
                <w:rStyle w:val="VerbatimChar"/>
              </w:rPr>
              <w:t xml:space="preserve">[DD-5]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Autonomous action blast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human-gate on state mutation; narrow pre-authorised scopes only.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</w:tbl>
    <w:bookmarkEnd w:id="82"/>
    <w:bookmarkEnd w:id="83"/>
    <w:bookmarkStart w:id="84" w:name="Xdd4aa59e587b2c790ebd2247abba3b190fa44f3"/>
    <w:p>
      <w:pPr>
        <w:pStyle w:val="Heading2"/>
      </w:pPr>
      <w:r>
        <w:t xml:space="preserve">12. Observability</w:t>
      </w:r>
    </w:p>
    <w:p>
      <w:pPr>
        <w:numPr>
          <w:ilvl w:val="0"/>
          <w:numId w:val="1005"/>
        </w:numPr>
        <w:pStyle w:val="Compact"/>
      </w:pPr>
      <w:r>
        <w:t xml:space="preserve">Per-agent traces (plan/act/observe).</w:t>
      </w:r>
      <w:r>
        <w:t xml:space="preserve"> </w:t>
      </w:r>
      <w:r>
        <w:rPr>
          <w:rStyle w:val="VerbatimChar"/>
        </w:rPr>
        <w:t xml:space="preserve">[FR-MI-3]</w:t>
      </w:r>
    </w:p>
    <w:p>
      <w:pPr>
        <w:numPr>
          <w:ilvl w:val="0"/>
          <w:numId w:val="1005"/>
        </w:numPr>
        <w:pStyle w:val="Compact"/>
      </w:pPr>
      <w:r>
        <w:t xml:space="preserve">Inference latency/throughput SLOs.</w:t>
      </w:r>
      <w:r>
        <w:t xml:space="preserve"> </w:t>
      </w:r>
      <w:r>
        <w:rPr>
          <w:rStyle w:val="VerbatimChar"/>
        </w:rPr>
        <w:t xml:space="preserve">[NFR-PERF-1]</w:t>
      </w:r>
    </w:p>
    <w:p>
      <w:pPr>
        <w:numPr>
          <w:ilvl w:val="0"/>
          <w:numId w:val="1005"/>
        </w:numPr>
        <w:pStyle w:val="Compact"/>
      </w:pPr>
      <w:r>
        <w:t xml:space="preserve">Guardrail + eval event metrics.</w:t>
      </w:r>
      <w:r>
        <w:t xml:space="preserve"> </w:t>
      </w:r>
      <w:r>
        <w:rPr>
          <w:rStyle w:val="VerbatimChar"/>
        </w:rPr>
        <w:t xml:space="preserve">[FR-MI-7]</w:t>
      </w:r>
    </w:p>
    <w:bookmarkEnd w:id="84"/>
    <w:bookmarkStart w:id="85" w:name="Xfbaff95e06aebe7467938e3e4859476cfef7025"/>
    <w:p>
      <w:pPr>
        <w:pStyle w:val="Heading2"/>
      </w:pPr>
      <w:r>
        <w:t xml:space="preserve">13. Operational Concerns</w:t>
      </w:r>
    </w:p>
    <w:p>
      <w:pPr>
        <w:numPr>
          <w:ilvl w:val="0"/>
          <w:numId w:val="1006"/>
        </w:numPr>
        <w:pStyle w:val="Compact"/>
      </w:pPr>
      <w:r>
        <w:t xml:space="preserve">Model artefact backup + signature registry.</w:t>
      </w:r>
      <w:r>
        <w:t xml:space="preserve"> </w:t>
      </w:r>
      <w:r>
        <w:rPr>
          <w:rStyle w:val="VerbatimChar"/>
        </w:rPr>
        <w:t xml:space="preserve">[NFR-PQ-3]</w:t>
      </w:r>
    </w:p>
    <w:p>
      <w:pPr>
        <w:numPr>
          <w:ilvl w:val="0"/>
          <w:numId w:val="1006"/>
        </w:numPr>
        <w:pStyle w:val="Compact"/>
      </w:pPr>
      <w:r>
        <w:t xml:space="preserve">Graceful degradation: consumers fall back to non-AI mode if inference is down.</w:t>
      </w:r>
      <w:r>
        <w:t xml:space="preserve"> </w:t>
      </w:r>
      <w:r>
        <w:rPr>
          <w:rStyle w:val="VerbatimChar"/>
        </w:rPr>
        <w:t xml:space="preserve">[DD-6]</w:t>
      </w:r>
    </w:p>
    <w:p>
      <w:pPr>
        <w:numPr>
          <w:ilvl w:val="0"/>
          <w:numId w:val="1006"/>
        </w:numPr>
        <w:pStyle w:val="Compact"/>
      </w:pPr>
      <w:r>
        <w:t xml:space="preserve">GPU autoscaling for load.</w:t>
      </w:r>
      <w:r>
        <w:t xml:space="preserve"> </w:t>
      </w:r>
      <w:r>
        <w:rPr>
          <w:rStyle w:val="VerbatimChar"/>
        </w:rPr>
        <w:t xml:space="preserve">[NFR-PERF-1]</w:t>
      </w:r>
    </w:p>
    <w:bookmarkEnd w:id="85"/>
    <w:bookmarkStart w:id="86" w:name="X661e39641e9ee808c9cc27fd5b933fead9663aa"/>
    <w:p>
      <w:pPr>
        <w:pStyle w:val="Heading2"/>
      </w:pPr>
      <w:r>
        <w:t xml:space="preserve">14. Quality &amp; Testing</w:t>
      </w:r>
    </w:p>
    <w:p>
      <w:pPr>
        <w:numPr>
          <w:ilvl w:val="0"/>
          <w:numId w:val="1007"/>
        </w:numPr>
        <w:pStyle w:val="Compact"/>
      </w:pPr>
      <w:r>
        <w:t xml:space="preserve">Evals suite as executable acceptance for agent behaviour.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7"/>
        </w:numPr>
        <w:pStyle w:val="Compact"/>
      </w:pPr>
      <w:r>
        <w:t xml:space="preserve">Red-team corpus for self-defending.</w:t>
      </w:r>
      <w:r>
        <w:t xml:space="preserve"> </w:t>
      </w:r>
      <w:r>
        <w:rPr>
          <w:rStyle w:val="VerbatimChar"/>
        </w:rPr>
        <w:t xml:space="preserve">[FR-MI-7]</w:t>
      </w:r>
    </w:p>
    <w:p>
      <w:pPr>
        <w:numPr>
          <w:ilvl w:val="0"/>
          <w:numId w:val="1007"/>
        </w:numPr>
        <w:pStyle w:val="Compact"/>
      </w:pPr>
      <w:r>
        <w:t xml:space="preserve">Regression on OAG citation accuracy.</w:t>
      </w:r>
      <w:r>
        <w:t xml:space="preserve"> </w:t>
      </w:r>
      <w:r>
        <w:rPr>
          <w:rStyle w:val="VerbatimChar"/>
        </w:rPr>
        <w:t xml:space="preserve">[FR-MI-2]</w:t>
      </w:r>
    </w:p>
    <w:bookmarkEnd w:id="86"/>
    <w:bookmarkStart w:id="87" w:name="X35ae3af570e4427d32875505bdbdcd3530afd01"/>
    <w:p>
      <w:pPr>
        <w:pStyle w:val="Heading2"/>
      </w:pPr>
      <w:r>
        <w:t xml:space="preserve">15. Risks &amp;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 overreach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autonomy: Evals + human-gate + reversibility.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Batching, quantisation, horizontal GPU scale.</w:t>
            </w:r>
            <w:r>
              <w:t xml:space="preserve"> </w:t>
            </w:r>
            <w:r>
              <w:rPr>
                <w:rStyle w:val="VerbatimChar"/>
              </w:rPr>
              <w:t xml:space="preserve">[NFR-PERF-1]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 poisoning of self-learning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Governed, provenance-checked feedback only.</w:t>
            </w:r>
            <w:r>
              <w:t xml:space="preserve"> </w:t>
            </w:r>
            <w:r>
              <w:rPr>
                <w:rStyle w:val="VerbatimChar"/>
              </w:rPr>
              <w:t xml:space="preserve">[FR-MI-5]</w:t>
            </w:r>
          </w:p>
        </w:tc>
      </w:tr>
    </w:tbl>
    <w:bookmarkEnd w:id="87"/>
    <w:bookmarkStart w:id="88" w:name="X1163c3f19a6cb67b912a65440b7f4c1d293e1fb"/>
    <w:p>
      <w:pPr>
        <w:pStyle w:val="Heading2"/>
      </w:pPr>
      <w:r>
        <w:t xml:space="preserve">16. Roadmap</w:t>
      </w:r>
    </w:p>
    <w:p>
      <w:pPr>
        <w:numPr>
          <w:ilvl w:val="0"/>
          <w:numId w:val="1008"/>
        </w:numPr>
        <w:pStyle w:val="Compact"/>
      </w:pPr>
      <w:r>
        <w:t xml:space="preserve">Local Mistral Small 3.2 serving + inference API.</w:t>
      </w:r>
    </w:p>
    <w:p>
      <w:pPr>
        <w:numPr>
          <w:ilvl w:val="0"/>
          <w:numId w:val="1008"/>
        </w:numPr>
        <w:pStyle w:val="Compact"/>
      </w:pPr>
      <w:r>
        <w:t xml:space="preserve">OAG grounding + citations.</w:t>
      </w:r>
    </w:p>
    <w:p>
      <w:pPr>
        <w:numPr>
          <w:ilvl w:val="0"/>
          <w:numId w:val="1008"/>
        </w:numPr>
        <w:pStyle w:val="Compact"/>
      </w:pPr>
      <w:r>
        <w:t xml:space="preserve">Agent runtime + Evals.</w:t>
      </w:r>
    </w:p>
    <w:p>
      <w:pPr>
        <w:numPr>
          <w:ilvl w:val="0"/>
          <w:numId w:val="1008"/>
        </w:numPr>
        <w:pStyle w:val="Compact"/>
      </w:pPr>
      <w:r>
        <w:t xml:space="preserve">Self-* control loops (learn/heal/defend).</w:t>
      </w:r>
    </w:p>
    <w:bookmarkEnd w:id="88"/>
    <w:bookmarkStart w:id="89" w:name="Xc8b90de2f61776b00ebec25b517d9c9dea8f5c8"/>
    <w:p>
      <w:pPr>
        <w:pStyle w:val="Heading2"/>
      </w:pPr>
      <w:r>
        <w:t xml:space="preserve">17. 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/ When / 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no outbound connectivity, when inference is requested, then Mistral Small 3.2 responds locally (no hosted-model dependency).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[DD-4]</w:t>
            </w:r>
            <w:r>
              <w:t xml:space="preserve"> </w:t>
            </w:r>
            <w:r>
              <w:rPr>
                <w:rStyle w:val="VerbatimChar"/>
              </w:rPr>
              <w:t xml:space="preserve">[NFR-PRV-1]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OAG query, when answered, then the response cites the object-fabric evidence it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agent action that mutates state, when executed, then it is Evals-checked and human-gated unless pre-authorised for an evaluated scope.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governed feedback, when applied, then retrieval/policy updates occur and are logged with provenance (self-learning).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degraded inference or a failed tool, when detected, then the runtime reroutes/retries/rolls back automatically (self-healing).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prompt-injection attempt, when received, then it is detected and blocked before any tool executes (self-defending).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model weights of any supported family (Mistral/Nemotron/Gemma/Granite), when loaded, then the Veldris ML-DSA signature, licence policy, and hardware eligibility are verified and loading fails closed on any mismatch. (Superseded/expanded by AC-MS-2 in the Model-Supply Resolution.)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AC-MI-8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consuming product (Forge/Bifrost/Heimdall), when it calls inference, then the call is over internal PQ-mTLS and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[FR-MI-8]</w:t>
            </w:r>
            <w:r>
              <w:t xml:space="preserve"> </w:t>
            </w:r>
            <w:r>
              <w:rPr>
                <w:rStyle w:val="VerbatimChar"/>
              </w:rPr>
              <w:t xml:space="preserve">[NFR-SEC-1]</w:t>
            </w:r>
          </w:p>
        </w:tc>
      </w:tr>
    </w:tbl>
    <w:bookmarkEnd w:id="89"/>
    <w:bookmarkStart w:id="90" w:name="appendix-a--diagram-source-index"/>
    <w:p>
      <w:pPr>
        <w:pStyle w:val="Heading2"/>
      </w:pPr>
      <w:r>
        <w:t xml:space="preserve">Appendix A — Diagram Source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mimir_c4_context.mmd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mimir_c4_context.drawio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mimir_c4_containers.mmd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mimir_c4_containers.drawio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mimir_c4_component.mmd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mimir_c4_component.drawio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Self-* 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mimir_self_loop.mmd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mimir_self_loop.drawio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mimir_er.mmd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mimir_er.drawio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mimir_seq_primary.mmd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mimir_seq_primary.drawio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mimir_journey.mmd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mimir_journey.drawio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mimir_deployment.mmd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mimir_deployment.drawio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mimir_threat_dfd.mmd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mimir_threat_dfd.drawio</w:t>
            </w:r>
          </w:p>
        </w:tc>
      </w:tr>
    </w:tbl>
    <w:bookmarkEnd w:id="90"/>
    <w:sectPr w:rsidR="00FC693F" w:rsidRPr="0006063C" w:rsidSect="00034616">
      <w:headerReference r:id="rId9" w:type="default"/>
      <w:footerReference r:id="rId10" w:type="default"/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/>
    <w:r>
      <w:rPr>
        <w:rFonts w:ascii="Calibri" w:hAnsi="Calibri"/>
        <w:color w:val="595959"/>
        <w:sz w:val="14"/>
      </w:rPr>
      <w:t>Veldris Ltd · Company no. 17366869 · PUBLIC</w:t>
    </w:r>
    <w:r>
      <w:tab/>
      <w:tab/>
    </w:r>
    <w:r>
      <w:rPr>
        <w:color w:val="595959"/>
        <w:sz w:val="14"/>
      </w:rPr>
      <w:t xml:space="preserve">Page </w:t>
    </w:r>
    <w:r>
      <w:rPr>
        <w:color w:val="595959"/>
        <w:sz w:val="14"/>
      </w:rPr>
      <w:fldChar w:fldCharType="begin"/>
      <w:instrText xml:space="preserve"> PAGE </w:instrText>
      <w:fldChar w:fldCharType="end"/>
    </w:r>
    <w:r>
      <w:rPr>
        <w:color w:val="595959"/>
        <w:sz w:val="14"/>
      </w:rPr>
      <w:t xml:space="preserve"> of </w:t>
    </w:r>
    <w:r>
      <w:rPr>
        <w:color w:val="595959"/>
        <w:sz w:val="14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595959"/>
        <w:sz w:val="16"/>
      </w:rPr>
      <w:t>Solutions Architecture Document — Mimir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4884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168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A1A1A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78" Target="media/rId78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Solutions Architecture Document — Mimir</dc:title>
  <dc:creator>Veldris Ltd</dc:creator>
  <dc:subject>Midgard Suite, PUBLIC</dc:subject>
  <cp:keywords/>
  <dcterms:created xsi:type="dcterms:W3CDTF">2026-10-24T13:16:59Z</dcterms:created>
  <dcterms:modified xsi:type="dcterms:W3CDTF">2026-10-24T13:16:59Z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