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38.png" ContentType="image/png"/>
  <Override PartName="/word/media/rId29.png" ContentType="image/png"/>
  <Override PartName="/word/media/rId65.png" ContentType="image/png"/>
  <Override PartName="/word/media/rId51.png" ContentType="image/png"/>
  <Override PartName="/word/media/rId60.png" ContentType="image/png"/>
  <Override PartName="/word/media/rId56.png" ContentType="image/png"/>
  <Override PartName="/word/media/rId73.png" ContentType="image/png"/>
  <Override PartName="/word/media/rId6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Solutions Architecture Document — Bifrost</w:t>
      </w:r>
    </w:p>
    <w:p>
      <w:pPr>
        <w:pStyle w:val="Author"/>
      </w:pPr>
      <w:r>
        <w:t xml:space="preserve">Veldris Ltd</w:t>
      </w:r>
    </w:p>
    <w:p>
      <w:pPr>
        <w:pStyle w:val="FirstParagraph"/>
      </w:pPr>
      <w:r>
        <w:rPr>
          <w:iCs/>
          <w:i/>
        </w:rPr>
        <w:t xml:space="preserve">Continuous Delivery — a post-quantum, AI-assisted continuous-delivery platform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Veldris Ltd (company no. 17366869)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2026-07-02 ·</w:t>
      </w:r>
      <w:r>
        <w:t xml:space="preserve"> </w:t>
      </w:r>
      <w:r>
        <w:rPr>
          <w:bCs/>
          <w:b/>
        </w:rPr>
        <w:t xml:space="preserve">Classification:</w:t>
      </w:r>
      <w:r>
        <w:t xml:space="preserve"> </w:t>
      </w:r>
      <w:r>
        <w:t xml:space="preserve">PUBLIC, published with the Midgard repository</w:t>
      </w:r>
      <w:r>
        <w:br/>
      </w:r>
      <w:r>
        <w:rPr>
          <w:bCs/>
          <w:b/>
        </w:rPr>
        <w:t xml:space="preserve">Document type:</w:t>
      </w:r>
      <w:r>
        <w:t xml:space="preserve"> </w:t>
      </w:r>
      <w:r>
        <w:t xml:space="preserve">Forward-looking design specification (greenfield). Provenance tags:</w:t>
      </w:r>
      <w:r>
        <w:t xml:space="preserve"> </w:t>
      </w:r>
      <w:r>
        <w:rPr>
          <w:rStyle w:val="VerbatimChar"/>
        </w:rPr>
        <w:t xml:space="preserve">[DD-*]</w:t>
      </w:r>
      <w:r>
        <w:t xml:space="preserve"> </w:t>
      </w:r>
      <w:r>
        <w:t xml:space="preserve">design driver,</w:t>
      </w:r>
      <w:r>
        <w:t xml:space="preserve"> </w:t>
      </w:r>
      <w:r>
        <w:rPr>
          <w:rStyle w:val="VerbatimChar"/>
        </w:rPr>
        <w:t xml:space="preserve">[FR-*]/[NFR-*]</w:t>
      </w:r>
      <w:r>
        <w:t xml:space="preserve"> </w:t>
      </w:r>
      <w:r>
        <w:t xml:space="preserve">requirement,</w:t>
      </w:r>
      <w:r>
        <w:t xml:space="preserve"> </w:t>
      </w:r>
      <w:r>
        <w:rPr>
          <w:rStyle w:val="VerbatimChar"/>
        </w:rPr>
        <w:t xml:space="preserve">[STD:*]</w:t>
      </w:r>
      <w:r>
        <w:t xml:space="preserve"> </w:t>
      </w:r>
      <w:r>
        <w:t xml:space="preserve">external standard.</w:t>
      </w:r>
    </w:p>
    <w:p>
      <w:r>
        <w:pict>
          <v:rect style="width:0;height:1.5pt" o:hralign="center" o:hrstd="t" o:hr="t"/>
        </w:pict>
      </w:r>
    </w:p>
    <w:bookmarkStart w:id="22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Bifrost is the continuous-delivery product of the Midgard suite. It is the bridge across the enclosure boundary: it orchestrates zero-downtime deployment, release management, and fleet upgrades for every product in the suite. Bifrost goes beyond established delivery platforms with native post-quantum artefact signing, air-gap-native release bundles, and AI-assisted release intelligence served by the local Mimir layer rather than a hosted model.</w:t>
      </w:r>
      <w:r>
        <w:t xml:space="preserve"> </w:t>
      </w:r>
      <w:r>
        <w:rPr>
          <w:rStyle w:val="VerbatimChar"/>
        </w:rPr>
        <w:t xml:space="preserve">[DD-1]</w:t>
      </w:r>
      <w:r>
        <w:t xml:space="preserve"> </w:t>
      </w:r>
      <w:r>
        <w:rPr>
          <w:rStyle w:val="VerbatimChar"/>
        </w:rPr>
        <w:t xml:space="preserve">[DD-3]</w:t>
      </w:r>
      <w:r>
        <w:t xml:space="preserve"> </w:t>
      </w:r>
      <w:r>
        <w:rPr>
          <w:rStyle w:val="VerbatimChar"/>
        </w:rPr>
        <w:t xml:space="preserve">[DD-4]</w:t>
      </w:r>
      <w:r>
        <w:t xml:space="preserve"> </w:t>
      </w:r>
      <w:r>
        <w:rPr>
          <w:rStyle w:val="VerbatimChar"/>
        </w:rPr>
        <w:t xml:space="preserve">[DD-7]</w:t>
      </w:r>
    </w:p>
    <w:p>
      <w:pPr>
        <w:pStyle w:val="BodyText"/>
      </w:pPr>
      <w:r>
        <w:t xml:space="preserve">This document is a</w:t>
      </w:r>
      <w:r>
        <w:t xml:space="preserve"> </w:t>
      </w:r>
      <w:r>
        <w:rPr>
          <w:bCs/>
          <w:b/>
        </w:rPr>
        <w:t xml:space="preserve">forward-looking design specification</w:t>
      </w:r>
      <w:r>
        <w:t xml:space="preserve">; every decision carries a provenance tag rather than a repository citation.</w:t>
      </w:r>
    </w:p>
    <w:p>
      <w:pPr>
        <w:pStyle w:val="BlockText"/>
      </w:pPr>
      <w:r>
        <w:rPr>
          <w:bCs/>
          <w:b/>
        </w:rPr>
        <w:t xml:space="preserve">Standalone and composable.</w:t>
      </w:r>
      <w:r>
        <w:t xml:space="preserve"> </w:t>
      </w:r>
      <w:r>
        <w:t xml:space="preserve">Midgard + Bifrost delivers CD for the platform itself. With Mimir, Bifrost gains release-risk analysis and anomaly detection; it is the mechanism by which Forge, Mimir, and Heimdall are themselves promoted and upgraded.</w:t>
      </w:r>
      <w:r>
        <w:t xml:space="preserve"> </w:t>
      </w:r>
      <w:r>
        <w:rPr>
          <w:rStyle w:val="VerbatimChar"/>
        </w:rPr>
        <w:t xml:space="preserve">[DD-6]</w:t>
      </w:r>
    </w:p>
    <w:bookmarkStart w:id="20" w:name="Xf803094d97e5dd41061954c1bb077bbeac2784f"/>
    <w:p>
      <w:pPr>
        <w:pStyle w:val="Heading3"/>
      </w:pPr>
      <w:r>
        <w:t xml:space="preserve">1.1 Top design facts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Zero-downtime rolling upgrades</w:t>
      </w:r>
      <w:r>
        <w:t xml:space="preserve"> </w:t>
      </w:r>
      <w:r>
        <w:t xml:space="preserve">with automatic health-gated rollback across the fleet.</w:t>
      </w:r>
      <w:r>
        <w:t xml:space="preserve"> </w:t>
      </w:r>
      <w:r>
        <w:rPr>
          <w:rStyle w:val="VerbatimChar"/>
        </w:rPr>
        <w:t xml:space="preserve">[FR-B-2]</w:t>
      </w:r>
      <w:r>
        <w:t xml:space="preserve"> </w:t>
      </w:r>
      <w:r>
        <w:rPr>
          <w:rStyle w:val="VerbatimChar"/>
        </w:rPr>
        <w:t xml:space="preserve">[NFR-AVA-1]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PQ-signed artefacts + SBOM attestation</w:t>
      </w:r>
      <w:r>
        <w:t xml:space="preserve"> </w:t>
      </w:r>
      <w:r>
        <w:t xml:space="preserve">verified before every deploy.</w:t>
      </w:r>
      <w:r>
        <w:t xml:space="preserve"> </w:t>
      </w:r>
      <w:r>
        <w:rPr>
          <w:rStyle w:val="VerbatimChar"/>
        </w:rPr>
        <w:t xml:space="preserve">[NFR-PQ-3]</w:t>
      </w:r>
      <w:r>
        <w:t xml:space="preserve"> </w:t>
      </w:r>
      <w:r>
        <w:rPr>
          <w:rStyle w:val="VerbatimChar"/>
        </w:rPr>
        <w:t xml:space="preserve">[NFR-OSS-1]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Air-gap-native bundles:</w:t>
      </w:r>
      <w:r>
        <w:t xml:space="preserve"> </w:t>
      </w:r>
      <w:r>
        <w:t xml:space="preserve">signed offline release bundles for disconnected sites.</w:t>
      </w:r>
      <w:r>
        <w:t xml:space="preserve"> </w:t>
      </w:r>
      <w:r>
        <w:rPr>
          <w:rStyle w:val="VerbatimChar"/>
        </w:rPr>
        <w:t xml:space="preserve">[FR-B-5]</w:t>
      </w:r>
      <w:r>
        <w:t xml:space="preserve"> </w:t>
      </w:r>
      <w:r>
        <w:rPr>
          <w:rStyle w:val="VerbatimChar"/>
        </w:rPr>
        <w:t xml:space="preserve">[DD-7]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Declarative release channels</w:t>
      </w:r>
      <w:r>
        <w:t xml:space="preserve"> </w:t>
      </w:r>
      <w:r>
        <w:t xml:space="preserve">and fleet/installation management.</w:t>
      </w:r>
      <w:r>
        <w:t xml:space="preserve"> </w:t>
      </w:r>
      <w:r>
        <w:rPr>
          <w:rStyle w:val="VerbatimChar"/>
        </w:rPr>
        <w:t xml:space="preserve">[FR-B-3]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release intelligence</w:t>
      </w:r>
      <w:r>
        <w:t xml:space="preserve"> </w:t>
      </w:r>
      <w:r>
        <w:t xml:space="preserve">(risk scoring, anomaly detection) via local Mimir.</w:t>
      </w:r>
      <w:r>
        <w:t xml:space="preserve"> </w:t>
      </w:r>
      <w:r>
        <w:rPr>
          <w:rStyle w:val="VerbatimChar"/>
        </w:rPr>
        <w:t xml:space="preserve">[FR-B-6]</w:t>
      </w:r>
      <w:r>
        <w:t xml:space="preserve"> </w:t>
      </w:r>
      <w:r>
        <w:rPr>
          <w:rStyle w:val="VerbatimChar"/>
        </w:rPr>
        <w:t xml:space="preserve">[DD-4]</w:t>
      </w:r>
    </w:p>
    <w:bookmarkEnd w:id="20"/>
    <w:bookmarkStart w:id="21" w:name="X994c07f3992b965b1514d07fbe41c14727d6d77"/>
    <w:p>
      <w:pPr>
        <w:pStyle w:val="Heading3"/>
      </w:pPr>
      <w:r>
        <w:t xml:space="preserve">1.2 Top design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Bad release propagation:</w:t>
      </w:r>
      <w:r>
        <w:t xml:space="preserve"> </w:t>
      </w:r>
      <w:r>
        <w:t xml:space="preserve">a faulty release could roll out widely; mitigated by staged rings + automatic rollback.</w:t>
      </w:r>
      <w:r>
        <w:t xml:space="preserve"> </w:t>
      </w:r>
      <w:r>
        <w:rPr>
          <w:rStyle w:val="VerbatimChar"/>
        </w:rPr>
        <w:t xml:space="preserve">[FR-B-2]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Supply-chain trust:</w:t>
      </w:r>
      <w:r>
        <w:t xml:space="preserve"> </w:t>
      </w:r>
      <w:r>
        <w:t xml:space="preserve">artefacts must be provably built and signed; mitigated by reproducible builds + PQ signatures.</w:t>
      </w:r>
      <w:r>
        <w:t xml:space="preserve"> </w:t>
      </w:r>
      <w:r>
        <w:rPr>
          <w:rStyle w:val="VerbatimChar"/>
        </w:rPr>
        <w:t xml:space="preserve">[NFR-OSS-1]</w:t>
      </w:r>
      <w:r>
        <w:t xml:space="preserve"> </w:t>
      </w:r>
      <w:r>
        <w:rPr>
          <w:rStyle w:val="VerbatimChar"/>
        </w:rPr>
        <w:t xml:space="preserve">[NFR-PQ-3]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Air-gap update lag:</w:t>
      </w:r>
      <w:r>
        <w:t xml:space="preserve"> </w:t>
      </w:r>
      <w:r>
        <w:t xml:space="preserve">disconnected sites update slowly; mitigated by signed bundle workflow.</w:t>
      </w:r>
      <w:r>
        <w:t xml:space="preserve"> </w:t>
      </w:r>
      <w:r>
        <w:rPr>
          <w:rStyle w:val="VerbatimChar"/>
        </w:rPr>
        <w:t xml:space="preserve">[FR-B-5]</w:t>
      </w:r>
    </w:p>
    <w:bookmarkEnd w:id="21"/>
    <w:bookmarkEnd w:id="22"/>
    <w:bookmarkStart w:id="27" w:name="X5a5138d138d02a985355a1330ca42279334c0d0"/>
    <w:p>
      <w:pPr>
        <w:pStyle w:val="Heading2"/>
      </w:pPr>
      <w:r>
        <w:t xml:space="preserve">2. Introduction &amp; Scope</w:t>
      </w:r>
    </w:p>
    <w:bookmarkStart w:id="23" w:name="X731e8393ba34aeafdc52bfcd0dc0d56ccf7dac8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To define Bifrost's target architecture: artefact management, release orchestration, fleet/upgrade management, rollback, and AI-assisted release intelligence, plus dependencies on Midgard core and optional Mimir.</w:t>
      </w:r>
    </w:p>
    <w:bookmarkEnd w:id="23"/>
    <w:bookmarkStart w:id="24" w:name="X18d2637f11bda6f46d9d17115b969293d2c4804"/>
    <w:p>
      <w:pPr>
        <w:pStyle w:val="Heading3"/>
      </w:pPr>
      <w:r>
        <w:t xml:space="preserve">2.2 Audience</w:t>
      </w:r>
    </w:p>
    <w:p>
      <w:pPr>
        <w:numPr>
          <w:ilvl w:val="0"/>
          <w:numId w:val="1003"/>
        </w:numPr>
        <w:pStyle w:val="Compact"/>
      </w:pPr>
      <w:r>
        <w:t xml:space="preserve">Release/platform engineers.</w:t>
      </w:r>
    </w:p>
    <w:p>
      <w:pPr>
        <w:numPr>
          <w:ilvl w:val="0"/>
          <w:numId w:val="1003"/>
        </w:numPr>
        <w:pStyle w:val="Compact"/>
      </w:pPr>
      <w:r>
        <w:t xml:space="preserve">SREs operating the fleet.</w:t>
      </w:r>
    </w:p>
    <w:p>
      <w:pPr>
        <w:numPr>
          <w:ilvl w:val="0"/>
          <w:numId w:val="1003"/>
        </w:numPr>
        <w:pStyle w:val="Compact"/>
      </w:pPr>
      <w:r>
        <w:t xml:space="preserve">Security reviewers of the software supply chain.</w:t>
      </w:r>
    </w:p>
    <w:bookmarkEnd w:id="24"/>
    <w:bookmarkStart w:id="25" w:name="X2b07f84a0807849aa21b2223fb7243252569a6f"/>
    <w:p>
      <w:pPr>
        <w:pStyle w:val="Heading3"/>
      </w:pPr>
      <w:r>
        <w:t xml:space="preserve">2.3 Scope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Artefacts, releases, rings, rollout/rollback, fleet mgmt, release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fabric internals (Midgard SAD)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Bifrost APIs/UI and offline bundles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serving internals (Mimir SAD)</w:t>
            </w:r>
          </w:p>
        </w:tc>
      </w:tr>
    </w:tbl>
    <w:bookmarkEnd w:id="25"/>
    <w:bookmarkStart w:id="26" w:name="Xca521fa7b23e856788bd148598650c31e045bde"/>
    <w:p>
      <w:pPr>
        <w:pStyle w:val="Heading3"/>
      </w:pPr>
      <w:r>
        <w:t xml:space="preserve">2.4 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Reasoning/AI product. Local, agentic, self-* generative AI on Mistral Small 3.2. Also the shared inference layer for the other products.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Continuous-delivery product. Orchestrates zero-downtime deployment across the suite.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Module-Lattice Digital Signature Algorithm (Dilithium), NIST FIPS 204.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Midgard trust boundary; the defended, sovereign space within which all products run.</w:t>
            </w:r>
          </w:p>
        </w:tc>
      </w:tr>
    </w:tbl>
    <w:bookmarkEnd w:id="26"/>
    <w:bookmarkEnd w:id="27"/>
    <w:bookmarkStart w:id="33" w:name="Xdc10dba2eb492756e0f1d2ce256311af70628b1"/>
    <w:p>
      <w:pPr>
        <w:pStyle w:val="Heading2"/>
      </w:pPr>
      <w:r>
        <w:t xml:space="preserve">3. Business &amp; Solution Context</w:t>
      </w:r>
    </w:p>
    <w:bookmarkStart w:id="28" w:name="X9f449b7410a6b31193bd3af6a87003e005a26f4"/>
    <w:p>
      <w:pPr>
        <w:pStyle w:val="Heading3"/>
      </w:pPr>
      <w:r>
        <w:t xml:space="preserve">3.1 Competitive positioning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 (design intent)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zero-downtime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zero-downtime + PQ-signed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signing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build + PQ signature + SBOM</w:t>
            </w:r>
            <w:r>
              <w:t xml:space="preserve"> </w:t>
            </w:r>
            <w:r>
              <w:rPr>
                <w:rStyle w:val="VerbatimChar"/>
              </w:rPr>
              <w:t xml:space="preserve">[NFR-OSS-1]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Air-gap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Cloud-mediated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signed offline bundles</w:t>
            </w:r>
            <w:r>
              <w:t xml:space="preserve"> </w:t>
            </w:r>
            <w:r>
              <w:rPr>
                <w:rStyle w:val="VerbatimChar"/>
              </w:rPr>
              <w:t xml:space="preserve">[FR-B-5]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Mimir risk/anomaly analysis</w:t>
            </w:r>
            <w:r>
              <w:t xml:space="preserve"> </w:t>
            </w:r>
            <w:r>
              <w:rPr>
                <w:rStyle w:val="VerbatimChar"/>
              </w:rPr>
              <w:t xml:space="preserve">[FR-B-6]</w:t>
            </w:r>
          </w:p>
        </w:tc>
      </w:tr>
    </w:tbl>
    <w:bookmarkEnd w:id="28"/>
    <w:bookmarkStart w:id="32" w:name="Xb7c258734623933bfa29689f49910b64519d15d"/>
    <w:p>
      <w:pPr>
        <w:pStyle w:val="Heading3"/>
      </w:pPr>
      <w:r>
        <w:t xml:space="preserve">3.2 System context (C4 L1)</w:t>
      </w:r>
    </w:p>
    <w:p>
      <w:pPr>
        <w:pStyle w:val="FirstParagraph"/>
      </w:pPr>
      <w:r>
        <w:drawing>
          <wp:inline>
            <wp:extent cx="6210300" cy="2657496"/>
            <wp:effectExtent b="0" l="0" r="0" t="0"/>
            <wp:docPr descr="Figure 3.1 — Bifrost system context within the enclosure." title="" id="30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c4_contex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657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3.1 — Bifrost system context within the enclosure.</w:t>
      </w:r>
    </w:p>
    <w:bookmarkEnd w:id="32"/>
    <w:bookmarkEnd w:id="33"/>
    <w:bookmarkStart w:id="36" w:name="X326c43ecd37917b08c6110d805fda8388280480"/>
    <w:p>
      <w:pPr>
        <w:pStyle w:val="Heading2"/>
      </w:pPr>
      <w:r>
        <w:t xml:space="preserve">4. Architecture Drivers</w:t>
      </w:r>
    </w:p>
    <w:bookmarkStart w:id="34" w:name="Xead87117d9d8e991b8b031d64f7b74e6c6520f4"/>
    <w:p>
      <w:pPr>
        <w:pStyle w:val="Heading3"/>
      </w:pPr>
      <w:r>
        <w:t xml:space="preserve">4.1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signed, versioned deployable artefacts with SBOM attestation.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zero-downtime rolling upgrades with automatic health-gated rollback.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declarative release channels and fleet/installation management.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PQ signatures and SBOM before any deploy; fail closed on mismatch.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and consume signed offline release bundles for air-gapped sites.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AI-assisted release intelligence (risk scoring, anomaly detection) via Mimir.</w:t>
            </w:r>
          </w:p>
        </w:tc>
      </w:tr>
    </w:tbl>
    <w:bookmarkEnd w:id="34"/>
    <w:bookmarkStart w:id="35" w:name="X31538ce731fc06722ee75891b003a6c8c09978d"/>
    <w:p>
      <w:pPr>
        <w:pStyle w:val="Heading3"/>
      </w:pPr>
      <w:r>
        <w:t xml:space="preserve">4.2 Inherited NFRs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NFR-PQ-3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service-to-service and artefact-signing operations use ML-DSA (Dilithium) or SLH-DSA (SPHINCS+) signatures.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FIPS 204 / FIPS 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Zero-trust: every request between components is mutually authenticated and authorised on identity, device posture, and purpose.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SP 800-207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NFR-AVA-1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control-plane services target 99.9% availability; the platform supports zero-downtime rolling upgrades.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suite runs fully offline / air-gapped with no outbound network dependency for any core function.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NFR-OSS-1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core components build reproducibly from source; an SBOM (CycloneDX) is emitted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agentic action is traceable, evaluated against an Evals suite, and reversible or human-gated where it mutates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DD-5</w:t>
            </w:r>
          </w:p>
        </w:tc>
      </w:tr>
    </w:tbl>
    <w:bookmarkEnd w:id="35"/>
    <w:bookmarkEnd w:id="36"/>
    <w:bookmarkStart w:id="37" w:name="Xbdf53bec42f755086a6c9ee87a2f0504ffbc222"/>
    <w:p>
      <w:pPr>
        <w:pStyle w:val="Heading2"/>
      </w:pPr>
      <w:r>
        <w:t xml:space="preserve">5.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rings (canary→broad) with health 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build + ML-DSA signature + SBOM verify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[NFR-PQ-3]</w:t>
            </w:r>
            <w:r>
              <w:t xml:space="preserve"> </w:t>
            </w:r>
            <w:r>
              <w:rPr>
                <w:rStyle w:val="VerbatimChar"/>
              </w:rPr>
              <w:t xml:space="preserve">[NFR-OSS-1]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Air-gap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bundle export/import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 functions score release risk; advisory +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[FR-B-6]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</w:tbl>
    <w:p>
      <w:pPr>
        <w:pStyle w:val="BlockText"/>
      </w:pPr>
      <w:r>
        <w:rPr>
          <w:bCs/>
          <w:b/>
        </w:rPr>
        <w:t xml:space="preserve">KDD — deploys fail closed on trust.</w:t>
      </w:r>
      <w:r>
        <w:t xml:space="preserve"> </w:t>
      </w:r>
      <w:r>
        <w:t xml:space="preserve">No artefact is deployed unless its PQ signature verifies and its SBOM matches; unknown or tampered artefacts are rejected automatically.</w:t>
      </w:r>
      <w:r>
        <w:t xml:space="preserve"> </w:t>
      </w:r>
      <w:r>
        <w:rPr>
          <w:rStyle w:val="VerbatimChar"/>
        </w:rPr>
        <w:t xml:space="preserve">[FR-B-4]</w:t>
      </w:r>
      <w:r>
        <w:t xml:space="preserve"> </w:t>
      </w:r>
      <w:r>
        <w:rPr>
          <w:rStyle w:val="VerbatimChar"/>
        </w:rPr>
        <w:t xml:space="preserve">[NFR-PQ-3]</w:t>
      </w:r>
    </w:p>
    <w:bookmarkEnd w:id="37"/>
    <w:bookmarkStart w:id="46" w:name="Xa830e2ee0cd6e6125b9476acf357d19c12a59f7"/>
    <w:p>
      <w:pPr>
        <w:pStyle w:val="Heading2"/>
      </w:pPr>
      <w:r>
        <w:t xml:space="preserve">6. Logical Architecture (C4 L2)</w:t>
      </w:r>
    </w:p>
    <w:p>
      <w:pPr>
        <w:pStyle w:val="FirstParagraph"/>
      </w:pPr>
      <w:r>
        <w:drawing>
          <wp:inline>
            <wp:extent cx="6210300" cy="3833909"/>
            <wp:effectExtent b="0" l="0" r="0" t="0"/>
            <wp:docPr descr="Figure 6.1 — Bifrost containers." title="" id="39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c4_container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833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6.1 — Bifrost containers.</w:t>
      </w:r>
    </w:p>
    <w:bookmarkStart w:id="41" w:name="Xe76e12012eca51f4f6bd8c533683a14700f4fb2"/>
    <w:p>
      <w:pPr>
        <w:pStyle w:val="Heading4"/>
      </w:pPr>
      <w:r>
        <w:t xml:space="preserve">6.1 Artefact registry</w:t>
      </w:r>
    </w:p>
    <w:p>
      <w:pPr>
        <w:pStyle w:val="FirstParagraph"/>
      </w:pPr>
      <w:r>
        <w:t xml:space="preserve">Stores signed, versioned artefacts + SBOMs; verifies signatures on ingest and retrieval.</w:t>
      </w:r>
      <w:r>
        <w:t xml:space="preserve"> </w:t>
      </w:r>
      <w:r>
        <w:rPr>
          <w:rStyle w:val="VerbatimChar"/>
        </w:rPr>
        <w:t xml:space="preserve">[FR-B-1]</w:t>
      </w:r>
      <w:r>
        <w:t xml:space="preserve"> </w:t>
      </w:r>
      <w:r>
        <w:rPr>
          <w:rStyle w:val="VerbatimChar"/>
        </w:rPr>
        <w:t xml:space="preserve">[NFR-PQ-3]</w:t>
      </w:r>
    </w:p>
    <w:bookmarkEnd w:id="41"/>
    <w:bookmarkStart w:id="42" w:name="Xcd743a08a2916b7c7fe424875f91e131fdb60ab"/>
    <w:p>
      <w:pPr>
        <w:pStyle w:val="Heading4"/>
      </w:pPr>
      <w:r>
        <w:t xml:space="preserve">6.2 Release orchestrator</w:t>
      </w:r>
    </w:p>
    <w:p>
      <w:pPr>
        <w:pStyle w:val="FirstParagraph"/>
      </w:pPr>
      <w:r>
        <w:t xml:space="preserve">Executes ring-based rollouts with health gates and automatic rollback.</w:t>
      </w:r>
      <w:r>
        <w:t xml:space="preserve"> </w:t>
      </w:r>
      <w:r>
        <w:rPr>
          <w:rStyle w:val="VerbatimChar"/>
        </w:rPr>
        <w:t xml:space="preserve">[FR-B-2]</w:t>
      </w:r>
    </w:p>
    <w:bookmarkEnd w:id="42"/>
    <w:bookmarkStart w:id="43" w:name="X7206c4f0df56fa2ac1173e345a2381eb492f653"/>
    <w:p>
      <w:pPr>
        <w:pStyle w:val="Heading4"/>
      </w:pPr>
      <w:r>
        <w:t xml:space="preserve">6.3 Fleet manager</w:t>
      </w:r>
    </w:p>
    <w:p>
      <w:pPr>
        <w:pStyle w:val="FirstParagraph"/>
      </w:pPr>
      <w:r>
        <w:t xml:space="preserve">Tracks installations, channels, and desired vs actual state across the fleet.</w:t>
      </w:r>
      <w:r>
        <w:t xml:space="preserve"> </w:t>
      </w:r>
      <w:r>
        <w:rPr>
          <w:rStyle w:val="VerbatimChar"/>
        </w:rPr>
        <w:t xml:space="preserve">[FR-B-3]</w:t>
      </w:r>
    </w:p>
    <w:bookmarkEnd w:id="43"/>
    <w:bookmarkStart w:id="44" w:name="X24a498e45c2ed9ba60975c69a17e5350d22cf77"/>
    <w:p>
      <w:pPr>
        <w:pStyle w:val="Heading4"/>
      </w:pPr>
      <w:r>
        <w:t xml:space="preserve">6.4 Bundle service</w:t>
      </w:r>
    </w:p>
    <w:p>
      <w:pPr>
        <w:pStyle w:val="FirstParagraph"/>
      </w:pPr>
      <w:r>
        <w:t xml:space="preserve">Builds/imports signed offline release bundles for air-gapped sites.</w:t>
      </w:r>
      <w:r>
        <w:t xml:space="preserve"> </w:t>
      </w:r>
      <w:r>
        <w:rPr>
          <w:rStyle w:val="VerbatimChar"/>
        </w:rPr>
        <w:t xml:space="preserve">[FR-B-5]</w:t>
      </w:r>
    </w:p>
    <w:bookmarkEnd w:id="44"/>
    <w:bookmarkStart w:id="45" w:name="X3f981cb832ba986d89938ec56f6eae5814cb964"/>
    <w:p>
      <w:pPr>
        <w:pStyle w:val="Heading4"/>
      </w:pPr>
      <w:r>
        <w:t xml:space="preserve">6.5 Release-intelligence adapter</w:t>
      </w:r>
    </w:p>
    <w:p>
      <w:pPr>
        <w:pStyle w:val="FirstParagraph"/>
      </w:pPr>
      <w:r>
        <w:t xml:space="preserve">Calls Mimir for risk scoring and anomaly detection; advisory or gating.</w:t>
      </w:r>
      <w:r>
        <w:t xml:space="preserve"> </w:t>
      </w:r>
      <w:r>
        <w:rPr>
          <w:rStyle w:val="VerbatimChar"/>
        </w:rPr>
        <w:t xml:space="preserve">[FR-B-6]</w:t>
      </w:r>
    </w:p>
    <w:bookmarkEnd w:id="45"/>
    <w:bookmarkEnd w:id="46"/>
    <w:bookmarkStart w:id="50" w:name="X66378504a40517a33317350a38e9ad7f20a0757"/>
    <w:p>
      <w:pPr>
        <w:pStyle w:val="Heading2"/>
      </w:pPr>
      <w:r>
        <w:t xml:space="preserve">7. Component Architecture (C4 L3)</w:t>
      </w:r>
    </w:p>
    <w:p>
      <w:pPr>
        <w:pStyle w:val="FirstParagraph"/>
      </w:pPr>
      <w:r>
        <w:drawing>
          <wp:inline>
            <wp:extent cx="6210300" cy="807972"/>
            <wp:effectExtent b="0" l="0" r="0" t="0"/>
            <wp:docPr descr="Figure 7.1 — Release orchestrator components." title="" id="48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c4_componen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07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7.1 — Release orchestrator components.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Computes canary→broad rollout plan.</w:t>
            </w:r>
            <w:r>
              <w:t xml:space="preserve"> </w:t>
            </w:r>
            <w:r>
              <w:rPr>
                <w:rStyle w:val="VerbatimChar"/>
              </w:rPr>
              <w:t xml:space="preserve">[FR-B-2]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Evaluates SLO/health signals between rings.</w:t>
            </w:r>
            <w:r>
              <w:t xml:space="preserve"> </w:t>
            </w:r>
            <w:r>
              <w:rPr>
                <w:rStyle w:val="VerbatimChar"/>
              </w:rPr>
              <w:t xml:space="preserve">[NFR-AVA-1]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on gate failure.</w:t>
            </w:r>
            <w:r>
              <w:t xml:space="preserve"> </w:t>
            </w:r>
            <w:r>
              <w:rPr>
                <w:rStyle w:val="VerbatimChar"/>
              </w:rPr>
              <w:t xml:space="preserve">[FR-B-2]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 verifier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signature + SBOM check.</w:t>
            </w:r>
            <w:r>
              <w:t xml:space="preserve"> </w:t>
            </w:r>
            <w:r>
              <w:rPr>
                <w:rStyle w:val="VerbatimChar"/>
              </w:rPr>
              <w:t xml:space="preserve">[FR-B-4]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fleet to desired state.</w:t>
            </w:r>
            <w:r>
              <w:t xml:space="preserve"> </w:t>
            </w:r>
            <w:r>
              <w:rPr>
                <w:rStyle w:val="VerbatimChar"/>
              </w:rPr>
              <w:t xml:space="preserve">[FR-B-3]</w:t>
            </w:r>
          </w:p>
        </w:tc>
      </w:tr>
    </w:tbl>
    <w:bookmarkEnd w:id="50"/>
    <w:bookmarkStart w:id="55" w:name="X6ce0f4594d272bfe6c8519b1832e181c057f969"/>
    <w:p>
      <w:pPr>
        <w:pStyle w:val="Heading2"/>
      </w:pPr>
      <w:r>
        <w:t xml:space="preserve">8. Data Architecture</w:t>
      </w:r>
    </w:p>
    <w:p>
      <w:pPr>
        <w:pStyle w:val="FirstParagraph"/>
      </w:pPr>
      <w:r>
        <w:drawing>
          <wp:inline>
            <wp:extent cx="6210300" cy="7739111"/>
            <wp:effectExtent b="0" l="0" r="0" t="0"/>
            <wp:docPr descr="Figure 8.1 — Bifrost data model (artefacts, releases, rings, installations)." title="" id="52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773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8.1 — Bifrost data model (artefacts, releases, rings, installations).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deployable + SBOM ref.</w:t>
            </w:r>
            <w:r>
              <w:t xml:space="preserve"> </w:t>
            </w:r>
            <w:r>
              <w:rPr>
                <w:rStyle w:val="VerbatimChar"/>
              </w:rPr>
              <w:t xml:space="preserve">[FR-B-1]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versioned set of artefacts for a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release stream (e.g. stable, edge).</w:t>
            </w:r>
            <w:r>
              <w:t xml:space="preserve"> </w:t>
            </w:r>
            <w:r>
              <w:rPr>
                <w:rStyle w:val="VerbatimChar"/>
              </w:rPr>
              <w:t xml:space="preserve">[FR-B-3]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stage with a health gate.</w:t>
            </w:r>
            <w:r>
              <w:t xml:space="preserve"> </w:t>
            </w:r>
            <w:r>
              <w:rPr>
                <w:rStyle w:val="VerbatimChar"/>
              </w:rPr>
              <w:t xml:space="preserve">[FR-B-2]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deployed instance in the fleet.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RolloutRun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orchestrated release execution.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offline release package.</w:t>
            </w:r>
            <w:r>
              <w:t xml:space="preserve"> </w:t>
            </w:r>
            <w:r>
              <w:rPr>
                <w:rStyle w:val="VerbatimChar"/>
              </w:rPr>
              <w:t xml:space="preserve">[FR-B-5]</w:t>
            </w:r>
          </w:p>
        </w:tc>
      </w:tr>
    </w:tbl>
    <w:bookmarkStart w:id="54" w:name="X302443dd7d1b811fc7b794986bd62cde983383b"/>
    <w:p>
      <w:pPr>
        <w:pStyle w:val="Heading3"/>
      </w:pPr>
      <w:r>
        <w:t xml:space="preserve">8.2 Data stores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Artefacts, SBOMs, signatures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ML-DSA-signed, encrypted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Fleet 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Installations, desired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PQ-wrapped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</w:tbl>
    <w:bookmarkEnd w:id="54"/>
    <w:bookmarkEnd w:id="55"/>
    <w:bookmarkStart w:id="64" w:name="Xdae0506cad43aacafb5d6392be39e0477bdeabd"/>
    <w:p>
      <w:pPr>
        <w:pStyle w:val="Heading2"/>
      </w:pPr>
      <w:r>
        <w:t xml:space="preserve">9. Integration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gRPC/REST over PQ-mTLS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Define/trigger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Fleet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Query/manage installations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(on-host)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PQ-mTLS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changes on each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(internal)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risk/anomaly</w:t>
            </w:r>
            <w:r>
              <w:t xml:space="preserve"> </w:t>
            </w:r>
            <w:r>
              <w:rPr>
                <w:rStyle w:val="VerbatimChar"/>
              </w:rPr>
              <w:t xml:space="preserve">[FR-B-6]</w:t>
            </w:r>
          </w:p>
        </w:tc>
      </w:tr>
    </w:tbl>
    <w:bookmarkStart w:id="59" w:name="Xc0870cc8d85fe677b1547f1021d1f81b51e6d10"/>
    <w:p>
      <w:pPr>
        <w:pStyle w:val="Heading3"/>
      </w:pPr>
      <w:r>
        <w:t xml:space="preserve">9.2 Primary sequence</w:t>
      </w:r>
    </w:p>
    <w:p>
      <w:pPr>
        <w:pStyle w:val="FirstParagraph"/>
      </w:pPr>
      <w:r>
        <w:drawing>
          <wp:inline>
            <wp:extent cx="6210300" cy="2534816"/>
            <wp:effectExtent b="0" l="0" r="0" t="0"/>
            <wp:docPr descr="Figure 9.1 — Verify signature → canary ring → health gate → broad rollout → auto-rollback on failure." title="" id="57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seq_prima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534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9.1 — Verify signature → canary ring → health gate → broad rollout → auto-rollback on failure.</w:t>
      </w:r>
    </w:p>
    <w:bookmarkEnd w:id="59"/>
    <w:bookmarkStart w:id="63" w:name="Xb52ca053d84c7c9efd72b72d9bffa0b23b17aac"/>
    <w:p>
      <w:pPr>
        <w:pStyle w:val="Heading3"/>
      </w:pPr>
      <w:r>
        <w:t xml:space="preserve">9.3 User journey</w:t>
      </w:r>
    </w:p>
    <w:p>
      <w:pPr>
        <w:pStyle w:val="FirstParagraph"/>
      </w:pPr>
      <w:r>
        <w:drawing>
          <wp:inline>
            <wp:extent cx="6210300" cy="4475535"/>
            <wp:effectExtent b="0" l="0" r="0" t="0"/>
            <wp:docPr descr="Figure 9.2 — Release engineer primary journey." title="" id="61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journe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447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9.2 — Release engineer primary journey.</w:t>
      </w:r>
    </w:p>
    <w:bookmarkEnd w:id="63"/>
    <w:bookmarkEnd w:id="64"/>
    <w:bookmarkStart w:id="72" w:name="X7fbd96d6d4e73b00f8f530921b6510ade697b99"/>
    <w:p>
      <w:pPr>
        <w:pStyle w:val="Heading2"/>
      </w:pPr>
      <w:r>
        <w:t xml:space="preserve">10. Infrastructure &amp; Deployment</w:t>
      </w:r>
    </w:p>
    <w:p>
      <w:pPr>
        <w:pStyle w:val="FirstParagraph"/>
      </w:pPr>
      <w:r>
        <w:drawing>
          <wp:inline>
            <wp:extent cx="6210300" cy="2780376"/>
            <wp:effectExtent b="0" l="0" r="0" t="0"/>
            <wp:docPr descr="Figure 10.1 — Bifrost deployment (control plane + on-host agents)." title="" id="66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deploymen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780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10.1 — Bifrost deployment (control plane + on-host agents).</w:t>
      </w:r>
    </w:p>
    <w:p>
      <w:pPr>
        <w:pStyle w:val="BodyText"/>
      </w:pPr>
      <w:r>
        <w:t xml:space="preserve">Bifrost runs a control plane in the enclosure and a PQ-authenticated agent on each managed node; it deploys itself and every other product; egress-deny with signed bundle import for air-gap.</w:t>
      </w:r>
      <w:r>
        <w:t xml:space="preserve"> </w:t>
      </w:r>
      <w:r>
        <w:rPr>
          <w:rStyle w:val="VerbatimChar"/>
        </w:rPr>
        <w:t xml:space="preserve">[NFR-SEC-1]</w:t>
      </w:r>
      <w:r>
        <w:t xml:space="preserve"> </w:t>
      </w:r>
      <w:r>
        <w:rPr>
          <w:rStyle w:val="VerbatimChar"/>
        </w:rPr>
        <w:t xml:space="preserve">[FR-B-5]</w:t>
      </w:r>
    </w:p>
    <w:bookmarkStart w:id="71" w:name="X798bedab417abcd47c4e76f58c7bce811a08d1c"/>
    <w:p>
      <w:pPr>
        <w:pStyle w:val="Heading3"/>
      </w:pPr>
      <w:r>
        <w:t xml:space="preserve">10.2 CI/CD</w:t>
      </w:r>
    </w:p>
    <w:p>
      <w:pPr>
        <w:pStyle w:val="FirstParagraph"/>
      </w:pPr>
      <w:r>
        <w:drawing>
          <wp:inline>
            <wp:extent cx="6210300" cy="602018"/>
            <wp:effectExtent b="0" l="0" r="0" t="0"/>
            <wp:docPr descr="Figure 10.2 — Bifrost's own build/sign/publish pipeline." title="" id="69" name="Picture"/>
            <a:graphic>
              <a:graphicData uri="http://schemas.openxmlformats.org/drawingml/2006/picture">
                <pic:pic>
                  <pic:nvPicPr>
                    <pic:cNvPr descr="/home/user/midgard-app/docs/dev/diagrams/product_cic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602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10.2 — Bifrost's own build/sign/publish pipeline.</w:t>
      </w:r>
    </w:p>
    <w:bookmarkEnd w:id="71"/>
    <w:bookmarkEnd w:id="72"/>
    <w:bookmarkStart w:id="78" w:name="X7770e309c576d22deb80f2842dff533627b4b66"/>
    <w:p>
      <w:pPr>
        <w:pStyle w:val="Heading2"/>
      </w:pPr>
      <w:r>
        <w:t xml:space="preserve">11. Security Architecture</w:t>
      </w:r>
    </w:p>
    <w:p>
      <w:pPr>
        <w:pStyle w:val="FirstParagraph"/>
      </w:pPr>
      <w:r>
        <w:drawing>
          <wp:inline>
            <wp:extent cx="6210300" cy="19890960"/>
            <wp:effectExtent b="0" l="0" r="0" t="0"/>
            <wp:docPr descr="Figure 11.1 — Bifrost STRIDE data-flow diagram." title="" id="74" name="Picture"/>
            <a:graphic>
              <a:graphicData uri="http://schemas.openxmlformats.org/drawingml/2006/picture">
                <pic:pic>
                  <pic:nvPicPr>
                    <pic:cNvPr descr="/home/user/midgard-app/docs/dev/diagrams/bifrost_threat_df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989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11.1 — Bifrost STRIDE data-flow diagram.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→ Artefact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T,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build, PQ signature, audit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→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verify, workload identity</w:t>
            </w:r>
            <w:r>
              <w:t xml:space="preserve"> </w:t>
            </w:r>
            <w:r>
              <w:rPr>
                <w:rStyle w:val="VerbatimChar"/>
              </w:rPr>
              <w:t xml:space="preserve">[FR-B-4]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→ On-host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S, T,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PQ-mTLS, least-privilege agent</w:t>
            </w:r>
            <w:r>
              <w:t xml:space="preserve"> </w:t>
            </w:r>
            <w:r>
              <w:rPr>
                <w:rStyle w:val="VerbatimChar"/>
              </w:rPr>
              <w:t xml:space="preserve">[NFR-SEC-1]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 import (air-gap)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bundle, offline verify</w:t>
            </w:r>
            <w:r>
              <w:t xml:space="preserve"> </w:t>
            </w:r>
            <w:r>
              <w:rPr>
                <w:rStyle w:val="VerbatimChar"/>
              </w:rPr>
              <w:t xml:space="preserve">[FR-B-5]</w:t>
            </w:r>
          </w:p>
        </w:tc>
      </w:tr>
    </w:tbl>
    <w:bookmarkStart w:id="76" w:name="X07a7602938ec5f463fa3df9736708cf00d65a92"/>
    <w:p>
      <w:pPr>
        <w:pStyle w:val="Heading3"/>
      </w:pPr>
      <w:r>
        <w:t xml:space="preserve">11.2 Supply-chain security</w:t>
      </w:r>
    </w:p>
    <w:p>
      <w:pPr>
        <w:numPr>
          <w:ilvl w:val="0"/>
          <w:numId w:val="1004"/>
        </w:numPr>
        <w:pStyle w:val="Compact"/>
      </w:pPr>
      <w:r>
        <w:t xml:space="preserve">Reproducible builds; PQ-signed artefacts; SBOM per release.</w:t>
      </w:r>
      <w:r>
        <w:t xml:space="preserve"> </w:t>
      </w:r>
      <w:r>
        <w:rPr>
          <w:rStyle w:val="VerbatimChar"/>
        </w:rPr>
        <w:t xml:space="preserve">[NFR-OSS-1]</w:t>
      </w:r>
      <w:r>
        <w:t xml:space="preserve"> </w:t>
      </w:r>
      <w:r>
        <w:rPr>
          <w:rStyle w:val="VerbatimChar"/>
        </w:rPr>
        <w:t xml:space="preserve">[NFR-PQ-3]</w:t>
      </w:r>
    </w:p>
    <w:p>
      <w:pPr>
        <w:numPr>
          <w:ilvl w:val="0"/>
          <w:numId w:val="1004"/>
        </w:numPr>
        <w:pStyle w:val="Compact"/>
      </w:pPr>
      <w:r>
        <w:t xml:space="preserve">Fail-closed signature/SBOM verification before deploy.</w:t>
      </w:r>
      <w:r>
        <w:t xml:space="preserve"> </w:t>
      </w:r>
      <w:r>
        <w:rPr>
          <w:rStyle w:val="VerbatimChar"/>
        </w:rPr>
        <w:t xml:space="preserve">[FR-B-4]</w:t>
      </w:r>
    </w:p>
    <w:p>
      <w:pPr>
        <w:numPr>
          <w:ilvl w:val="0"/>
          <w:numId w:val="1004"/>
        </w:numPr>
        <w:pStyle w:val="Compact"/>
      </w:pPr>
      <w:r>
        <w:t xml:space="preserve">Least-privilege on-host agents with signed instructions.</w:t>
      </w:r>
      <w:r>
        <w:t xml:space="preserve"> </w:t>
      </w:r>
      <w:r>
        <w:rPr>
          <w:rStyle w:val="VerbatimChar"/>
        </w:rPr>
        <w:t xml:space="preserve">[NFR-SEC-1]</w:t>
      </w:r>
    </w:p>
    <w:bookmarkEnd w:id="76"/>
    <w:bookmarkStart w:id="77" w:name="X279412ced3cc89142e87ba3c9c8741ac6649d26"/>
    <w:p>
      <w:pPr>
        <w:pStyle w:val="Heading3"/>
      </w:pPr>
      <w:r>
        <w:t xml:space="preserve">11.3 Known design gaps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Compromised signing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HSM-sealed keys, rotation, threshold signing.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Canary blind spots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 anomaly detection augmenting health gates.</w:t>
            </w:r>
            <w:r>
              <w:t xml:space="preserve"> </w:t>
            </w:r>
            <w:r>
              <w:rPr>
                <w:rStyle w:val="VerbatimChar"/>
              </w:rPr>
              <w:t xml:space="preserve">[FR-B-6]</w:t>
            </w:r>
          </w:p>
        </w:tc>
      </w:tr>
    </w:tbl>
    <w:bookmarkEnd w:id="77"/>
    <w:bookmarkEnd w:id="78"/>
    <w:bookmarkStart w:id="79" w:name="Xdd4aa59e587b2c790ebd2247abba3b190fa44f3"/>
    <w:p>
      <w:pPr>
        <w:pStyle w:val="Heading2"/>
      </w:pPr>
      <w:r>
        <w:t xml:space="preserve">12. Observability</w:t>
      </w:r>
    </w:p>
    <w:p>
      <w:pPr>
        <w:numPr>
          <w:ilvl w:val="0"/>
          <w:numId w:val="1005"/>
        </w:numPr>
        <w:pStyle w:val="Compact"/>
      </w:pPr>
      <w:r>
        <w:t xml:space="preserve">Rollout progress + ring health metrics.</w:t>
      </w:r>
      <w:r>
        <w:t xml:space="preserve"> </w:t>
      </w:r>
      <w:r>
        <w:rPr>
          <w:rStyle w:val="VerbatimChar"/>
        </w:rPr>
        <w:t xml:space="preserve">[FR-B-2]</w:t>
      </w:r>
    </w:p>
    <w:p>
      <w:pPr>
        <w:numPr>
          <w:ilvl w:val="0"/>
          <w:numId w:val="1005"/>
        </w:numPr>
        <w:pStyle w:val="Compact"/>
      </w:pPr>
      <w:r>
        <w:t xml:space="preserve">Fleet drift dashboards.</w:t>
      </w:r>
      <w:r>
        <w:t xml:space="preserve"> </w:t>
      </w:r>
      <w:r>
        <w:rPr>
          <w:rStyle w:val="VerbatimChar"/>
        </w:rPr>
        <w:t xml:space="preserve">[FR-B-3]</w:t>
      </w:r>
    </w:p>
    <w:p>
      <w:pPr>
        <w:numPr>
          <w:ilvl w:val="0"/>
          <w:numId w:val="1005"/>
        </w:numPr>
        <w:pStyle w:val="Compact"/>
      </w:pPr>
      <w:r>
        <w:t xml:space="preserve">Signature-verification audit.</w:t>
      </w:r>
      <w:r>
        <w:t xml:space="preserve"> </w:t>
      </w:r>
      <w:r>
        <w:rPr>
          <w:rStyle w:val="VerbatimChar"/>
        </w:rPr>
        <w:t xml:space="preserve">[NFR-PQ-3]</w:t>
      </w:r>
    </w:p>
    <w:bookmarkEnd w:id="79"/>
    <w:bookmarkStart w:id="80" w:name="Xfbaff95e06aebe7467938e3e4859476cfef7025"/>
    <w:p>
      <w:pPr>
        <w:pStyle w:val="Heading2"/>
      </w:pPr>
      <w:r>
        <w:t xml:space="preserve">13. Operational Concerns</w:t>
      </w:r>
    </w:p>
    <w:p>
      <w:pPr>
        <w:numPr>
          <w:ilvl w:val="0"/>
          <w:numId w:val="1006"/>
        </w:numPr>
        <w:pStyle w:val="Compact"/>
      </w:pPr>
      <w:r>
        <w:t xml:space="preserve">Automatic rollback is the primary recovery path.</w:t>
      </w:r>
      <w:r>
        <w:t xml:space="preserve"> </w:t>
      </w:r>
      <w:r>
        <w:rPr>
          <w:rStyle w:val="VerbatimChar"/>
        </w:rPr>
        <w:t xml:space="preserve">[FR-B-2]</w:t>
      </w:r>
    </w:p>
    <w:p>
      <w:pPr>
        <w:numPr>
          <w:ilvl w:val="0"/>
          <w:numId w:val="1006"/>
        </w:numPr>
        <w:pStyle w:val="Compact"/>
      </w:pPr>
      <w:r>
        <w:t xml:space="preserve">Offline bundle workflow for DR at air-gapped sites.</w:t>
      </w:r>
      <w:r>
        <w:t xml:space="preserve"> </w:t>
      </w:r>
      <w:r>
        <w:rPr>
          <w:rStyle w:val="VerbatimChar"/>
        </w:rPr>
        <w:t xml:space="preserve">[FR-B-5]</w:t>
      </w:r>
    </w:p>
    <w:p>
      <w:pPr>
        <w:numPr>
          <w:ilvl w:val="0"/>
          <w:numId w:val="1006"/>
        </w:numPr>
        <w:pStyle w:val="Compact"/>
      </w:pPr>
      <w:r>
        <w:t xml:space="preserve">Control-plane HA.</w:t>
      </w:r>
      <w:r>
        <w:t xml:space="preserve"> </w:t>
      </w:r>
      <w:r>
        <w:rPr>
          <w:rStyle w:val="VerbatimChar"/>
        </w:rPr>
        <w:t xml:space="preserve">[NFR-AVA-1]</w:t>
      </w:r>
    </w:p>
    <w:bookmarkEnd w:id="80"/>
    <w:bookmarkStart w:id="81" w:name="X661e39641e9ee808c9cc27fd5b933fead9663aa"/>
    <w:p>
      <w:pPr>
        <w:pStyle w:val="Heading2"/>
      </w:pPr>
      <w:r>
        <w:t xml:space="preserve">14. Quality &amp; Testing</w:t>
      </w:r>
    </w:p>
    <w:p>
      <w:pPr>
        <w:numPr>
          <w:ilvl w:val="0"/>
          <w:numId w:val="1007"/>
        </w:numPr>
        <w:pStyle w:val="Compact"/>
      </w:pPr>
      <w:r>
        <w:t xml:space="preserve">Chaos/upgrade tests proving zero-downtime + rollback.</w:t>
      </w:r>
      <w:r>
        <w:t xml:space="preserve"> </w:t>
      </w:r>
      <w:r>
        <w:rPr>
          <w:rStyle w:val="VerbatimChar"/>
        </w:rPr>
        <w:t xml:space="preserve">[NFR-AVA-1]</w:t>
      </w:r>
    </w:p>
    <w:p>
      <w:pPr>
        <w:numPr>
          <w:ilvl w:val="0"/>
          <w:numId w:val="1007"/>
        </w:numPr>
        <w:pStyle w:val="Compact"/>
      </w:pPr>
      <w:r>
        <w:t xml:space="preserve">Signature-verification negative tests (tampered artefact rejected).</w:t>
      </w:r>
      <w:r>
        <w:t xml:space="preserve"> </w:t>
      </w:r>
      <w:r>
        <w:rPr>
          <w:rStyle w:val="VerbatimChar"/>
        </w:rPr>
        <w:t xml:space="preserve">[FR-B-4]</w:t>
      </w:r>
    </w:p>
    <w:p>
      <w:pPr>
        <w:numPr>
          <w:ilvl w:val="0"/>
          <w:numId w:val="1007"/>
        </w:numPr>
        <w:pStyle w:val="Compact"/>
      </w:pPr>
      <w:r>
        <w:t xml:space="preserve">Contract tests vs Midgard/Mimir.</w:t>
      </w:r>
      <w:r>
        <w:t xml:space="preserve"> </w:t>
      </w:r>
      <w:r>
        <w:rPr>
          <w:rStyle w:val="VerbatimChar"/>
        </w:rPr>
        <w:t xml:space="preserve">[DD-6]</w:t>
      </w:r>
    </w:p>
    <w:bookmarkEnd w:id="81"/>
    <w:bookmarkStart w:id="82" w:name="X35ae3af570e4427d32875505bdbdcd3530afd01"/>
    <w:p>
      <w:pPr>
        <w:pStyle w:val="Heading2"/>
      </w:pPr>
      <w:r>
        <w:t xml:space="preserve">15. Risks &amp;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Faulty release fan-out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rings + auto-rollback + Mimir risk gate.</w:t>
            </w:r>
            <w:r>
              <w:t xml:space="preserve"> </w:t>
            </w:r>
            <w:r>
              <w:rPr>
                <w:rStyle w:val="VerbatimChar"/>
              </w:rPr>
              <w:t xml:space="preserve">[FR-B-2]</w:t>
            </w:r>
            <w:r>
              <w:t xml:space="preserve"> </w:t>
            </w:r>
            <w:r>
              <w:rPr>
                <w:rStyle w:val="VerbatimChar"/>
              </w:rPr>
              <w:t xml:space="preserve">[FR-B-6]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Signing-key compromise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HSM sealing + rotation + threshold signatures.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</w:tbl>
    <w:bookmarkEnd w:id="82"/>
    <w:bookmarkStart w:id="83" w:name="X1163c3f19a6cb67b912a65440b7f4c1d293e1fb"/>
    <w:p>
      <w:pPr>
        <w:pStyle w:val="Heading2"/>
      </w:pPr>
      <w:r>
        <w:t xml:space="preserve">16. Roadmap</w:t>
      </w:r>
    </w:p>
    <w:p>
      <w:pPr>
        <w:numPr>
          <w:ilvl w:val="0"/>
          <w:numId w:val="1008"/>
        </w:numPr>
        <w:pStyle w:val="Compact"/>
      </w:pPr>
      <w:r>
        <w:t xml:space="preserve">Artefact registry + PQ signing.</w:t>
      </w:r>
    </w:p>
    <w:p>
      <w:pPr>
        <w:numPr>
          <w:ilvl w:val="0"/>
          <w:numId w:val="1008"/>
        </w:numPr>
        <w:pStyle w:val="Compact"/>
      </w:pPr>
      <w:r>
        <w:t xml:space="preserve">Ring-based rollout + rollback.</w:t>
      </w:r>
    </w:p>
    <w:p>
      <w:pPr>
        <w:numPr>
          <w:ilvl w:val="0"/>
          <w:numId w:val="1008"/>
        </w:numPr>
        <w:pStyle w:val="Compact"/>
      </w:pPr>
      <w:r>
        <w:t xml:space="preserve">Fleet/channel management.</w:t>
      </w:r>
    </w:p>
    <w:p>
      <w:pPr>
        <w:numPr>
          <w:ilvl w:val="0"/>
          <w:numId w:val="1008"/>
        </w:numPr>
        <w:pStyle w:val="Compact"/>
      </w:pPr>
      <w:r>
        <w:t xml:space="preserve">Offline bundles + Mimir release intelligence.</w:t>
      </w:r>
    </w:p>
    <w:bookmarkEnd w:id="83"/>
    <w:bookmarkStart w:id="84" w:name="Xc8b90de2f61776b00ebec25b517d9c9dea8f5c8"/>
    <w:p>
      <w:pPr>
        <w:pStyle w:val="Heading2"/>
      </w:pPr>
      <w:r>
        <w:t xml:space="preserve">17. Acceptance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/ When / 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 unsigned or tampered artefact, when a deploy is attempted, then it is rejected (fail closed).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[FR-B-4]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rollout, when a ring's health gate fails, then rollback occurs automatically with no downtime.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[FR-B-2]</w:t>
            </w:r>
            <w:r>
              <w:t xml:space="preserve"> </w:t>
            </w:r>
            <w:r>
              <w:rPr>
                <w:rStyle w:val="VerbatimChar"/>
              </w:rPr>
              <w:t xml:space="preserve">[NFR-AVA-1]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 air-gapped site, when a signed bundle is imported, then its signature is verified offline before deploy.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release, when published, then a CycloneDX SBOM and ML-DSA signature are attached and verifiable.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[NFR-OSS-1]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AC-B-5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Mimir is present, when a release is planned, then a risk score is produced and can gate the rollout.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Mimir is absent, when releasing, then rule-based gates still enforce safe rollout (standalone mode).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[DD-6]</w:t>
            </w:r>
          </w:p>
        </w:tc>
      </w:tr>
    </w:tbl>
    <w:bookmarkEnd w:id="84"/>
    <w:bookmarkStart w:id="85" w:name="appendix-a--diagram-source-index"/>
    <w:p>
      <w:pPr>
        <w:pStyle w:val="Heading2"/>
      </w:pPr>
      <w:r>
        <w:t xml:space="preserve">Appendix A — Diagram Source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bifrost_c4_context.mmd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bifrost_c4_context.drawio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bifrost_c4_containers.mmd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bifrost_c4_containers.drawio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bifrost_c4_component.mmd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bifrost_c4_component.drawio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bifrost_er.mmd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bifrost_er.drawio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bifrost_seq_primary.mmd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bifrost_seq_primary.drawio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bifrost_journey.mmd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bifrost_journey.drawio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bifrost_deployment.mmd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bifrost_deployment.drawio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product_cicd.mmd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product_cicd.drawio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Threat 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bifrost_threat_dfd.mmd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bifrost_threat_dfd.drawio</w:t>
            </w:r>
          </w:p>
        </w:tc>
      </w:tr>
    </w:tbl>
    <w:bookmarkEnd w:id="85"/>
    <w:sectPr w:rsidR="00FC693F" w:rsidRPr="0006063C" w:rsidSect="00034616">
      <w:headerReference r:id="rId9" w:type="default"/>
      <w:footerReference r:id="rId10" w:type="default"/>
      <w:pgSz w:h="15840" w:w="12240"/>
      <w:pgMar w:bottom="1152" w:footer="720" w:gutter="0" w:header="720" w:left="1224" w:right="1224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jc w:val="left"/>
    </w:pPr>
    <w:r/>
    <w:r>
      <w:rPr>
        <w:rFonts w:ascii="Calibri" w:hAnsi="Calibri"/>
        <w:color w:val="595959"/>
        <w:sz w:val="14"/>
      </w:rPr>
      <w:t>Veldris Ltd · Company no. 17366869 · PUBLIC</w:t>
    </w:r>
    <w:r>
      <w:tab/>
      <w:tab/>
    </w:r>
    <w:r>
      <w:rPr>
        <w:color w:val="595959"/>
        <w:sz w:val="14"/>
      </w:rPr>
      <w:t xml:space="preserve">Page </w:t>
    </w:r>
    <w:r>
      <w:rPr>
        <w:color w:val="595959"/>
        <w:sz w:val="14"/>
      </w:rPr>
      <w:fldChar w:fldCharType="begin"/>
      <w:instrText xml:space="preserve"> PAGE </w:instrText>
      <w:fldChar w:fldCharType="end"/>
    </w:r>
    <w:r>
      <w:rPr>
        <w:color w:val="595959"/>
        <w:sz w:val="14"/>
      </w:rPr>
      <w:t xml:space="preserve"> of </w:t>
    </w:r>
    <w:r>
      <w:rPr>
        <w:color w:val="595959"/>
        <w:sz w:val="14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color w:val="595959"/>
        <w:sz w:val="16"/>
      </w:rPr>
      <w:t>Solutions Architecture Document — Bifrost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1A1A1A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4884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168BD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A1A1A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65" Target="media/rId65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73" Target="media/rId73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Solutions Architecture Document — Bifrost</dc:title>
  <dc:creator>Veldris Ltd</dc:creator>
  <dc:subject>Midgard Suite, PUBLIC</dc:subject>
  <cp:keywords/>
  <dcterms:created xsi:type="dcterms:W3CDTF">2026-10-24T13:17:00Z</dcterms:created>
  <dcterms:modified xsi:type="dcterms:W3CDTF">2026-10-24T13:17:00Z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